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BB846AC">
      <w:pPr>
        <w:rPr>
          <w:rFonts w:eastAsia="仿宋_GB2312"/>
          <w:sz w:val="36"/>
          <w:szCs w:val="36"/>
        </w:rPr>
      </w:pPr>
      <w:bookmarkStart w:id="0" w:name="_Hlk164889010"/>
      <w:bookmarkEnd w:id="0"/>
      <w:bookmarkStart w:id="1" w:name="_Hlk57883707"/>
    </w:p>
    <w:p w14:paraId="077BF1B4">
      <w:pPr>
        <w:rPr>
          <w:rFonts w:eastAsia="仿宋_GB2312"/>
          <w:sz w:val="36"/>
          <w:szCs w:val="36"/>
        </w:rPr>
      </w:pPr>
    </w:p>
    <w:p w14:paraId="38F4493A">
      <w:pPr>
        <w:rPr>
          <w:rFonts w:eastAsia="仿宋_GB2312"/>
          <w:sz w:val="36"/>
          <w:szCs w:val="36"/>
        </w:rPr>
      </w:pPr>
    </w:p>
    <w:p w14:paraId="0EAA10D0">
      <w:pPr>
        <w:rPr>
          <w:rFonts w:eastAsia="仿宋_GB2312"/>
          <w:sz w:val="36"/>
          <w:szCs w:val="36"/>
        </w:rPr>
      </w:pPr>
    </w:p>
    <w:bookmarkEnd w:id="1"/>
    <w:p w14:paraId="2D53ADC4">
      <w:pPr>
        <w:adjustRightInd w:val="0"/>
        <w:snapToGrid w:val="0"/>
        <w:jc w:val="center"/>
        <w:outlineLvl w:val="0"/>
        <w:rPr>
          <w:rFonts w:eastAsia="方正小标宋_GBK"/>
          <w:bCs/>
          <w:sz w:val="72"/>
          <w:szCs w:val="72"/>
        </w:rPr>
      </w:pPr>
      <w:bookmarkStart w:id="2" w:name="_Toc164890566"/>
      <w:bookmarkStart w:id="3" w:name="_Toc169765985"/>
      <w:bookmarkStart w:id="4" w:name="_Toc171579796"/>
      <w:bookmarkStart w:id="5" w:name="_Toc165209990"/>
      <w:bookmarkStart w:id="6" w:name="_Toc168031003"/>
      <w:bookmarkStart w:id="7" w:name="_Toc165211504"/>
      <w:r>
        <w:rPr>
          <w:rFonts w:eastAsia="方正小标宋_GBK"/>
          <w:bCs/>
          <w:sz w:val="72"/>
          <w:szCs w:val="72"/>
        </w:rPr>
        <w:t>建设项目环境影响报告表</w:t>
      </w:r>
      <w:bookmarkEnd w:id="2"/>
      <w:bookmarkEnd w:id="3"/>
      <w:bookmarkEnd w:id="4"/>
      <w:bookmarkEnd w:id="5"/>
      <w:bookmarkEnd w:id="6"/>
      <w:bookmarkEnd w:id="7"/>
    </w:p>
    <w:p w14:paraId="7E3E0680">
      <w:pPr>
        <w:adjustRightInd w:val="0"/>
        <w:snapToGrid w:val="0"/>
        <w:spacing w:before="192" w:beforeLines="80"/>
        <w:jc w:val="center"/>
        <w:rPr>
          <w:rFonts w:eastAsia="楷体_GB2312"/>
          <w:bCs/>
          <w:sz w:val="48"/>
          <w:szCs w:val="48"/>
        </w:rPr>
      </w:pPr>
      <w:r>
        <w:rPr>
          <w:rFonts w:eastAsia="楷体_GB2312"/>
          <w:bCs/>
          <w:sz w:val="48"/>
          <w:szCs w:val="48"/>
        </w:rPr>
        <w:t>（生态影响类）</w:t>
      </w:r>
    </w:p>
    <w:p w14:paraId="2C8C5596">
      <w:bookmarkStart w:id="8" w:name="_Hlk57883728"/>
    </w:p>
    <w:p w14:paraId="1EBC235A">
      <w:pPr>
        <w:jc w:val="center"/>
        <w:rPr>
          <w:rFonts w:eastAsia="仿宋"/>
          <w:sz w:val="52"/>
          <w:szCs w:val="52"/>
        </w:rPr>
      </w:pPr>
    </w:p>
    <w:p w14:paraId="32A4EE97">
      <w:pPr>
        <w:ind w:firstLine="1040"/>
        <w:rPr>
          <w:rFonts w:eastAsia="仿宋"/>
          <w:sz w:val="44"/>
          <w:szCs w:val="44"/>
        </w:rPr>
      </w:pPr>
    </w:p>
    <w:p w14:paraId="7C61E7D9">
      <w:pPr>
        <w:ind w:firstLine="1040"/>
        <w:rPr>
          <w:rFonts w:eastAsia="仿宋"/>
          <w:sz w:val="44"/>
          <w:szCs w:val="44"/>
        </w:rPr>
      </w:pPr>
    </w:p>
    <w:p w14:paraId="53087D98">
      <w:pPr>
        <w:ind w:firstLine="1040"/>
        <w:rPr>
          <w:rFonts w:eastAsia="仿宋"/>
          <w:sz w:val="44"/>
          <w:szCs w:val="44"/>
        </w:rPr>
      </w:pPr>
    </w:p>
    <w:p w14:paraId="07C7238A">
      <w:pPr>
        <w:ind w:firstLine="1040"/>
        <w:rPr>
          <w:rFonts w:eastAsia="仿宋"/>
          <w:sz w:val="44"/>
          <w:szCs w:val="44"/>
        </w:rPr>
      </w:pPr>
    </w:p>
    <w:bookmarkEnd w:id="8"/>
    <w:p w14:paraId="7DAB0726">
      <w:pPr>
        <w:adjustRightInd w:val="0"/>
        <w:snapToGrid w:val="0"/>
        <w:spacing w:line="288" w:lineRule="auto"/>
        <w:ind w:left="2850" w:leftChars="500" w:hanging="1800" w:hangingChars="500"/>
        <w:rPr>
          <w:rFonts w:eastAsia="仿宋_GB2312"/>
          <w:sz w:val="36"/>
          <w:szCs w:val="36"/>
          <w:u w:val="single"/>
        </w:rPr>
      </w:pPr>
      <w:r>
        <w:rPr>
          <w:rFonts w:eastAsia="仿宋_GB2312"/>
          <w:sz w:val="36"/>
          <w:szCs w:val="36"/>
        </w:rPr>
        <w:t>项目名称：</w:t>
      </w:r>
      <w:r>
        <w:rPr>
          <w:rFonts w:hint="eastAsia" w:eastAsia="仿宋_GB2312"/>
          <w:sz w:val="36"/>
          <w:szCs w:val="36"/>
          <w:u w:val="single"/>
        </w:rPr>
        <w:t>临兴东尚义区气田开发项目（二期）勘探井</w:t>
      </w:r>
    </w:p>
    <w:p w14:paraId="253E287B">
      <w:pPr>
        <w:adjustRightInd w:val="0"/>
        <w:snapToGrid w:val="0"/>
        <w:spacing w:line="288" w:lineRule="auto"/>
        <w:ind w:left="1416" w:leftChars="503" w:hanging="360" w:hangingChars="100"/>
        <w:rPr>
          <w:rFonts w:eastAsia="仿宋_GB2312"/>
          <w:sz w:val="36"/>
          <w:szCs w:val="36"/>
          <w:u w:val="single"/>
        </w:rPr>
      </w:pPr>
      <w:r>
        <w:rPr>
          <w:rFonts w:eastAsia="仿宋_GB2312"/>
          <w:sz w:val="36"/>
          <w:szCs w:val="36"/>
        </w:rPr>
        <w:t>建设单位（盖章）：</w:t>
      </w:r>
      <w:r>
        <w:rPr>
          <w:rFonts w:hint="eastAsia" w:eastAsia="仿宋_GB2312"/>
          <w:sz w:val="36"/>
          <w:szCs w:val="36"/>
          <w:u w:val="single"/>
        </w:rPr>
        <w:t>中联煤层气有限责任公司</w:t>
      </w:r>
    </w:p>
    <w:p w14:paraId="5CA3AAE8">
      <w:pPr>
        <w:adjustRightInd w:val="0"/>
        <w:snapToGrid w:val="0"/>
        <w:spacing w:line="288" w:lineRule="auto"/>
        <w:ind w:firstLine="3960" w:firstLineChars="1100"/>
        <w:rPr>
          <w:rFonts w:eastAsia="仿宋_GB2312"/>
          <w:sz w:val="36"/>
          <w:szCs w:val="36"/>
          <w:u w:val="single"/>
        </w:rPr>
      </w:pPr>
      <w:r>
        <w:rPr>
          <w:rFonts w:eastAsia="仿宋_GB2312"/>
          <w:sz w:val="36"/>
          <w:szCs w:val="36"/>
          <w:u w:val="single"/>
        </w:rPr>
        <w:t xml:space="preserve">   </w:t>
      </w:r>
    </w:p>
    <w:p w14:paraId="0DE07747">
      <w:pPr>
        <w:adjustRightInd w:val="0"/>
        <w:snapToGrid w:val="0"/>
        <w:spacing w:line="288" w:lineRule="auto"/>
        <w:ind w:firstLine="1040"/>
        <w:rPr>
          <w:rFonts w:eastAsia="仿宋_GB2312"/>
          <w:sz w:val="36"/>
          <w:szCs w:val="36"/>
          <w:u w:val="single"/>
        </w:rPr>
      </w:pPr>
      <w:r>
        <w:rPr>
          <w:rFonts w:eastAsia="仿宋_GB2312"/>
          <w:sz w:val="36"/>
          <w:szCs w:val="36"/>
        </w:rPr>
        <w:t>编制日期：</w:t>
      </w:r>
      <w:r>
        <w:rPr>
          <w:rFonts w:eastAsia="仿宋_GB2312"/>
          <w:sz w:val="36"/>
          <w:szCs w:val="36"/>
          <w:u w:val="single"/>
        </w:rPr>
        <w:t xml:space="preserve">            202</w:t>
      </w:r>
      <w:r>
        <w:rPr>
          <w:rFonts w:hint="eastAsia" w:eastAsia="仿宋_GB2312"/>
          <w:sz w:val="36"/>
          <w:szCs w:val="36"/>
          <w:u w:val="single"/>
        </w:rPr>
        <w:t>4</w:t>
      </w:r>
      <w:r>
        <w:rPr>
          <w:rFonts w:eastAsia="仿宋_GB2312"/>
          <w:sz w:val="36"/>
          <w:szCs w:val="36"/>
          <w:u w:val="single"/>
        </w:rPr>
        <w:t>年</w:t>
      </w:r>
      <w:r>
        <w:rPr>
          <w:rFonts w:hint="eastAsia" w:eastAsia="仿宋_GB2312"/>
          <w:sz w:val="36"/>
          <w:szCs w:val="36"/>
          <w:u w:val="single"/>
        </w:rPr>
        <w:t>6</w:t>
      </w:r>
      <w:r>
        <w:rPr>
          <w:rFonts w:eastAsia="仿宋_GB2312"/>
          <w:sz w:val="36"/>
          <w:szCs w:val="36"/>
          <w:u w:val="single"/>
        </w:rPr>
        <w:t xml:space="preserve">月             </w:t>
      </w:r>
    </w:p>
    <w:p w14:paraId="774C8EF8">
      <w:pPr>
        <w:adjustRightInd w:val="0"/>
        <w:snapToGrid w:val="0"/>
        <w:spacing w:line="288" w:lineRule="auto"/>
        <w:ind w:firstLine="1040"/>
        <w:rPr>
          <w:rFonts w:eastAsia="仿宋_GB2312"/>
          <w:sz w:val="36"/>
          <w:szCs w:val="36"/>
        </w:rPr>
      </w:pPr>
    </w:p>
    <w:p w14:paraId="4F15B86E">
      <w:pPr>
        <w:adjustRightInd w:val="0"/>
        <w:snapToGrid w:val="0"/>
        <w:spacing w:line="288" w:lineRule="auto"/>
        <w:ind w:firstLine="1040"/>
        <w:rPr>
          <w:rFonts w:eastAsia="仿宋_GB2312"/>
          <w:sz w:val="36"/>
          <w:szCs w:val="36"/>
        </w:rPr>
      </w:pPr>
    </w:p>
    <w:p w14:paraId="0F512303">
      <w:pPr>
        <w:adjustRightInd w:val="0"/>
        <w:snapToGrid w:val="0"/>
        <w:spacing w:line="288" w:lineRule="auto"/>
        <w:ind w:firstLine="1040"/>
        <w:rPr>
          <w:rFonts w:eastAsia="仿宋_GB2312"/>
          <w:sz w:val="36"/>
          <w:szCs w:val="36"/>
        </w:rPr>
      </w:pPr>
    </w:p>
    <w:p w14:paraId="36B8F5C5">
      <w:pPr>
        <w:adjustRightInd w:val="0"/>
        <w:snapToGrid w:val="0"/>
        <w:spacing w:line="288" w:lineRule="auto"/>
        <w:ind w:firstLine="1040"/>
        <w:rPr>
          <w:rFonts w:eastAsia="仿宋_GB2312"/>
          <w:sz w:val="36"/>
          <w:szCs w:val="36"/>
        </w:rPr>
      </w:pPr>
    </w:p>
    <w:p w14:paraId="70B94B93">
      <w:pPr>
        <w:adjustRightInd w:val="0"/>
        <w:snapToGrid w:val="0"/>
        <w:spacing w:line="288" w:lineRule="auto"/>
        <w:jc w:val="center"/>
        <w:rPr>
          <w:rFonts w:eastAsia="楷体_GB2312"/>
          <w:sz w:val="36"/>
          <w:szCs w:val="36"/>
        </w:rPr>
      </w:pPr>
      <w:r>
        <w:rPr>
          <w:rFonts w:eastAsia="楷体_GB2312"/>
          <w:sz w:val="36"/>
          <w:szCs w:val="36"/>
        </w:rPr>
        <w:t>中华人民共和国生态环境部制</w:t>
      </w:r>
    </w:p>
    <w:p w14:paraId="1B225340">
      <w:pPr>
        <w:widowControl/>
        <w:jc w:val="left"/>
        <w:rPr>
          <w:rFonts w:eastAsia="楷体_GB2312"/>
          <w:sz w:val="36"/>
          <w:szCs w:val="36"/>
        </w:rPr>
      </w:pPr>
    </w:p>
    <w:p w14:paraId="7F3C4819">
      <w:pPr>
        <w:widowControl/>
        <w:jc w:val="left"/>
        <w:rPr>
          <w:rFonts w:eastAsia="楷体_GB2312"/>
          <w:sz w:val="36"/>
          <w:szCs w:val="36"/>
        </w:rPr>
      </w:pPr>
      <w:r>
        <w:rPr>
          <w:rFonts w:eastAsia="楷体_GB2312"/>
          <w:sz w:val="36"/>
          <w:szCs w:val="36"/>
          <w14:ligatures w14:val="none"/>
        </w:rPr>
        <w:drawing>
          <wp:inline distT="0" distB="0" distL="0" distR="0">
            <wp:extent cx="5615940" cy="7936865"/>
            <wp:effectExtent l="0" t="0" r="3810" b="6985"/>
            <wp:docPr id="7804605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460555" name="图片 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15940" cy="7936865"/>
                    </a:xfrm>
                    <a:prstGeom prst="rect">
                      <a:avLst/>
                    </a:prstGeom>
                  </pic:spPr>
                </pic:pic>
              </a:graphicData>
            </a:graphic>
          </wp:inline>
        </w:drawing>
      </w:r>
      <w:r>
        <w:rPr>
          <w:rFonts w:eastAsia="楷体_GB2312"/>
          <w:sz w:val="36"/>
          <w:szCs w:val="36"/>
          <w14:ligatures w14:val="none"/>
        </w:rPr>
        <w:drawing>
          <wp:inline distT="0" distB="0" distL="0" distR="0">
            <wp:extent cx="5615940" cy="7945755"/>
            <wp:effectExtent l="0" t="0" r="3810" b="0"/>
            <wp:docPr id="2123403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40321" name="图片 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15940" cy="7945755"/>
                    </a:xfrm>
                    <a:prstGeom prst="rect">
                      <a:avLst/>
                    </a:prstGeom>
                  </pic:spPr>
                </pic:pic>
              </a:graphicData>
            </a:graphic>
          </wp:inline>
        </w:drawing>
      </w:r>
      <w:r>
        <w:rPr>
          <w:rFonts w:eastAsia="楷体_GB2312"/>
          <w:sz w:val="36"/>
          <w:szCs w:val="36"/>
          <w14:ligatures w14:val="none"/>
        </w:rPr>
        <w:drawing>
          <wp:inline distT="0" distB="0" distL="0" distR="0">
            <wp:extent cx="5615940" cy="7936865"/>
            <wp:effectExtent l="0" t="0" r="3810" b="6985"/>
            <wp:docPr id="13574102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410237" name="图片 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15940" cy="7936865"/>
                    </a:xfrm>
                    <a:prstGeom prst="rect">
                      <a:avLst/>
                    </a:prstGeom>
                  </pic:spPr>
                </pic:pic>
              </a:graphicData>
            </a:graphic>
          </wp:inline>
        </w:drawing>
      </w:r>
      <w:r>
        <w:rPr>
          <w:rFonts w:eastAsia="楷体_GB2312"/>
          <w:sz w:val="36"/>
          <w:szCs w:val="36"/>
        </w:rPr>
        <w:br w:type="page"/>
      </w:r>
    </w:p>
    <w:p w14:paraId="1F426AB8">
      <w:pPr>
        <w:widowControl/>
        <w:jc w:val="left"/>
        <w:rPr>
          <w:rFonts w:eastAsia="楷体_GB2312"/>
          <w:sz w:val="36"/>
          <w:szCs w:val="36"/>
        </w:rPr>
      </w:pPr>
      <w:r>
        <w:rPr>
          <w:rFonts w:eastAsia="楷体_GB2312"/>
          <w:sz w:val="36"/>
          <w:szCs w:val="36"/>
          <w14:ligatures w14:val="none"/>
        </w:rPr>
        <w:drawing>
          <wp:inline distT="0" distB="0" distL="0" distR="0">
            <wp:extent cx="5615940" cy="7945755"/>
            <wp:effectExtent l="0" t="0" r="3810" b="0"/>
            <wp:docPr id="7527511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751139" name="图片 2"/>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15940" cy="7945755"/>
                    </a:xfrm>
                    <a:prstGeom prst="rect">
                      <a:avLst/>
                    </a:prstGeom>
                  </pic:spPr>
                </pic:pic>
              </a:graphicData>
            </a:graphic>
          </wp:inline>
        </w:drawing>
      </w:r>
    </w:p>
    <w:p w14:paraId="6471B6CF">
      <w:pPr>
        <w:widowControl/>
        <w:jc w:val="left"/>
        <w:rPr>
          <w:rFonts w:eastAsia="楷体_GB2312"/>
          <w:sz w:val="36"/>
          <w:szCs w:val="36"/>
        </w:rPr>
      </w:pPr>
      <w:r>
        <w:rPr>
          <w:rFonts w:eastAsia="楷体_GB2312"/>
          <w:sz w:val="36"/>
          <w:szCs w:val="36"/>
          <w14:ligatures w14:val="none"/>
        </w:rPr>
        <w:drawing>
          <wp:inline distT="0" distB="0" distL="0" distR="0">
            <wp:extent cx="5615940" cy="7943850"/>
            <wp:effectExtent l="0" t="0" r="3810" b="0"/>
            <wp:docPr id="6221346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134679" name="图片 3"/>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15940" cy="7943850"/>
                    </a:xfrm>
                    <a:prstGeom prst="rect">
                      <a:avLst/>
                    </a:prstGeom>
                  </pic:spPr>
                </pic:pic>
              </a:graphicData>
            </a:graphic>
          </wp:inline>
        </w:drawing>
      </w:r>
      <w:r>
        <w:rPr>
          <w:rFonts w:eastAsia="楷体_GB2312"/>
          <w:sz w:val="36"/>
          <w:szCs w:val="36"/>
        </w:rPr>
        <w:br w:type="page"/>
      </w:r>
    </w:p>
    <w:p w14:paraId="0CA462C6">
      <w:pPr>
        <w:adjustRightInd w:val="0"/>
        <w:snapToGrid w:val="0"/>
        <w:spacing w:line="288" w:lineRule="auto"/>
        <w:jc w:val="center"/>
        <w:rPr>
          <w:rFonts w:eastAsia="楷体_GB2312"/>
          <w:sz w:val="36"/>
          <w:szCs w:val="36"/>
        </w:rPr>
        <w:sectPr>
          <w:headerReference r:id="rId5" w:type="first"/>
          <w:footerReference r:id="rId8" w:type="first"/>
          <w:headerReference r:id="rId3" w:type="default"/>
          <w:footerReference r:id="rId6" w:type="default"/>
          <w:headerReference r:id="rId4" w:type="even"/>
          <w:footerReference r:id="rId7" w:type="even"/>
          <w:pgSz w:w="11906" w:h="16838"/>
          <w:pgMar w:top="1701" w:right="1531" w:bottom="1701" w:left="1531" w:header="851" w:footer="1077" w:gutter="0"/>
          <w:pgNumType w:start="21"/>
          <w:cols w:space="720" w:num="1"/>
          <w:docGrid w:linePitch="312" w:charSpace="0"/>
        </w:sectPr>
      </w:pPr>
    </w:p>
    <w:tbl>
      <w:tblPr>
        <w:tblStyle w:val="73"/>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407"/>
        <w:gridCol w:w="4407"/>
      </w:tblGrid>
      <w:tr w14:paraId="254BC8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407" w:type="dxa"/>
            <w:vAlign w:val="center"/>
          </w:tcPr>
          <w:p w14:paraId="5F3A147D">
            <w:pPr>
              <w:adjustRightInd w:val="0"/>
              <w:snapToGrid w:val="0"/>
              <w:spacing w:line="288" w:lineRule="auto"/>
              <w:jc w:val="center"/>
              <w:rPr>
                <w:rFonts w:eastAsia="楷体_GB2312"/>
                <w:sz w:val="36"/>
                <w:szCs w:val="36"/>
              </w:rPr>
            </w:pPr>
            <w:r>
              <w:rPr>
                <w:rFonts w:eastAsia="楷体_GB2312"/>
                <w:sz w:val="36"/>
                <w:szCs w:val="36"/>
              </w:rPr>
              <w:drawing>
                <wp:inline distT="0" distB="0" distL="0" distR="0">
                  <wp:extent cx="2519680" cy="1889760"/>
                  <wp:effectExtent l="0" t="0" r="0" b="0"/>
                  <wp:docPr id="77" name="图片 77" descr="J:\2021年项目\13.中海油\中海油\LXD-38\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J:\2021年项目\13.中海油\中海油\LXD-38\北.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520000" cy="1890000"/>
                          </a:xfrm>
                          <a:prstGeom prst="rect">
                            <a:avLst/>
                          </a:prstGeom>
                          <a:noFill/>
                          <a:ln>
                            <a:noFill/>
                          </a:ln>
                        </pic:spPr>
                      </pic:pic>
                    </a:graphicData>
                  </a:graphic>
                </wp:inline>
              </w:drawing>
            </w:r>
          </w:p>
          <w:p w14:paraId="6438CA9A">
            <w:pPr>
              <w:adjustRightInd w:val="0"/>
              <w:snapToGrid w:val="0"/>
              <w:spacing w:line="288" w:lineRule="auto"/>
              <w:jc w:val="center"/>
              <w:rPr>
                <w:rFonts w:eastAsia="楷体_GB2312"/>
                <w:sz w:val="36"/>
                <w:szCs w:val="36"/>
              </w:rPr>
            </w:pPr>
            <w:r>
              <w:rPr>
                <w:rFonts w:eastAsia="楷体_GB2312"/>
                <w:sz w:val="36"/>
                <w:szCs w:val="36"/>
              </w:rPr>
              <w:t>LXDG-14</w:t>
            </w:r>
            <w:r>
              <w:rPr>
                <w:rFonts w:hint="eastAsia" w:eastAsia="楷体_GB2312"/>
                <w:sz w:val="36"/>
                <w:szCs w:val="36"/>
              </w:rPr>
              <w:t>井场</w:t>
            </w:r>
            <w:r>
              <w:rPr>
                <w:rFonts w:eastAsia="楷体_GB2312"/>
                <w:sz w:val="36"/>
                <w:szCs w:val="36"/>
              </w:rPr>
              <w:t>北侧</w:t>
            </w:r>
          </w:p>
        </w:tc>
        <w:tc>
          <w:tcPr>
            <w:tcW w:w="4407" w:type="dxa"/>
            <w:vAlign w:val="center"/>
          </w:tcPr>
          <w:p w14:paraId="15388222">
            <w:pPr>
              <w:adjustRightInd w:val="0"/>
              <w:snapToGrid w:val="0"/>
              <w:spacing w:line="288" w:lineRule="auto"/>
              <w:jc w:val="center"/>
              <w:rPr>
                <w:rFonts w:eastAsia="楷体_GB2312"/>
                <w:sz w:val="36"/>
                <w:szCs w:val="36"/>
              </w:rPr>
            </w:pPr>
            <w:r>
              <w:rPr>
                <w:rFonts w:eastAsia="楷体_GB2312"/>
                <w:sz w:val="36"/>
                <w:szCs w:val="36"/>
              </w:rPr>
              <w:drawing>
                <wp:inline distT="0" distB="0" distL="0" distR="0">
                  <wp:extent cx="2519680" cy="1889760"/>
                  <wp:effectExtent l="0" t="0" r="0" b="0"/>
                  <wp:docPr id="78" name="图片 78" descr="J:\2021年项目\13.中海油\中海油\LXD-38\东.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J:\2021年项目\13.中海油\中海油\LXD-38\东.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520000" cy="1890000"/>
                          </a:xfrm>
                          <a:prstGeom prst="rect">
                            <a:avLst/>
                          </a:prstGeom>
                          <a:noFill/>
                          <a:ln>
                            <a:noFill/>
                          </a:ln>
                        </pic:spPr>
                      </pic:pic>
                    </a:graphicData>
                  </a:graphic>
                </wp:inline>
              </w:drawing>
            </w:r>
          </w:p>
          <w:p w14:paraId="71C17253">
            <w:pPr>
              <w:adjustRightInd w:val="0"/>
              <w:snapToGrid w:val="0"/>
              <w:spacing w:line="288" w:lineRule="auto"/>
              <w:jc w:val="center"/>
              <w:rPr>
                <w:rFonts w:eastAsia="楷体_GB2312"/>
                <w:sz w:val="36"/>
                <w:szCs w:val="36"/>
              </w:rPr>
            </w:pPr>
            <w:r>
              <w:rPr>
                <w:rFonts w:eastAsia="楷体_GB2312"/>
                <w:sz w:val="36"/>
                <w:szCs w:val="36"/>
              </w:rPr>
              <w:t>LXDG-14</w:t>
            </w:r>
            <w:r>
              <w:rPr>
                <w:rFonts w:hint="eastAsia" w:eastAsia="楷体_GB2312"/>
                <w:sz w:val="36"/>
                <w:szCs w:val="36"/>
              </w:rPr>
              <w:t>井场</w:t>
            </w:r>
            <w:r>
              <w:rPr>
                <w:rFonts w:eastAsia="楷体_GB2312"/>
                <w:sz w:val="36"/>
                <w:szCs w:val="36"/>
              </w:rPr>
              <w:t>东侧</w:t>
            </w:r>
          </w:p>
        </w:tc>
      </w:tr>
      <w:tr w14:paraId="1F03A4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407" w:type="dxa"/>
            <w:vAlign w:val="center"/>
          </w:tcPr>
          <w:p w14:paraId="616E6CF6">
            <w:pPr>
              <w:adjustRightInd w:val="0"/>
              <w:snapToGrid w:val="0"/>
              <w:spacing w:line="288" w:lineRule="auto"/>
              <w:jc w:val="center"/>
              <w:rPr>
                <w:rFonts w:eastAsia="楷体_GB2312"/>
                <w:sz w:val="36"/>
                <w:szCs w:val="36"/>
              </w:rPr>
            </w:pPr>
            <w:r>
              <w:rPr>
                <w:rFonts w:eastAsia="楷体_GB2312"/>
                <w:sz w:val="36"/>
                <w:szCs w:val="36"/>
              </w:rPr>
              <w:drawing>
                <wp:inline distT="0" distB="0" distL="0" distR="0">
                  <wp:extent cx="2519680" cy="1889760"/>
                  <wp:effectExtent l="0" t="0" r="0" b="0"/>
                  <wp:docPr id="79" name="图片 79" descr="J:\2021年项目\13.中海油\中海油\LXD-38\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J:\2021年项目\13.中海油\中海油\LXD-38\南.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2520000" cy="1890000"/>
                          </a:xfrm>
                          <a:prstGeom prst="rect">
                            <a:avLst/>
                          </a:prstGeom>
                          <a:noFill/>
                          <a:ln>
                            <a:noFill/>
                          </a:ln>
                        </pic:spPr>
                      </pic:pic>
                    </a:graphicData>
                  </a:graphic>
                </wp:inline>
              </w:drawing>
            </w:r>
          </w:p>
          <w:p w14:paraId="072B757D">
            <w:pPr>
              <w:adjustRightInd w:val="0"/>
              <w:snapToGrid w:val="0"/>
              <w:spacing w:line="288" w:lineRule="auto"/>
              <w:jc w:val="center"/>
              <w:rPr>
                <w:rFonts w:eastAsia="楷体_GB2312"/>
                <w:sz w:val="36"/>
                <w:szCs w:val="36"/>
              </w:rPr>
            </w:pPr>
            <w:r>
              <w:rPr>
                <w:rFonts w:eastAsia="楷体_GB2312"/>
                <w:sz w:val="36"/>
                <w:szCs w:val="36"/>
              </w:rPr>
              <w:t>LXDG-14</w:t>
            </w:r>
            <w:r>
              <w:rPr>
                <w:rFonts w:hint="eastAsia" w:eastAsia="楷体_GB2312"/>
                <w:sz w:val="36"/>
                <w:szCs w:val="36"/>
              </w:rPr>
              <w:t>井场</w:t>
            </w:r>
            <w:r>
              <w:rPr>
                <w:rFonts w:eastAsia="楷体_GB2312"/>
                <w:sz w:val="36"/>
                <w:szCs w:val="36"/>
              </w:rPr>
              <w:t>南侧</w:t>
            </w:r>
          </w:p>
        </w:tc>
        <w:tc>
          <w:tcPr>
            <w:tcW w:w="4407" w:type="dxa"/>
            <w:vAlign w:val="center"/>
          </w:tcPr>
          <w:p w14:paraId="6D26DF99">
            <w:pPr>
              <w:tabs>
                <w:tab w:val="left" w:pos="1155"/>
              </w:tabs>
              <w:adjustRightInd w:val="0"/>
              <w:snapToGrid w:val="0"/>
              <w:spacing w:line="288" w:lineRule="auto"/>
              <w:jc w:val="center"/>
              <w:rPr>
                <w:rFonts w:eastAsia="楷体_GB2312"/>
                <w:sz w:val="36"/>
                <w:szCs w:val="36"/>
              </w:rPr>
            </w:pPr>
            <w:r>
              <w:rPr>
                <w:rFonts w:eastAsia="楷体_GB2312"/>
                <w:sz w:val="36"/>
                <w:szCs w:val="36"/>
              </w:rPr>
              <w:drawing>
                <wp:inline distT="0" distB="0" distL="0" distR="0">
                  <wp:extent cx="2519680" cy="1890395"/>
                  <wp:effectExtent l="0" t="0" r="0" b="0"/>
                  <wp:docPr id="80" name="图片 80" descr="J:\2021年项目\13.中海油\中海油\LXD-38\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J:\2021年项目\13.中海油\中海油\LXD-38\西.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2520000" cy="1890750"/>
                          </a:xfrm>
                          <a:prstGeom prst="rect">
                            <a:avLst/>
                          </a:prstGeom>
                          <a:noFill/>
                          <a:ln>
                            <a:noFill/>
                          </a:ln>
                        </pic:spPr>
                      </pic:pic>
                    </a:graphicData>
                  </a:graphic>
                </wp:inline>
              </w:drawing>
            </w:r>
          </w:p>
          <w:p w14:paraId="2946DFC7">
            <w:pPr>
              <w:adjustRightInd w:val="0"/>
              <w:snapToGrid w:val="0"/>
              <w:spacing w:line="288" w:lineRule="auto"/>
              <w:jc w:val="center"/>
              <w:rPr>
                <w:rFonts w:eastAsia="楷体_GB2312"/>
                <w:sz w:val="36"/>
                <w:szCs w:val="36"/>
              </w:rPr>
            </w:pPr>
            <w:r>
              <w:rPr>
                <w:rFonts w:eastAsia="楷体_GB2312"/>
                <w:sz w:val="36"/>
                <w:szCs w:val="36"/>
              </w:rPr>
              <w:t>LXDG-14</w:t>
            </w:r>
            <w:r>
              <w:rPr>
                <w:rFonts w:hint="eastAsia" w:eastAsia="楷体_GB2312"/>
                <w:sz w:val="36"/>
                <w:szCs w:val="36"/>
              </w:rPr>
              <w:t>井场</w:t>
            </w:r>
            <w:r>
              <w:rPr>
                <w:rFonts w:eastAsia="楷体_GB2312"/>
                <w:sz w:val="36"/>
                <w:szCs w:val="36"/>
              </w:rPr>
              <w:t>西侧</w:t>
            </w:r>
          </w:p>
        </w:tc>
      </w:tr>
      <w:tr w14:paraId="59CA8F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407" w:type="dxa"/>
            <w:vAlign w:val="center"/>
          </w:tcPr>
          <w:p w14:paraId="33597165">
            <w:pPr>
              <w:adjustRightInd w:val="0"/>
              <w:snapToGrid w:val="0"/>
              <w:spacing w:line="288" w:lineRule="auto"/>
              <w:jc w:val="center"/>
              <w:rPr>
                <w:rFonts w:eastAsia="楷体_GB2312"/>
                <w:sz w:val="36"/>
                <w:szCs w:val="36"/>
              </w:rPr>
            </w:pPr>
            <w:r>
              <w:rPr>
                <w:rFonts w:eastAsia="楷体_GB2312"/>
                <w:sz w:val="36"/>
                <w:szCs w:val="36"/>
              </w:rPr>
              <w:drawing>
                <wp:inline distT="0" distB="0" distL="0" distR="0">
                  <wp:extent cx="2519680" cy="1889760"/>
                  <wp:effectExtent l="0" t="0" r="0" b="0"/>
                  <wp:docPr id="7" name="图片 7" descr="J:\2021年项目\13.中海油\中海油\LXD-112\IMG_2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J:\2021年项目\13.中海油\中海油\LXD-112\IMG_240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2520000" cy="1890000"/>
                          </a:xfrm>
                          <a:prstGeom prst="rect">
                            <a:avLst/>
                          </a:prstGeom>
                          <a:noFill/>
                          <a:ln>
                            <a:noFill/>
                          </a:ln>
                        </pic:spPr>
                      </pic:pic>
                    </a:graphicData>
                  </a:graphic>
                </wp:inline>
              </w:drawing>
            </w:r>
          </w:p>
          <w:p w14:paraId="6747465C">
            <w:pPr>
              <w:adjustRightInd w:val="0"/>
              <w:snapToGrid w:val="0"/>
              <w:spacing w:line="288" w:lineRule="auto"/>
              <w:jc w:val="center"/>
              <w:rPr>
                <w:rFonts w:eastAsia="楷体_GB2312"/>
                <w:sz w:val="36"/>
                <w:szCs w:val="36"/>
              </w:rPr>
            </w:pPr>
            <w:r>
              <w:rPr>
                <w:rFonts w:hint="eastAsia" w:eastAsia="楷体_GB2312"/>
                <w:sz w:val="36"/>
                <w:szCs w:val="36"/>
              </w:rPr>
              <w:t>L</w:t>
            </w:r>
            <w:r>
              <w:rPr>
                <w:rFonts w:eastAsia="楷体_GB2312"/>
                <w:sz w:val="36"/>
                <w:szCs w:val="36"/>
              </w:rPr>
              <w:t>XD3-9</w:t>
            </w:r>
            <w:r>
              <w:rPr>
                <w:rFonts w:hint="eastAsia" w:eastAsia="楷体_GB2312"/>
                <w:sz w:val="36"/>
                <w:szCs w:val="36"/>
              </w:rPr>
              <w:t>井场</w:t>
            </w:r>
            <w:r>
              <w:rPr>
                <w:rFonts w:eastAsia="楷体_GB2312"/>
                <w:sz w:val="36"/>
                <w:szCs w:val="36"/>
              </w:rPr>
              <w:t>北侧</w:t>
            </w:r>
          </w:p>
        </w:tc>
        <w:tc>
          <w:tcPr>
            <w:tcW w:w="4407" w:type="dxa"/>
            <w:vAlign w:val="center"/>
          </w:tcPr>
          <w:p w14:paraId="3765EFA1">
            <w:pPr>
              <w:adjustRightInd w:val="0"/>
              <w:snapToGrid w:val="0"/>
              <w:spacing w:line="288" w:lineRule="auto"/>
              <w:jc w:val="center"/>
              <w:rPr>
                <w:rFonts w:eastAsia="楷体_GB2312"/>
                <w:sz w:val="36"/>
                <w:szCs w:val="36"/>
              </w:rPr>
            </w:pPr>
            <w:r>
              <w:rPr>
                <w:rFonts w:eastAsia="楷体_GB2312"/>
                <w:sz w:val="36"/>
                <w:szCs w:val="36"/>
              </w:rPr>
              <w:drawing>
                <wp:inline distT="0" distB="0" distL="0" distR="0">
                  <wp:extent cx="2519680" cy="1889760"/>
                  <wp:effectExtent l="0" t="0" r="0" b="0"/>
                  <wp:docPr id="58" name="图片 58" descr="J:\2021年项目\13.中海油\中海油\LXD-112\IMG_2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J:\2021年项目\13.中海油\中海油\LXD-112\IMG_240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2520000" cy="1890000"/>
                          </a:xfrm>
                          <a:prstGeom prst="rect">
                            <a:avLst/>
                          </a:prstGeom>
                          <a:noFill/>
                          <a:ln>
                            <a:noFill/>
                          </a:ln>
                        </pic:spPr>
                      </pic:pic>
                    </a:graphicData>
                  </a:graphic>
                </wp:inline>
              </w:drawing>
            </w:r>
          </w:p>
          <w:p w14:paraId="34631FDF">
            <w:pPr>
              <w:adjustRightInd w:val="0"/>
              <w:snapToGrid w:val="0"/>
              <w:spacing w:line="288" w:lineRule="auto"/>
              <w:jc w:val="center"/>
              <w:rPr>
                <w:rFonts w:eastAsia="楷体_GB2312"/>
                <w:sz w:val="36"/>
                <w:szCs w:val="36"/>
              </w:rPr>
            </w:pPr>
            <w:r>
              <w:rPr>
                <w:rFonts w:hint="eastAsia" w:eastAsia="楷体_GB2312"/>
                <w:sz w:val="36"/>
                <w:szCs w:val="36"/>
              </w:rPr>
              <w:t>L</w:t>
            </w:r>
            <w:r>
              <w:rPr>
                <w:rFonts w:eastAsia="楷体_GB2312"/>
                <w:sz w:val="36"/>
                <w:szCs w:val="36"/>
              </w:rPr>
              <w:t>XD3-9</w:t>
            </w:r>
            <w:r>
              <w:rPr>
                <w:rFonts w:hint="eastAsia" w:eastAsia="楷体_GB2312"/>
                <w:sz w:val="36"/>
                <w:szCs w:val="36"/>
              </w:rPr>
              <w:t>井场</w:t>
            </w:r>
            <w:r>
              <w:rPr>
                <w:rFonts w:eastAsia="楷体_GB2312"/>
                <w:sz w:val="36"/>
                <w:szCs w:val="36"/>
              </w:rPr>
              <w:t>东侧</w:t>
            </w:r>
          </w:p>
        </w:tc>
      </w:tr>
      <w:tr w14:paraId="5F8B68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407" w:type="dxa"/>
            <w:vAlign w:val="center"/>
          </w:tcPr>
          <w:p w14:paraId="205F9BA0">
            <w:pPr>
              <w:adjustRightInd w:val="0"/>
              <w:snapToGrid w:val="0"/>
              <w:spacing w:line="288" w:lineRule="auto"/>
              <w:jc w:val="center"/>
              <w:rPr>
                <w:rFonts w:eastAsia="楷体_GB2312"/>
                <w:sz w:val="36"/>
                <w:szCs w:val="36"/>
              </w:rPr>
            </w:pPr>
            <w:r>
              <w:rPr>
                <w:rFonts w:eastAsia="楷体_GB2312"/>
                <w:sz w:val="36"/>
                <w:szCs w:val="36"/>
              </w:rPr>
              <w:drawing>
                <wp:inline distT="0" distB="0" distL="0" distR="0">
                  <wp:extent cx="2519680" cy="1889760"/>
                  <wp:effectExtent l="0" t="0" r="0" b="0"/>
                  <wp:docPr id="59" name="图片 59" descr="J:\2021年项目\13.中海油\中海油\LXD-112\IMG_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J:\2021年项目\13.中海油\中海油\LXD-112\IMG_241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2520000" cy="1890000"/>
                          </a:xfrm>
                          <a:prstGeom prst="rect">
                            <a:avLst/>
                          </a:prstGeom>
                          <a:noFill/>
                          <a:ln>
                            <a:noFill/>
                          </a:ln>
                        </pic:spPr>
                      </pic:pic>
                    </a:graphicData>
                  </a:graphic>
                </wp:inline>
              </w:drawing>
            </w:r>
          </w:p>
          <w:p w14:paraId="4AFB3A29">
            <w:pPr>
              <w:adjustRightInd w:val="0"/>
              <w:snapToGrid w:val="0"/>
              <w:spacing w:line="288" w:lineRule="auto"/>
              <w:jc w:val="center"/>
              <w:rPr>
                <w:rFonts w:eastAsia="楷体_GB2312"/>
                <w:sz w:val="36"/>
                <w:szCs w:val="36"/>
              </w:rPr>
            </w:pPr>
            <w:r>
              <w:rPr>
                <w:rFonts w:hint="eastAsia" w:eastAsia="楷体_GB2312"/>
                <w:sz w:val="36"/>
                <w:szCs w:val="36"/>
              </w:rPr>
              <w:t>L</w:t>
            </w:r>
            <w:r>
              <w:rPr>
                <w:rFonts w:eastAsia="楷体_GB2312"/>
                <w:sz w:val="36"/>
                <w:szCs w:val="36"/>
              </w:rPr>
              <w:t>XD3-9</w:t>
            </w:r>
            <w:r>
              <w:rPr>
                <w:rFonts w:hint="eastAsia" w:eastAsia="楷体_GB2312"/>
                <w:sz w:val="36"/>
                <w:szCs w:val="36"/>
              </w:rPr>
              <w:t>井场</w:t>
            </w:r>
            <w:r>
              <w:rPr>
                <w:rFonts w:eastAsia="楷体_GB2312"/>
                <w:sz w:val="36"/>
                <w:szCs w:val="36"/>
              </w:rPr>
              <w:t>南侧</w:t>
            </w:r>
          </w:p>
        </w:tc>
        <w:tc>
          <w:tcPr>
            <w:tcW w:w="4407" w:type="dxa"/>
            <w:vAlign w:val="center"/>
          </w:tcPr>
          <w:p w14:paraId="4C51E91A">
            <w:pPr>
              <w:tabs>
                <w:tab w:val="left" w:pos="1155"/>
              </w:tabs>
              <w:adjustRightInd w:val="0"/>
              <w:snapToGrid w:val="0"/>
              <w:spacing w:line="288" w:lineRule="auto"/>
              <w:jc w:val="center"/>
              <w:rPr>
                <w:rFonts w:eastAsia="楷体_GB2312"/>
                <w:sz w:val="36"/>
                <w:szCs w:val="36"/>
              </w:rPr>
            </w:pPr>
            <w:r>
              <w:rPr>
                <w:rFonts w:eastAsia="楷体_GB2312"/>
                <w:sz w:val="36"/>
                <w:szCs w:val="36"/>
              </w:rPr>
              <w:drawing>
                <wp:inline distT="0" distB="0" distL="0" distR="0">
                  <wp:extent cx="2519680" cy="1889760"/>
                  <wp:effectExtent l="0" t="0" r="0" b="0"/>
                  <wp:docPr id="12" name="图片 12" descr="J:\2021年项目\13.中海油\中海油\LXD-112\IMG_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J:\2021年项目\13.中海油\中海油\LXD-112\IMG_240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520000" cy="1890000"/>
                          </a:xfrm>
                          <a:prstGeom prst="rect">
                            <a:avLst/>
                          </a:prstGeom>
                          <a:noFill/>
                          <a:ln>
                            <a:noFill/>
                          </a:ln>
                        </pic:spPr>
                      </pic:pic>
                    </a:graphicData>
                  </a:graphic>
                </wp:inline>
              </w:drawing>
            </w:r>
          </w:p>
          <w:p w14:paraId="22F30173">
            <w:pPr>
              <w:adjustRightInd w:val="0"/>
              <w:snapToGrid w:val="0"/>
              <w:spacing w:line="288" w:lineRule="auto"/>
              <w:jc w:val="center"/>
              <w:rPr>
                <w:rFonts w:eastAsia="楷体_GB2312"/>
                <w:sz w:val="36"/>
                <w:szCs w:val="36"/>
              </w:rPr>
            </w:pPr>
            <w:r>
              <w:rPr>
                <w:rFonts w:hint="eastAsia" w:eastAsia="楷体_GB2312"/>
                <w:sz w:val="36"/>
                <w:szCs w:val="36"/>
              </w:rPr>
              <w:t>L</w:t>
            </w:r>
            <w:r>
              <w:rPr>
                <w:rFonts w:eastAsia="楷体_GB2312"/>
                <w:sz w:val="36"/>
                <w:szCs w:val="36"/>
              </w:rPr>
              <w:t>XD3-9</w:t>
            </w:r>
            <w:r>
              <w:rPr>
                <w:rFonts w:hint="eastAsia" w:eastAsia="楷体_GB2312"/>
                <w:sz w:val="36"/>
                <w:szCs w:val="36"/>
              </w:rPr>
              <w:t>井场</w:t>
            </w:r>
            <w:r>
              <w:rPr>
                <w:rFonts w:eastAsia="楷体_GB2312"/>
                <w:sz w:val="36"/>
                <w:szCs w:val="36"/>
              </w:rPr>
              <w:t>西侧</w:t>
            </w:r>
          </w:p>
        </w:tc>
      </w:tr>
    </w:tbl>
    <w:p w14:paraId="0F952B69">
      <w:pPr>
        <w:adjustRightInd w:val="0"/>
        <w:snapToGrid w:val="0"/>
        <w:spacing w:line="288" w:lineRule="auto"/>
        <w:jc w:val="center"/>
        <w:rPr>
          <w:rFonts w:eastAsia="楷体_GB2312"/>
          <w:sz w:val="36"/>
          <w:szCs w:val="36"/>
        </w:rPr>
      </w:pPr>
    </w:p>
    <w:p w14:paraId="13593681">
      <w:pPr>
        <w:adjustRightInd w:val="0"/>
        <w:snapToGrid w:val="0"/>
        <w:spacing w:line="288" w:lineRule="auto"/>
        <w:ind w:firstLine="1040"/>
        <w:rPr>
          <w:rFonts w:eastAsia="仿宋_GB2312"/>
          <w:sz w:val="36"/>
          <w:szCs w:val="36"/>
        </w:rPr>
        <w:sectPr>
          <w:pgSz w:w="11906" w:h="16838"/>
          <w:pgMar w:top="1701" w:right="1531" w:bottom="1701" w:left="1531" w:header="851" w:footer="1077" w:gutter="0"/>
          <w:pgNumType w:start="21"/>
          <w:cols w:space="720" w:num="1"/>
          <w:docGrid w:linePitch="312" w:charSpace="0"/>
        </w:sectPr>
      </w:pPr>
    </w:p>
    <w:p w14:paraId="1DF64544">
      <w:pPr>
        <w:jc w:val="center"/>
        <w:outlineLvl w:val="0"/>
        <w:rPr>
          <w:rStyle w:val="404"/>
        </w:rPr>
      </w:pPr>
      <w:bookmarkStart w:id="9" w:name="_Toc165209991"/>
      <w:bookmarkStart w:id="10" w:name="_Toc164890567"/>
      <w:bookmarkStart w:id="11" w:name="_Toc165211505"/>
      <w:bookmarkStart w:id="12" w:name="_Toc168031004"/>
      <w:bookmarkStart w:id="13" w:name="_Toc169765986"/>
      <w:bookmarkStart w:id="14" w:name="_Toc171579797"/>
      <w:r>
        <w:rPr>
          <w:rStyle w:val="404"/>
        </w:rPr>
        <w:t>一、建设项目基本情况</w:t>
      </w:r>
      <w:bookmarkEnd w:id="9"/>
      <w:bookmarkEnd w:id="10"/>
      <w:bookmarkEnd w:id="11"/>
      <w:bookmarkEnd w:id="12"/>
      <w:bookmarkEnd w:id="13"/>
      <w:bookmarkEnd w:id="14"/>
    </w:p>
    <w:tbl>
      <w:tblPr>
        <w:tblStyle w:val="72"/>
        <w:tblW w:w="9039" w:type="dxa"/>
        <w:tblInd w:w="16"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226"/>
        <w:gridCol w:w="2043"/>
        <w:gridCol w:w="2218"/>
        <w:gridCol w:w="10"/>
        <w:gridCol w:w="2542"/>
      </w:tblGrid>
      <w:tr w14:paraId="19C147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62" w:hRule="atLeast"/>
        </w:trPr>
        <w:tc>
          <w:tcPr>
            <w:tcW w:w="2226" w:type="dxa"/>
            <w:tcMar>
              <w:top w:w="16" w:type="dxa"/>
              <w:left w:w="16" w:type="dxa"/>
              <w:right w:w="16" w:type="dxa"/>
            </w:tcMar>
            <w:vAlign w:val="center"/>
          </w:tcPr>
          <w:p w14:paraId="0BCBFB07">
            <w:pPr>
              <w:adjustRightInd w:val="0"/>
              <w:snapToGrid w:val="0"/>
              <w:jc w:val="center"/>
              <w:rPr>
                <w:rFonts w:ascii="宋体" w:hAnsi="宋体" w:eastAsia="宋体"/>
                <w:szCs w:val="21"/>
              </w:rPr>
            </w:pPr>
            <w:r>
              <w:rPr>
                <w:rFonts w:ascii="宋体" w:hAnsi="宋体" w:eastAsia="宋体"/>
                <w:szCs w:val="21"/>
              </w:rPr>
              <w:t>建设项目名称</w:t>
            </w:r>
          </w:p>
        </w:tc>
        <w:tc>
          <w:tcPr>
            <w:tcW w:w="6813" w:type="dxa"/>
            <w:gridSpan w:val="4"/>
            <w:vAlign w:val="center"/>
          </w:tcPr>
          <w:p w14:paraId="2B69ED4C">
            <w:pPr>
              <w:adjustRightInd w:val="0"/>
              <w:snapToGrid w:val="0"/>
              <w:jc w:val="center"/>
              <w:rPr>
                <w:rFonts w:ascii="宋体" w:hAnsi="宋体" w:eastAsia="宋体"/>
                <w:szCs w:val="21"/>
              </w:rPr>
            </w:pPr>
            <w:r>
              <w:rPr>
                <w:rFonts w:hint="eastAsia" w:ascii="宋体" w:hAnsi="宋体" w:eastAsia="宋体"/>
                <w:szCs w:val="21"/>
              </w:rPr>
              <w:t>临兴东尚义区气田开发项目（二期）勘探井</w:t>
            </w:r>
          </w:p>
        </w:tc>
      </w:tr>
      <w:tr w14:paraId="73A81B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2226" w:type="dxa"/>
            <w:tcMar>
              <w:top w:w="16" w:type="dxa"/>
              <w:left w:w="16" w:type="dxa"/>
              <w:right w:w="16" w:type="dxa"/>
            </w:tcMar>
            <w:vAlign w:val="center"/>
          </w:tcPr>
          <w:p w14:paraId="26DF6551">
            <w:pPr>
              <w:adjustRightInd w:val="0"/>
              <w:snapToGrid w:val="0"/>
              <w:jc w:val="center"/>
              <w:rPr>
                <w:rFonts w:ascii="宋体" w:hAnsi="宋体" w:eastAsia="宋体"/>
                <w:szCs w:val="21"/>
              </w:rPr>
            </w:pPr>
            <w:r>
              <w:rPr>
                <w:rFonts w:ascii="宋体" w:hAnsi="宋体" w:eastAsia="宋体"/>
                <w:szCs w:val="21"/>
              </w:rPr>
              <w:t>项目代码</w:t>
            </w:r>
          </w:p>
        </w:tc>
        <w:tc>
          <w:tcPr>
            <w:tcW w:w="6813" w:type="dxa"/>
            <w:gridSpan w:val="4"/>
            <w:vAlign w:val="center"/>
          </w:tcPr>
          <w:p w14:paraId="633E9A08">
            <w:pPr>
              <w:adjustRightInd w:val="0"/>
              <w:snapToGrid w:val="0"/>
              <w:jc w:val="center"/>
              <w:rPr>
                <w:rFonts w:ascii="宋体" w:hAnsi="宋体" w:eastAsia="宋体"/>
                <w:szCs w:val="21"/>
              </w:rPr>
            </w:pPr>
            <w:r>
              <w:rPr>
                <w:rFonts w:ascii="宋体" w:hAnsi="宋体" w:eastAsia="宋体"/>
                <w:szCs w:val="21"/>
              </w:rPr>
              <w:t>无</w:t>
            </w:r>
          </w:p>
        </w:tc>
      </w:tr>
      <w:tr w14:paraId="3746F3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2226" w:type="dxa"/>
            <w:tcMar>
              <w:top w:w="16" w:type="dxa"/>
              <w:left w:w="16" w:type="dxa"/>
              <w:right w:w="16" w:type="dxa"/>
            </w:tcMar>
            <w:vAlign w:val="center"/>
          </w:tcPr>
          <w:p w14:paraId="132BE5CA">
            <w:pPr>
              <w:adjustRightInd w:val="0"/>
              <w:snapToGrid w:val="0"/>
              <w:jc w:val="center"/>
              <w:rPr>
                <w:rFonts w:ascii="宋体" w:hAnsi="宋体" w:eastAsia="宋体"/>
                <w:szCs w:val="21"/>
              </w:rPr>
            </w:pPr>
            <w:r>
              <w:rPr>
                <w:rFonts w:ascii="宋体" w:hAnsi="宋体" w:eastAsia="宋体"/>
                <w:szCs w:val="21"/>
              </w:rPr>
              <w:t>建设单位联系人</w:t>
            </w:r>
          </w:p>
        </w:tc>
        <w:tc>
          <w:tcPr>
            <w:tcW w:w="2043" w:type="dxa"/>
            <w:vAlign w:val="center"/>
          </w:tcPr>
          <w:p w14:paraId="161B2C42">
            <w:pPr>
              <w:adjustRightInd w:val="0"/>
              <w:snapToGrid w:val="0"/>
              <w:jc w:val="center"/>
              <w:rPr>
                <w:rFonts w:ascii="宋体" w:hAnsi="宋体" w:eastAsia="宋体"/>
                <w:szCs w:val="21"/>
              </w:rPr>
            </w:pPr>
            <w:r>
              <w:rPr>
                <w:rFonts w:hint="eastAsia" w:ascii="宋体" w:hAnsi="宋体" w:eastAsia="宋体"/>
                <w:szCs w:val="21"/>
              </w:rPr>
              <w:t>刘勇</w:t>
            </w:r>
          </w:p>
        </w:tc>
        <w:tc>
          <w:tcPr>
            <w:tcW w:w="2228" w:type="dxa"/>
            <w:gridSpan w:val="2"/>
            <w:vAlign w:val="center"/>
          </w:tcPr>
          <w:p w14:paraId="2B7DAA75">
            <w:pPr>
              <w:adjustRightInd w:val="0"/>
              <w:snapToGrid w:val="0"/>
              <w:jc w:val="center"/>
              <w:rPr>
                <w:rFonts w:ascii="宋体" w:hAnsi="宋体" w:eastAsia="宋体"/>
                <w:szCs w:val="21"/>
              </w:rPr>
            </w:pPr>
            <w:r>
              <w:rPr>
                <w:rFonts w:ascii="宋体" w:hAnsi="宋体" w:eastAsia="宋体"/>
                <w:szCs w:val="21"/>
              </w:rPr>
              <w:t>联系方式</w:t>
            </w:r>
          </w:p>
        </w:tc>
        <w:tc>
          <w:tcPr>
            <w:tcW w:w="2542" w:type="dxa"/>
            <w:vAlign w:val="center"/>
          </w:tcPr>
          <w:p w14:paraId="0F01131D">
            <w:pPr>
              <w:adjustRightInd w:val="0"/>
              <w:snapToGrid w:val="0"/>
              <w:jc w:val="center"/>
              <w:rPr>
                <w:rFonts w:ascii="宋体" w:hAnsi="宋体" w:eastAsia="宋体"/>
                <w:szCs w:val="21"/>
              </w:rPr>
            </w:pPr>
            <w:r>
              <w:rPr>
                <w:rFonts w:ascii="宋体" w:hAnsi="宋体" w:eastAsia="宋体"/>
                <w:szCs w:val="21"/>
              </w:rPr>
              <w:t>15935834035</w:t>
            </w:r>
          </w:p>
        </w:tc>
      </w:tr>
      <w:tr w14:paraId="5860E3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2226" w:type="dxa"/>
            <w:tcMar>
              <w:top w:w="16" w:type="dxa"/>
              <w:left w:w="16" w:type="dxa"/>
              <w:right w:w="16" w:type="dxa"/>
            </w:tcMar>
            <w:vAlign w:val="center"/>
          </w:tcPr>
          <w:p w14:paraId="37F3EB1E">
            <w:pPr>
              <w:adjustRightInd w:val="0"/>
              <w:snapToGrid w:val="0"/>
              <w:jc w:val="center"/>
              <w:rPr>
                <w:rFonts w:ascii="宋体" w:hAnsi="宋体" w:eastAsia="宋体"/>
                <w:szCs w:val="21"/>
              </w:rPr>
            </w:pPr>
            <w:r>
              <w:rPr>
                <w:rFonts w:ascii="宋体" w:hAnsi="宋体" w:eastAsia="宋体"/>
                <w:szCs w:val="21"/>
              </w:rPr>
              <w:t>建设地点</w:t>
            </w:r>
          </w:p>
        </w:tc>
        <w:tc>
          <w:tcPr>
            <w:tcW w:w="6813" w:type="dxa"/>
            <w:gridSpan w:val="4"/>
            <w:vAlign w:val="center"/>
          </w:tcPr>
          <w:p w14:paraId="238FA2AF">
            <w:pPr>
              <w:rPr>
                <w:rFonts w:ascii="宋体" w:hAnsi="宋体" w:eastAsia="宋体"/>
                <w:szCs w:val="21"/>
              </w:rPr>
            </w:pPr>
            <w:r>
              <w:rPr>
                <w:rFonts w:ascii="宋体" w:hAnsi="宋体" w:eastAsia="宋体"/>
                <w:szCs w:val="21"/>
              </w:rPr>
              <w:t>山西省吕梁市兴县</w:t>
            </w:r>
            <w:r>
              <w:rPr>
                <w:rFonts w:hint="eastAsia" w:ascii="宋体" w:hAnsi="宋体" w:eastAsia="宋体"/>
                <w:szCs w:val="21"/>
              </w:rPr>
              <w:t>罗峪口镇、</w:t>
            </w:r>
            <w:r>
              <w:rPr>
                <w:rFonts w:ascii="宋体" w:hAnsi="宋体" w:eastAsia="宋体"/>
              </w:rPr>
              <w:t>孟家坪乡</w:t>
            </w:r>
            <w:r>
              <w:rPr>
                <w:rFonts w:hint="eastAsia" w:ascii="宋体" w:hAnsi="宋体" w:eastAsia="宋体"/>
              </w:rPr>
              <w:t>、高家村镇、赵家坪乡</w:t>
            </w:r>
          </w:p>
        </w:tc>
      </w:tr>
      <w:tr w14:paraId="4329F4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2226" w:type="dxa"/>
            <w:tcMar>
              <w:top w:w="16" w:type="dxa"/>
              <w:left w:w="16" w:type="dxa"/>
              <w:right w:w="16" w:type="dxa"/>
            </w:tcMar>
            <w:vAlign w:val="center"/>
          </w:tcPr>
          <w:p w14:paraId="180B1DFF">
            <w:pPr>
              <w:adjustRightInd w:val="0"/>
              <w:snapToGrid w:val="0"/>
              <w:jc w:val="center"/>
              <w:rPr>
                <w:rFonts w:ascii="宋体" w:hAnsi="宋体" w:eastAsia="宋体"/>
                <w:szCs w:val="21"/>
              </w:rPr>
            </w:pPr>
            <w:r>
              <w:rPr>
                <w:rFonts w:ascii="宋体" w:hAnsi="宋体" w:eastAsia="宋体"/>
                <w:szCs w:val="21"/>
              </w:rPr>
              <w:t>地理坐标</w:t>
            </w:r>
          </w:p>
        </w:tc>
        <w:tc>
          <w:tcPr>
            <w:tcW w:w="6813" w:type="dxa"/>
            <w:gridSpan w:val="4"/>
            <w:vAlign w:val="center"/>
          </w:tcPr>
          <w:p w14:paraId="7D8A7150">
            <w:pPr>
              <w:adjustRightInd w:val="0"/>
              <w:snapToGrid w:val="0"/>
              <w:jc w:val="left"/>
              <w:rPr>
                <w:rFonts w:ascii="宋体" w:hAnsi="宋体" w:eastAsia="宋体"/>
                <w:szCs w:val="21"/>
              </w:rPr>
            </w:pPr>
            <w:r>
              <w:rPr>
                <w:rFonts w:hint="eastAsia" w:ascii="宋体" w:hAnsi="宋体" w:eastAsia="宋体"/>
                <w:szCs w:val="21"/>
              </w:rPr>
              <w:t>东经：110.799795°~110.928962°，北纬：3</w:t>
            </w:r>
            <w:r>
              <w:rPr>
                <w:rFonts w:ascii="宋体" w:hAnsi="宋体" w:eastAsia="宋体"/>
                <w:szCs w:val="21"/>
              </w:rPr>
              <w:t>8.</w:t>
            </w:r>
            <w:r>
              <w:rPr>
                <w:rFonts w:hint="eastAsia" w:ascii="宋体" w:hAnsi="宋体" w:eastAsia="宋体"/>
                <w:szCs w:val="21"/>
              </w:rPr>
              <w:t>367014°~38.46348</w:t>
            </w:r>
            <w:r>
              <w:rPr>
                <w:rFonts w:ascii="宋体" w:hAnsi="宋体" w:eastAsia="宋体"/>
                <w:szCs w:val="21"/>
              </w:rPr>
              <w:t>1</w:t>
            </w:r>
            <w:r>
              <w:rPr>
                <w:rFonts w:hint="eastAsia" w:ascii="宋体" w:hAnsi="宋体" w:eastAsia="宋体"/>
                <w:szCs w:val="21"/>
              </w:rPr>
              <w:t>°</w:t>
            </w:r>
          </w:p>
        </w:tc>
      </w:tr>
      <w:tr w14:paraId="1AA5E1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2226" w:type="dxa"/>
            <w:tcMar>
              <w:top w:w="16" w:type="dxa"/>
              <w:left w:w="16" w:type="dxa"/>
              <w:right w:w="16" w:type="dxa"/>
            </w:tcMar>
            <w:vAlign w:val="center"/>
          </w:tcPr>
          <w:p w14:paraId="3B8E6A6B">
            <w:pPr>
              <w:adjustRightInd w:val="0"/>
              <w:snapToGrid w:val="0"/>
              <w:jc w:val="center"/>
              <w:rPr>
                <w:rFonts w:ascii="宋体" w:hAnsi="宋体" w:eastAsia="宋体"/>
                <w:szCs w:val="21"/>
              </w:rPr>
            </w:pPr>
            <w:r>
              <w:rPr>
                <w:rFonts w:ascii="宋体" w:hAnsi="宋体" w:eastAsia="宋体"/>
                <w:szCs w:val="21"/>
              </w:rPr>
              <w:t>建设项目</w:t>
            </w:r>
          </w:p>
          <w:p w14:paraId="61955E0A">
            <w:pPr>
              <w:adjustRightInd w:val="0"/>
              <w:snapToGrid w:val="0"/>
              <w:jc w:val="center"/>
              <w:rPr>
                <w:rFonts w:ascii="宋体" w:hAnsi="宋体" w:eastAsia="宋体"/>
                <w:szCs w:val="21"/>
              </w:rPr>
            </w:pPr>
            <w:r>
              <w:rPr>
                <w:rFonts w:ascii="宋体" w:hAnsi="宋体" w:eastAsia="宋体"/>
                <w:szCs w:val="21"/>
              </w:rPr>
              <w:t>行业类别</w:t>
            </w:r>
          </w:p>
        </w:tc>
        <w:tc>
          <w:tcPr>
            <w:tcW w:w="2043" w:type="dxa"/>
            <w:vAlign w:val="center"/>
          </w:tcPr>
          <w:p w14:paraId="3A45974D">
            <w:pPr>
              <w:adjustRightInd w:val="0"/>
              <w:snapToGrid w:val="0"/>
              <w:jc w:val="center"/>
              <w:rPr>
                <w:rFonts w:ascii="宋体" w:hAnsi="宋体" w:eastAsia="宋体"/>
                <w:szCs w:val="21"/>
              </w:rPr>
            </w:pPr>
            <w:r>
              <w:rPr>
                <w:rFonts w:ascii="宋体" w:hAnsi="宋体" w:eastAsia="宋体"/>
                <w:szCs w:val="21"/>
              </w:rPr>
              <w:t>46_99陆地矿产资源地质勘查（含油气资源勘探）</w:t>
            </w:r>
          </w:p>
        </w:tc>
        <w:tc>
          <w:tcPr>
            <w:tcW w:w="2218" w:type="dxa"/>
            <w:vAlign w:val="center"/>
          </w:tcPr>
          <w:p w14:paraId="1ACA2D81">
            <w:pPr>
              <w:adjustRightInd w:val="0"/>
              <w:snapToGrid w:val="0"/>
              <w:jc w:val="center"/>
              <w:rPr>
                <w:rFonts w:ascii="宋体" w:hAnsi="宋体" w:eastAsia="宋体"/>
                <w:szCs w:val="21"/>
              </w:rPr>
            </w:pPr>
            <w:r>
              <w:rPr>
                <w:rFonts w:ascii="宋体" w:hAnsi="宋体" w:eastAsia="宋体"/>
                <w:szCs w:val="21"/>
              </w:rPr>
              <w:t>用地面积（m</w:t>
            </w:r>
            <w:r>
              <w:rPr>
                <w:rFonts w:ascii="宋体" w:hAnsi="宋体" w:eastAsia="宋体"/>
                <w:szCs w:val="21"/>
                <w:vertAlign w:val="superscript"/>
              </w:rPr>
              <w:t>2</w:t>
            </w:r>
            <w:r>
              <w:rPr>
                <w:rFonts w:ascii="宋体" w:hAnsi="宋体" w:eastAsia="宋体"/>
                <w:szCs w:val="21"/>
              </w:rPr>
              <w:t>）</w:t>
            </w:r>
          </w:p>
        </w:tc>
        <w:tc>
          <w:tcPr>
            <w:tcW w:w="2552" w:type="dxa"/>
            <w:gridSpan w:val="2"/>
            <w:vAlign w:val="center"/>
          </w:tcPr>
          <w:p w14:paraId="5940811B">
            <w:pPr>
              <w:adjustRightInd w:val="0"/>
              <w:snapToGrid w:val="0"/>
              <w:jc w:val="center"/>
              <w:rPr>
                <w:rFonts w:ascii="宋体" w:hAnsi="宋体" w:eastAsia="宋体"/>
                <w:szCs w:val="21"/>
              </w:rPr>
            </w:pPr>
            <w:r>
              <w:rPr>
                <w:rFonts w:ascii="宋体" w:hAnsi="宋体" w:eastAsia="宋体"/>
                <w:szCs w:val="21"/>
              </w:rPr>
              <w:t>229100</w:t>
            </w:r>
          </w:p>
        </w:tc>
      </w:tr>
      <w:tr w14:paraId="2DFEDD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2226" w:type="dxa"/>
            <w:tcMar>
              <w:top w:w="16" w:type="dxa"/>
              <w:left w:w="16" w:type="dxa"/>
              <w:right w:w="16" w:type="dxa"/>
            </w:tcMar>
            <w:vAlign w:val="center"/>
          </w:tcPr>
          <w:p w14:paraId="68C696D2">
            <w:pPr>
              <w:adjustRightInd w:val="0"/>
              <w:snapToGrid w:val="0"/>
              <w:jc w:val="center"/>
              <w:rPr>
                <w:rFonts w:ascii="宋体" w:hAnsi="宋体" w:eastAsia="宋体"/>
                <w:szCs w:val="21"/>
              </w:rPr>
            </w:pPr>
            <w:r>
              <w:rPr>
                <w:rFonts w:ascii="宋体" w:hAnsi="宋体" w:eastAsia="宋体"/>
                <w:szCs w:val="21"/>
              </w:rPr>
              <w:t>建设性质</w:t>
            </w:r>
          </w:p>
        </w:tc>
        <w:tc>
          <w:tcPr>
            <w:tcW w:w="2043" w:type="dxa"/>
            <w:vAlign w:val="center"/>
          </w:tcPr>
          <w:p w14:paraId="2594F046">
            <w:pPr>
              <w:adjustRightInd w:val="0"/>
              <w:snapToGrid w:val="0"/>
              <w:jc w:val="left"/>
              <w:rPr>
                <w:rFonts w:ascii="宋体" w:hAnsi="宋体" w:eastAsia="宋体"/>
                <w:szCs w:val="21"/>
              </w:rPr>
            </w:pPr>
            <w:r>
              <w:rPr>
                <w:rFonts w:ascii="Segoe UI Symbol" w:hAnsi="Segoe UI Symbol" w:eastAsia="宋体" w:cs="Segoe UI Symbol"/>
                <w:szCs w:val="21"/>
              </w:rPr>
              <w:t>☑</w:t>
            </w:r>
            <w:r>
              <w:rPr>
                <w:rFonts w:ascii="宋体" w:hAnsi="宋体" w:eastAsia="宋体"/>
                <w:szCs w:val="21"/>
              </w:rPr>
              <w:t>新建（迁建）</w:t>
            </w:r>
          </w:p>
          <w:p w14:paraId="5DD27C2E">
            <w:pPr>
              <w:adjustRightInd w:val="0"/>
              <w:snapToGrid w:val="0"/>
              <w:jc w:val="left"/>
              <w:rPr>
                <w:rFonts w:ascii="宋体" w:hAnsi="宋体" w:eastAsia="宋体"/>
                <w:szCs w:val="21"/>
              </w:rPr>
            </w:pPr>
            <w:r>
              <w:rPr>
                <w:rFonts w:ascii="宋体" w:hAnsi="宋体" w:eastAsia="宋体"/>
                <w:szCs w:val="21"/>
              </w:rPr>
              <w:t>□改建</w:t>
            </w:r>
          </w:p>
          <w:p w14:paraId="6EF2C6E0">
            <w:pPr>
              <w:adjustRightInd w:val="0"/>
              <w:snapToGrid w:val="0"/>
              <w:jc w:val="left"/>
              <w:rPr>
                <w:rFonts w:ascii="宋体" w:hAnsi="宋体" w:eastAsia="宋体"/>
                <w:szCs w:val="21"/>
              </w:rPr>
            </w:pPr>
            <w:r>
              <w:rPr>
                <w:rFonts w:ascii="宋体" w:hAnsi="宋体" w:eastAsia="宋体"/>
                <w:szCs w:val="21"/>
              </w:rPr>
              <w:t>□扩建</w:t>
            </w:r>
          </w:p>
          <w:p w14:paraId="72C47B3B">
            <w:pPr>
              <w:adjustRightInd w:val="0"/>
              <w:snapToGrid w:val="0"/>
              <w:jc w:val="left"/>
              <w:rPr>
                <w:rFonts w:ascii="宋体" w:hAnsi="宋体" w:eastAsia="宋体"/>
                <w:szCs w:val="21"/>
              </w:rPr>
            </w:pPr>
            <w:r>
              <w:rPr>
                <w:rFonts w:ascii="宋体" w:hAnsi="宋体" w:eastAsia="宋体"/>
                <w:szCs w:val="21"/>
              </w:rPr>
              <w:t>□技术改造</w:t>
            </w:r>
          </w:p>
        </w:tc>
        <w:tc>
          <w:tcPr>
            <w:tcW w:w="2218" w:type="dxa"/>
            <w:vAlign w:val="center"/>
          </w:tcPr>
          <w:p w14:paraId="76B86A03">
            <w:pPr>
              <w:adjustRightInd w:val="0"/>
              <w:snapToGrid w:val="0"/>
              <w:jc w:val="center"/>
              <w:rPr>
                <w:rFonts w:ascii="宋体" w:hAnsi="宋体" w:eastAsia="宋体"/>
                <w:szCs w:val="21"/>
              </w:rPr>
            </w:pPr>
            <w:r>
              <w:rPr>
                <w:rFonts w:ascii="宋体" w:hAnsi="宋体" w:eastAsia="宋体"/>
                <w:szCs w:val="21"/>
              </w:rPr>
              <w:t>建设项目</w:t>
            </w:r>
          </w:p>
          <w:p w14:paraId="1BC7DE5E">
            <w:pPr>
              <w:adjustRightInd w:val="0"/>
              <w:snapToGrid w:val="0"/>
              <w:jc w:val="center"/>
              <w:rPr>
                <w:rFonts w:ascii="宋体" w:hAnsi="宋体" w:eastAsia="宋体"/>
                <w:szCs w:val="21"/>
              </w:rPr>
            </w:pPr>
            <w:r>
              <w:rPr>
                <w:rFonts w:ascii="宋体" w:hAnsi="宋体" w:eastAsia="宋体"/>
                <w:szCs w:val="21"/>
              </w:rPr>
              <w:t>申报情形</w:t>
            </w:r>
          </w:p>
        </w:tc>
        <w:tc>
          <w:tcPr>
            <w:tcW w:w="2552" w:type="dxa"/>
            <w:gridSpan w:val="2"/>
            <w:vAlign w:val="center"/>
          </w:tcPr>
          <w:p w14:paraId="5DAA7791">
            <w:pPr>
              <w:adjustRightInd w:val="0"/>
              <w:snapToGrid w:val="0"/>
              <w:jc w:val="left"/>
              <w:rPr>
                <w:rFonts w:ascii="宋体" w:hAnsi="宋体" w:eastAsia="宋体"/>
                <w:szCs w:val="21"/>
              </w:rPr>
            </w:pPr>
            <w:r>
              <w:rPr>
                <w:rFonts w:ascii="Segoe UI Symbol" w:hAnsi="Segoe UI Symbol" w:eastAsia="宋体" w:cs="Segoe UI Symbol"/>
                <w:szCs w:val="21"/>
              </w:rPr>
              <w:t>☑</w:t>
            </w:r>
            <w:r>
              <w:rPr>
                <w:rFonts w:ascii="宋体" w:hAnsi="宋体" w:eastAsia="宋体"/>
                <w:szCs w:val="21"/>
              </w:rPr>
              <w:t>首次申报项目</w:t>
            </w:r>
          </w:p>
          <w:p w14:paraId="6FB9D116">
            <w:pPr>
              <w:adjustRightInd w:val="0"/>
              <w:snapToGrid w:val="0"/>
              <w:jc w:val="left"/>
              <w:rPr>
                <w:rFonts w:ascii="宋体" w:hAnsi="宋体" w:eastAsia="宋体"/>
                <w:szCs w:val="21"/>
              </w:rPr>
            </w:pPr>
            <w:r>
              <w:rPr>
                <w:rFonts w:ascii="宋体" w:hAnsi="宋体" w:eastAsia="宋体"/>
                <w:szCs w:val="21"/>
              </w:rPr>
              <w:t>□不予批准后再次申报项目</w:t>
            </w:r>
          </w:p>
          <w:p w14:paraId="469729E9">
            <w:pPr>
              <w:adjustRightInd w:val="0"/>
              <w:snapToGrid w:val="0"/>
              <w:jc w:val="left"/>
              <w:rPr>
                <w:rFonts w:ascii="宋体" w:hAnsi="宋体" w:eastAsia="宋体"/>
                <w:szCs w:val="21"/>
              </w:rPr>
            </w:pPr>
            <w:r>
              <w:rPr>
                <w:rFonts w:ascii="宋体" w:hAnsi="宋体" w:eastAsia="宋体"/>
                <w:szCs w:val="21"/>
              </w:rPr>
              <w:t>□超五年重新审核项目</w:t>
            </w:r>
          </w:p>
          <w:p w14:paraId="302F9F4B">
            <w:pPr>
              <w:adjustRightInd w:val="0"/>
              <w:snapToGrid w:val="0"/>
              <w:rPr>
                <w:rFonts w:ascii="宋体" w:hAnsi="宋体" w:eastAsia="宋体"/>
                <w:szCs w:val="21"/>
              </w:rPr>
            </w:pPr>
            <w:r>
              <w:rPr>
                <w:rFonts w:ascii="宋体" w:hAnsi="宋体" w:eastAsia="宋体"/>
                <w:szCs w:val="21"/>
              </w:rPr>
              <w:t>□重大变动重新报批项目</w:t>
            </w:r>
          </w:p>
        </w:tc>
      </w:tr>
      <w:tr w14:paraId="71C6E6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trPr>
        <w:tc>
          <w:tcPr>
            <w:tcW w:w="2226" w:type="dxa"/>
            <w:tcMar>
              <w:top w:w="16" w:type="dxa"/>
              <w:left w:w="16" w:type="dxa"/>
              <w:right w:w="16" w:type="dxa"/>
            </w:tcMar>
            <w:vAlign w:val="center"/>
          </w:tcPr>
          <w:p w14:paraId="257CEA1B">
            <w:pPr>
              <w:adjustRightInd w:val="0"/>
              <w:snapToGrid w:val="0"/>
              <w:jc w:val="center"/>
              <w:rPr>
                <w:rFonts w:ascii="宋体" w:hAnsi="宋体" w:eastAsia="宋体"/>
                <w:szCs w:val="21"/>
              </w:rPr>
            </w:pPr>
            <w:r>
              <w:rPr>
                <w:rFonts w:ascii="宋体" w:hAnsi="宋体" w:eastAsia="宋体"/>
                <w:szCs w:val="21"/>
              </w:rPr>
              <w:t>项目审批（核准/</w:t>
            </w:r>
          </w:p>
          <w:p w14:paraId="442DCF72">
            <w:pPr>
              <w:adjustRightInd w:val="0"/>
              <w:snapToGrid w:val="0"/>
              <w:jc w:val="center"/>
              <w:rPr>
                <w:rFonts w:ascii="宋体" w:hAnsi="宋体" w:eastAsia="宋体"/>
                <w:szCs w:val="21"/>
              </w:rPr>
            </w:pPr>
            <w:r>
              <w:rPr>
                <w:rFonts w:ascii="宋体" w:hAnsi="宋体" w:eastAsia="宋体"/>
                <w:szCs w:val="21"/>
              </w:rPr>
              <w:t>备案）部门（选填）</w:t>
            </w:r>
          </w:p>
        </w:tc>
        <w:tc>
          <w:tcPr>
            <w:tcW w:w="2043" w:type="dxa"/>
            <w:vAlign w:val="center"/>
          </w:tcPr>
          <w:p w14:paraId="2C7C26C0">
            <w:pPr>
              <w:adjustRightInd w:val="0"/>
              <w:snapToGrid w:val="0"/>
              <w:jc w:val="center"/>
              <w:rPr>
                <w:rFonts w:ascii="宋体" w:hAnsi="宋体" w:eastAsia="宋体"/>
                <w:szCs w:val="21"/>
              </w:rPr>
            </w:pPr>
            <w:r>
              <w:rPr>
                <w:rFonts w:ascii="宋体" w:hAnsi="宋体" w:eastAsia="宋体"/>
                <w:szCs w:val="21"/>
              </w:rPr>
              <w:t>无</w:t>
            </w:r>
          </w:p>
        </w:tc>
        <w:tc>
          <w:tcPr>
            <w:tcW w:w="2218" w:type="dxa"/>
            <w:vAlign w:val="center"/>
          </w:tcPr>
          <w:p w14:paraId="31E76187">
            <w:pPr>
              <w:adjustRightInd w:val="0"/>
              <w:snapToGrid w:val="0"/>
              <w:jc w:val="center"/>
              <w:rPr>
                <w:rFonts w:ascii="宋体" w:hAnsi="宋体" w:eastAsia="宋体"/>
                <w:szCs w:val="21"/>
              </w:rPr>
            </w:pPr>
            <w:r>
              <w:rPr>
                <w:rFonts w:ascii="宋体" w:hAnsi="宋体" w:eastAsia="宋体"/>
                <w:szCs w:val="21"/>
              </w:rPr>
              <w:t>项目审批（核准/</w:t>
            </w:r>
          </w:p>
          <w:p w14:paraId="1495405A">
            <w:pPr>
              <w:adjustRightInd w:val="0"/>
              <w:snapToGrid w:val="0"/>
              <w:jc w:val="center"/>
              <w:rPr>
                <w:rFonts w:ascii="宋体" w:hAnsi="宋体" w:eastAsia="宋体"/>
                <w:szCs w:val="21"/>
              </w:rPr>
            </w:pPr>
            <w:r>
              <w:rPr>
                <w:rFonts w:ascii="宋体" w:hAnsi="宋体" w:eastAsia="宋体"/>
                <w:szCs w:val="21"/>
              </w:rPr>
              <w:t>备案）文号（选填）</w:t>
            </w:r>
          </w:p>
        </w:tc>
        <w:tc>
          <w:tcPr>
            <w:tcW w:w="2552" w:type="dxa"/>
            <w:gridSpan w:val="2"/>
            <w:vAlign w:val="center"/>
          </w:tcPr>
          <w:p w14:paraId="3CD27B09">
            <w:pPr>
              <w:adjustRightInd w:val="0"/>
              <w:snapToGrid w:val="0"/>
              <w:jc w:val="center"/>
              <w:rPr>
                <w:rFonts w:ascii="宋体" w:hAnsi="宋体" w:eastAsia="宋体"/>
                <w:szCs w:val="21"/>
              </w:rPr>
            </w:pPr>
            <w:r>
              <w:rPr>
                <w:rFonts w:ascii="宋体" w:hAnsi="宋体" w:eastAsia="宋体"/>
                <w:szCs w:val="21"/>
              </w:rPr>
              <w:t>无</w:t>
            </w:r>
          </w:p>
        </w:tc>
      </w:tr>
      <w:tr w14:paraId="19FF9D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2226" w:type="dxa"/>
            <w:tcMar>
              <w:top w:w="16" w:type="dxa"/>
              <w:left w:w="16" w:type="dxa"/>
              <w:right w:w="16" w:type="dxa"/>
            </w:tcMar>
            <w:vAlign w:val="center"/>
          </w:tcPr>
          <w:p w14:paraId="76951590">
            <w:pPr>
              <w:adjustRightInd w:val="0"/>
              <w:snapToGrid w:val="0"/>
              <w:jc w:val="center"/>
              <w:rPr>
                <w:rFonts w:ascii="宋体" w:hAnsi="宋体" w:eastAsia="宋体"/>
                <w:szCs w:val="21"/>
              </w:rPr>
            </w:pPr>
            <w:r>
              <w:rPr>
                <w:rFonts w:ascii="宋体" w:hAnsi="宋体" w:eastAsia="宋体"/>
                <w:szCs w:val="21"/>
              </w:rPr>
              <w:t>总投资（万元）</w:t>
            </w:r>
          </w:p>
        </w:tc>
        <w:tc>
          <w:tcPr>
            <w:tcW w:w="2043" w:type="dxa"/>
            <w:vAlign w:val="center"/>
          </w:tcPr>
          <w:p w14:paraId="50693A03">
            <w:pPr>
              <w:adjustRightInd w:val="0"/>
              <w:snapToGrid w:val="0"/>
              <w:jc w:val="center"/>
              <w:rPr>
                <w:rFonts w:ascii="宋体" w:hAnsi="宋体" w:eastAsia="宋体"/>
                <w:szCs w:val="21"/>
              </w:rPr>
            </w:pPr>
            <w:r>
              <w:rPr>
                <w:rFonts w:hint="eastAsia" w:ascii="宋体" w:hAnsi="宋体" w:eastAsia="宋体"/>
                <w:szCs w:val="21"/>
              </w:rPr>
              <w:t>9219</w:t>
            </w:r>
          </w:p>
        </w:tc>
        <w:tc>
          <w:tcPr>
            <w:tcW w:w="2218" w:type="dxa"/>
            <w:tcMar>
              <w:top w:w="16" w:type="dxa"/>
              <w:left w:w="16" w:type="dxa"/>
              <w:right w:w="16" w:type="dxa"/>
            </w:tcMar>
            <w:vAlign w:val="center"/>
          </w:tcPr>
          <w:p w14:paraId="6FE352F0">
            <w:pPr>
              <w:adjustRightInd w:val="0"/>
              <w:snapToGrid w:val="0"/>
              <w:jc w:val="center"/>
              <w:rPr>
                <w:rFonts w:ascii="宋体" w:hAnsi="宋体" w:eastAsia="宋体"/>
                <w:szCs w:val="21"/>
              </w:rPr>
            </w:pPr>
            <w:r>
              <w:rPr>
                <w:rFonts w:ascii="宋体" w:hAnsi="宋体" w:eastAsia="宋体"/>
                <w:szCs w:val="21"/>
              </w:rPr>
              <w:t>环保投资（万元）</w:t>
            </w:r>
          </w:p>
        </w:tc>
        <w:tc>
          <w:tcPr>
            <w:tcW w:w="2552" w:type="dxa"/>
            <w:gridSpan w:val="2"/>
            <w:vAlign w:val="center"/>
          </w:tcPr>
          <w:p w14:paraId="7EF1B6D2">
            <w:pPr>
              <w:adjustRightInd w:val="0"/>
              <w:snapToGrid w:val="0"/>
              <w:jc w:val="center"/>
              <w:rPr>
                <w:rFonts w:ascii="宋体" w:hAnsi="宋体" w:eastAsia="宋体"/>
                <w:szCs w:val="21"/>
              </w:rPr>
            </w:pPr>
            <w:r>
              <w:rPr>
                <w:rFonts w:ascii="宋体" w:hAnsi="宋体" w:eastAsia="宋体"/>
                <w:szCs w:val="21"/>
              </w:rPr>
              <w:t>441</w:t>
            </w:r>
          </w:p>
        </w:tc>
      </w:tr>
      <w:tr w14:paraId="511086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2226" w:type="dxa"/>
            <w:tcMar>
              <w:top w:w="16" w:type="dxa"/>
              <w:left w:w="16" w:type="dxa"/>
              <w:right w:w="16" w:type="dxa"/>
            </w:tcMar>
            <w:vAlign w:val="center"/>
          </w:tcPr>
          <w:p w14:paraId="7E45A59E">
            <w:pPr>
              <w:adjustRightInd w:val="0"/>
              <w:snapToGrid w:val="0"/>
              <w:jc w:val="center"/>
              <w:rPr>
                <w:rFonts w:ascii="宋体" w:hAnsi="宋体" w:eastAsia="宋体"/>
                <w:szCs w:val="21"/>
              </w:rPr>
            </w:pPr>
            <w:r>
              <w:rPr>
                <w:rFonts w:ascii="宋体" w:hAnsi="宋体" w:eastAsia="宋体"/>
                <w:szCs w:val="21"/>
              </w:rPr>
              <w:t>环保投资占比（%）</w:t>
            </w:r>
          </w:p>
        </w:tc>
        <w:tc>
          <w:tcPr>
            <w:tcW w:w="2043" w:type="dxa"/>
            <w:vAlign w:val="center"/>
          </w:tcPr>
          <w:p w14:paraId="50EFA99D">
            <w:pPr>
              <w:adjustRightInd w:val="0"/>
              <w:snapToGrid w:val="0"/>
              <w:jc w:val="center"/>
              <w:rPr>
                <w:rFonts w:ascii="宋体" w:hAnsi="宋体" w:eastAsia="宋体"/>
                <w:szCs w:val="21"/>
              </w:rPr>
            </w:pPr>
            <w:r>
              <w:rPr>
                <w:rFonts w:hint="eastAsia" w:ascii="宋体" w:hAnsi="宋体" w:eastAsia="宋体"/>
                <w:szCs w:val="21"/>
              </w:rPr>
              <w:t>4.78</w:t>
            </w:r>
          </w:p>
        </w:tc>
        <w:tc>
          <w:tcPr>
            <w:tcW w:w="2218" w:type="dxa"/>
            <w:tcMar>
              <w:top w:w="16" w:type="dxa"/>
              <w:left w:w="16" w:type="dxa"/>
              <w:right w:w="16" w:type="dxa"/>
            </w:tcMar>
            <w:vAlign w:val="center"/>
          </w:tcPr>
          <w:p w14:paraId="154AD8C2">
            <w:pPr>
              <w:adjustRightInd w:val="0"/>
              <w:snapToGrid w:val="0"/>
              <w:jc w:val="center"/>
              <w:rPr>
                <w:rFonts w:ascii="宋体" w:hAnsi="宋体" w:eastAsia="宋体"/>
                <w:szCs w:val="21"/>
              </w:rPr>
            </w:pPr>
            <w:r>
              <w:rPr>
                <w:rFonts w:ascii="宋体" w:hAnsi="宋体" w:eastAsia="宋体"/>
                <w:szCs w:val="21"/>
              </w:rPr>
              <w:t>施工工期</w:t>
            </w:r>
          </w:p>
        </w:tc>
        <w:tc>
          <w:tcPr>
            <w:tcW w:w="2552" w:type="dxa"/>
            <w:gridSpan w:val="2"/>
            <w:vAlign w:val="center"/>
          </w:tcPr>
          <w:p w14:paraId="736A5374">
            <w:pPr>
              <w:adjustRightInd w:val="0"/>
              <w:snapToGrid w:val="0"/>
              <w:jc w:val="center"/>
              <w:rPr>
                <w:rFonts w:ascii="宋体" w:hAnsi="宋体" w:eastAsia="宋体"/>
                <w:szCs w:val="21"/>
              </w:rPr>
            </w:pPr>
            <w:r>
              <w:rPr>
                <w:rFonts w:hint="eastAsia" w:ascii="宋体" w:hAnsi="宋体" w:eastAsia="宋体"/>
                <w:szCs w:val="21"/>
              </w:rPr>
              <w:t>2</w:t>
            </w:r>
            <w:r>
              <w:rPr>
                <w:rFonts w:ascii="宋体" w:hAnsi="宋体" w:eastAsia="宋体"/>
                <w:szCs w:val="21"/>
              </w:rPr>
              <w:t>10</w:t>
            </w:r>
            <w:r>
              <w:rPr>
                <w:rFonts w:hint="eastAsia" w:ascii="宋体" w:hAnsi="宋体" w:eastAsia="宋体"/>
                <w:szCs w:val="21"/>
              </w:rPr>
              <w:t>天</w:t>
            </w:r>
          </w:p>
        </w:tc>
      </w:tr>
      <w:tr w14:paraId="79FFE9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2226" w:type="dxa"/>
            <w:tcMar>
              <w:top w:w="16" w:type="dxa"/>
              <w:left w:w="16" w:type="dxa"/>
              <w:right w:w="16" w:type="dxa"/>
            </w:tcMar>
            <w:vAlign w:val="center"/>
          </w:tcPr>
          <w:p w14:paraId="01F90C27">
            <w:pPr>
              <w:adjustRightInd w:val="0"/>
              <w:snapToGrid w:val="0"/>
              <w:jc w:val="center"/>
              <w:rPr>
                <w:rFonts w:ascii="宋体" w:hAnsi="宋体" w:eastAsia="宋体"/>
                <w:szCs w:val="21"/>
              </w:rPr>
            </w:pPr>
            <w:r>
              <w:rPr>
                <w:rFonts w:ascii="宋体" w:hAnsi="宋体" w:eastAsia="宋体"/>
                <w:szCs w:val="21"/>
              </w:rPr>
              <w:t>是否开工建设</w:t>
            </w:r>
          </w:p>
        </w:tc>
        <w:tc>
          <w:tcPr>
            <w:tcW w:w="6813" w:type="dxa"/>
            <w:gridSpan w:val="4"/>
            <w:vAlign w:val="center"/>
          </w:tcPr>
          <w:p w14:paraId="4A53DB6E">
            <w:pPr>
              <w:adjustRightInd w:val="0"/>
              <w:snapToGrid w:val="0"/>
              <w:ind w:firstLine="105"/>
              <w:jc w:val="left"/>
              <w:rPr>
                <w:rFonts w:ascii="宋体" w:hAnsi="宋体" w:eastAsia="宋体"/>
                <w:szCs w:val="21"/>
              </w:rPr>
            </w:pPr>
            <w:r>
              <w:rPr>
                <w:rFonts w:ascii="Segoe UI Symbol" w:hAnsi="Segoe UI Symbol" w:eastAsia="宋体" w:cs="Segoe UI Symbol"/>
                <w:szCs w:val="21"/>
              </w:rPr>
              <w:t>☑</w:t>
            </w:r>
            <w:r>
              <w:rPr>
                <w:rFonts w:ascii="宋体" w:hAnsi="宋体" w:eastAsia="宋体"/>
                <w:szCs w:val="21"/>
              </w:rPr>
              <w:t>否</w:t>
            </w:r>
          </w:p>
          <w:p w14:paraId="0E15EBB3">
            <w:pPr>
              <w:adjustRightInd w:val="0"/>
              <w:snapToGrid w:val="0"/>
              <w:ind w:firstLine="92"/>
              <w:jc w:val="left"/>
              <w:rPr>
                <w:rFonts w:ascii="宋体" w:hAnsi="宋体" w:eastAsia="宋体"/>
                <w:szCs w:val="21"/>
              </w:rPr>
            </w:pPr>
            <w:r>
              <w:rPr>
                <w:rFonts w:ascii="宋体" w:hAnsi="宋体" w:eastAsia="宋体"/>
                <w:szCs w:val="21"/>
              </w:rPr>
              <w:t>□是：</w:t>
            </w:r>
          </w:p>
        </w:tc>
      </w:tr>
      <w:tr w14:paraId="7DB429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2226" w:type="dxa"/>
            <w:tcMar>
              <w:top w:w="16" w:type="dxa"/>
              <w:left w:w="16" w:type="dxa"/>
              <w:right w:w="16" w:type="dxa"/>
            </w:tcMar>
            <w:vAlign w:val="center"/>
          </w:tcPr>
          <w:p w14:paraId="69A41111">
            <w:pPr>
              <w:autoSpaceDE w:val="0"/>
              <w:autoSpaceDN w:val="0"/>
              <w:adjustRightInd w:val="0"/>
              <w:snapToGrid w:val="0"/>
              <w:jc w:val="center"/>
              <w:rPr>
                <w:rFonts w:ascii="宋体" w:hAnsi="宋体" w:eastAsia="宋体"/>
                <w:kern w:val="0"/>
                <w:szCs w:val="21"/>
              </w:rPr>
            </w:pPr>
            <w:r>
              <w:rPr>
                <w:rFonts w:ascii="宋体" w:hAnsi="宋体" w:eastAsia="宋体"/>
                <w:kern w:val="0"/>
                <w:szCs w:val="21"/>
              </w:rPr>
              <w:t>专项评价设置情况</w:t>
            </w:r>
          </w:p>
        </w:tc>
        <w:tc>
          <w:tcPr>
            <w:tcW w:w="6813" w:type="dxa"/>
            <w:gridSpan w:val="4"/>
            <w:tcMar>
              <w:top w:w="16" w:type="dxa"/>
              <w:left w:w="16" w:type="dxa"/>
              <w:right w:w="16" w:type="dxa"/>
            </w:tcMar>
            <w:vAlign w:val="center"/>
          </w:tcPr>
          <w:p w14:paraId="562FAAB1">
            <w:pPr>
              <w:autoSpaceDE w:val="0"/>
              <w:autoSpaceDN w:val="0"/>
              <w:adjustRightInd w:val="0"/>
              <w:snapToGrid w:val="0"/>
              <w:jc w:val="center"/>
              <w:rPr>
                <w:rFonts w:ascii="宋体" w:hAnsi="宋体" w:eastAsia="宋体"/>
                <w:kern w:val="0"/>
                <w:szCs w:val="21"/>
              </w:rPr>
            </w:pPr>
            <w:r>
              <w:rPr>
                <w:rFonts w:hint="eastAsia" w:ascii="宋体" w:hAnsi="宋体" w:eastAsia="宋体"/>
                <w:kern w:val="0"/>
                <w:szCs w:val="21"/>
              </w:rPr>
              <w:t>根据《全国水土保持规划国家级水土流失重点预防区和重点治理区复核划分成果》，探井所在区域兴县属于黄河多沙粗沙国家级水土流失重点治理区，属于《建设项目环境影响评价分类管理名录》中的生态敏感区，因此需设置生态环境影响专项评价报告</w:t>
            </w:r>
          </w:p>
        </w:tc>
      </w:tr>
      <w:tr w14:paraId="549700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2226" w:type="dxa"/>
            <w:tcMar>
              <w:top w:w="16" w:type="dxa"/>
              <w:left w:w="16" w:type="dxa"/>
              <w:right w:w="16" w:type="dxa"/>
            </w:tcMar>
            <w:vAlign w:val="center"/>
          </w:tcPr>
          <w:p w14:paraId="039FA478">
            <w:pPr>
              <w:autoSpaceDE w:val="0"/>
              <w:autoSpaceDN w:val="0"/>
              <w:adjustRightInd w:val="0"/>
              <w:snapToGrid w:val="0"/>
              <w:jc w:val="center"/>
              <w:rPr>
                <w:rFonts w:ascii="宋体" w:hAnsi="宋体" w:eastAsia="宋体"/>
                <w:kern w:val="0"/>
                <w:szCs w:val="21"/>
              </w:rPr>
            </w:pPr>
            <w:r>
              <w:rPr>
                <w:rFonts w:ascii="宋体" w:hAnsi="宋体" w:eastAsia="宋体"/>
                <w:szCs w:val="21"/>
              </w:rPr>
              <w:t>规划情况</w:t>
            </w:r>
          </w:p>
        </w:tc>
        <w:tc>
          <w:tcPr>
            <w:tcW w:w="6813" w:type="dxa"/>
            <w:gridSpan w:val="4"/>
            <w:tcMar>
              <w:top w:w="16" w:type="dxa"/>
              <w:left w:w="16" w:type="dxa"/>
              <w:right w:w="16" w:type="dxa"/>
            </w:tcMar>
            <w:vAlign w:val="center"/>
          </w:tcPr>
          <w:p w14:paraId="1E753AD4">
            <w:pPr>
              <w:autoSpaceDE w:val="0"/>
              <w:autoSpaceDN w:val="0"/>
              <w:adjustRightInd w:val="0"/>
              <w:snapToGrid w:val="0"/>
              <w:rPr>
                <w:rFonts w:ascii="宋体" w:hAnsi="宋体" w:eastAsia="宋体"/>
                <w:kern w:val="0"/>
                <w:szCs w:val="21"/>
              </w:rPr>
            </w:pPr>
            <w:r>
              <w:rPr>
                <w:rFonts w:ascii="宋体" w:hAnsi="宋体" w:eastAsia="宋体"/>
                <w:kern w:val="0"/>
                <w:szCs w:val="21"/>
              </w:rPr>
              <w:t>1、《山西省矿产资源总体规划（2021-2025年）》，山西省人民政府办公厅，晋政办发[2022]107号；</w:t>
            </w:r>
          </w:p>
          <w:p w14:paraId="125EA971">
            <w:pPr>
              <w:autoSpaceDE w:val="0"/>
              <w:autoSpaceDN w:val="0"/>
              <w:adjustRightInd w:val="0"/>
              <w:snapToGrid w:val="0"/>
              <w:rPr>
                <w:rFonts w:ascii="宋体" w:hAnsi="宋体" w:eastAsia="宋体"/>
                <w:kern w:val="0"/>
                <w:szCs w:val="21"/>
              </w:rPr>
            </w:pPr>
            <w:r>
              <w:rPr>
                <w:rFonts w:ascii="宋体" w:hAnsi="宋体" w:eastAsia="宋体"/>
                <w:kern w:val="0"/>
                <w:szCs w:val="21"/>
              </w:rPr>
              <w:t>2、《山西省煤层气资源勘查开发规划（2021-2025年）》，山西省人民政府办公厅，晋政办发[2022]107号。</w:t>
            </w:r>
          </w:p>
        </w:tc>
      </w:tr>
      <w:tr w14:paraId="3934A4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2226" w:type="dxa"/>
            <w:tcMar>
              <w:top w:w="16" w:type="dxa"/>
              <w:left w:w="16" w:type="dxa"/>
              <w:right w:w="16" w:type="dxa"/>
            </w:tcMar>
            <w:vAlign w:val="center"/>
          </w:tcPr>
          <w:p w14:paraId="3FE924A6">
            <w:pPr>
              <w:autoSpaceDE w:val="0"/>
              <w:autoSpaceDN w:val="0"/>
              <w:adjustRightInd w:val="0"/>
              <w:snapToGrid w:val="0"/>
              <w:jc w:val="center"/>
              <w:rPr>
                <w:rFonts w:ascii="宋体" w:hAnsi="宋体" w:eastAsia="宋体"/>
                <w:szCs w:val="21"/>
              </w:rPr>
            </w:pPr>
            <w:r>
              <w:rPr>
                <w:rFonts w:ascii="宋体" w:hAnsi="宋体" w:eastAsia="宋体"/>
                <w:szCs w:val="21"/>
              </w:rPr>
              <w:t>规划环境影响</w:t>
            </w:r>
          </w:p>
          <w:p w14:paraId="6E2FC3CD">
            <w:pPr>
              <w:autoSpaceDE w:val="0"/>
              <w:autoSpaceDN w:val="0"/>
              <w:adjustRightInd w:val="0"/>
              <w:snapToGrid w:val="0"/>
              <w:jc w:val="center"/>
              <w:rPr>
                <w:rFonts w:ascii="宋体" w:hAnsi="宋体" w:eastAsia="宋体"/>
                <w:kern w:val="0"/>
                <w:szCs w:val="21"/>
              </w:rPr>
            </w:pPr>
            <w:r>
              <w:rPr>
                <w:rFonts w:ascii="宋体" w:hAnsi="宋体" w:eastAsia="宋体"/>
                <w:szCs w:val="21"/>
              </w:rPr>
              <w:t>评价情况</w:t>
            </w:r>
          </w:p>
        </w:tc>
        <w:tc>
          <w:tcPr>
            <w:tcW w:w="6813" w:type="dxa"/>
            <w:gridSpan w:val="4"/>
            <w:tcMar>
              <w:top w:w="16" w:type="dxa"/>
              <w:left w:w="16" w:type="dxa"/>
              <w:right w:w="16" w:type="dxa"/>
            </w:tcMar>
            <w:vAlign w:val="center"/>
          </w:tcPr>
          <w:p w14:paraId="397784F6">
            <w:pPr>
              <w:adjustRightInd w:val="0"/>
              <w:snapToGrid w:val="0"/>
              <w:jc w:val="center"/>
              <w:rPr>
                <w:rFonts w:ascii="宋体" w:hAnsi="宋体" w:eastAsia="宋体"/>
                <w:kern w:val="0"/>
                <w:szCs w:val="21"/>
              </w:rPr>
            </w:pPr>
            <w:r>
              <w:rPr>
                <w:rFonts w:hint="eastAsia" w:ascii="宋体" w:hAnsi="宋体" w:eastAsia="宋体"/>
                <w:kern w:val="0"/>
                <w:szCs w:val="21"/>
              </w:rPr>
              <w:t>无</w:t>
            </w:r>
          </w:p>
        </w:tc>
      </w:tr>
      <w:tr w14:paraId="7606E8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557" w:hRule="atLeast"/>
        </w:trPr>
        <w:tc>
          <w:tcPr>
            <w:tcW w:w="2226" w:type="dxa"/>
            <w:tcMar>
              <w:top w:w="16" w:type="dxa"/>
              <w:left w:w="16" w:type="dxa"/>
              <w:right w:w="16" w:type="dxa"/>
            </w:tcMar>
            <w:vAlign w:val="center"/>
          </w:tcPr>
          <w:p w14:paraId="3384EE58">
            <w:pPr>
              <w:autoSpaceDE w:val="0"/>
              <w:autoSpaceDN w:val="0"/>
              <w:adjustRightInd w:val="0"/>
              <w:snapToGrid w:val="0"/>
              <w:jc w:val="center"/>
              <w:rPr>
                <w:rFonts w:ascii="宋体" w:hAnsi="宋体" w:eastAsia="宋体"/>
                <w:kern w:val="0"/>
                <w:szCs w:val="21"/>
              </w:rPr>
            </w:pPr>
            <w:r>
              <w:rPr>
                <w:rFonts w:ascii="宋体" w:hAnsi="宋体" w:eastAsia="宋体"/>
                <w:kern w:val="0"/>
                <w:szCs w:val="21"/>
              </w:rPr>
              <w:t>规划及</w:t>
            </w:r>
            <w:r>
              <w:rPr>
                <w:rFonts w:ascii="宋体" w:hAnsi="宋体" w:eastAsia="宋体"/>
                <w:szCs w:val="21"/>
              </w:rPr>
              <w:t>规划环境影响评价</w:t>
            </w:r>
            <w:r>
              <w:rPr>
                <w:rFonts w:ascii="宋体" w:hAnsi="宋体" w:eastAsia="宋体"/>
                <w:kern w:val="0"/>
                <w:szCs w:val="21"/>
              </w:rPr>
              <w:t>符合性分析</w:t>
            </w:r>
          </w:p>
        </w:tc>
        <w:tc>
          <w:tcPr>
            <w:tcW w:w="6813" w:type="dxa"/>
            <w:gridSpan w:val="4"/>
            <w:tcMar>
              <w:top w:w="16" w:type="dxa"/>
              <w:left w:w="16" w:type="dxa"/>
              <w:right w:w="16" w:type="dxa"/>
            </w:tcMar>
            <w:vAlign w:val="center"/>
          </w:tcPr>
          <w:p w14:paraId="0DB864FD">
            <w:pPr>
              <w:autoSpaceDE w:val="0"/>
              <w:autoSpaceDN w:val="0"/>
              <w:adjustRightInd w:val="0"/>
              <w:snapToGrid w:val="0"/>
              <w:jc w:val="center"/>
              <w:rPr>
                <w:rFonts w:ascii="宋体" w:hAnsi="宋体" w:eastAsia="宋体"/>
                <w:kern w:val="0"/>
                <w:szCs w:val="21"/>
              </w:rPr>
            </w:pPr>
            <w:r>
              <w:rPr>
                <w:rFonts w:hint="eastAsia" w:ascii="宋体" w:hAnsi="宋体" w:eastAsia="宋体"/>
                <w:kern w:val="0"/>
                <w:szCs w:val="21"/>
              </w:rPr>
              <w:t>无</w:t>
            </w:r>
          </w:p>
        </w:tc>
      </w:tr>
      <w:tr w14:paraId="1DB7B1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31" w:hRule="atLeast"/>
        </w:trPr>
        <w:tc>
          <w:tcPr>
            <w:tcW w:w="2226" w:type="dxa"/>
            <w:tcMar>
              <w:top w:w="16" w:type="dxa"/>
              <w:left w:w="16" w:type="dxa"/>
              <w:right w:w="16" w:type="dxa"/>
            </w:tcMar>
            <w:vAlign w:val="center"/>
          </w:tcPr>
          <w:p w14:paraId="0205A48C">
            <w:pPr>
              <w:autoSpaceDE w:val="0"/>
              <w:autoSpaceDN w:val="0"/>
              <w:adjustRightInd w:val="0"/>
              <w:snapToGrid w:val="0"/>
              <w:jc w:val="center"/>
              <w:rPr>
                <w:rFonts w:ascii="宋体" w:hAnsi="宋体" w:eastAsia="宋体"/>
                <w:kern w:val="0"/>
                <w:sz w:val="24"/>
              </w:rPr>
            </w:pPr>
            <w:bookmarkStart w:id="15" w:name="_Hlk56690880"/>
            <w:r>
              <w:rPr>
                <w:rFonts w:ascii="宋体" w:hAnsi="宋体" w:eastAsia="宋体"/>
                <w:kern w:val="0"/>
                <w:sz w:val="24"/>
              </w:rPr>
              <w:t>其他符合性分析</w:t>
            </w:r>
            <w:bookmarkEnd w:id="15"/>
          </w:p>
        </w:tc>
        <w:tc>
          <w:tcPr>
            <w:tcW w:w="6813" w:type="dxa"/>
            <w:gridSpan w:val="4"/>
            <w:tcMar>
              <w:top w:w="16" w:type="dxa"/>
              <w:left w:w="16" w:type="dxa"/>
              <w:right w:w="16" w:type="dxa"/>
            </w:tcMar>
            <w:vAlign w:val="center"/>
          </w:tcPr>
          <w:p w14:paraId="2D864A21">
            <w:pPr>
              <w:autoSpaceDE w:val="0"/>
              <w:autoSpaceDN w:val="0"/>
              <w:adjustRightInd w:val="0"/>
              <w:snapToGrid w:val="0"/>
              <w:spacing w:line="360" w:lineRule="auto"/>
              <w:rPr>
                <w:rFonts w:ascii="宋体" w:hAnsi="宋体" w:eastAsia="宋体"/>
                <w:b/>
                <w:kern w:val="0"/>
                <w:sz w:val="24"/>
              </w:rPr>
            </w:pPr>
            <w:r>
              <w:rPr>
                <w:rFonts w:hint="eastAsia" w:ascii="宋体" w:hAnsi="宋体" w:eastAsia="宋体"/>
                <w:b/>
                <w:kern w:val="0"/>
                <w:sz w:val="24"/>
              </w:rPr>
              <w:t>1、《山西省矿产资源总体规划》（</w:t>
            </w:r>
            <w:r>
              <w:rPr>
                <w:rFonts w:ascii="宋体" w:hAnsi="宋体" w:eastAsia="宋体"/>
                <w:b/>
                <w:kern w:val="0"/>
                <w:sz w:val="24"/>
              </w:rPr>
              <w:t>2021—2025年）</w:t>
            </w:r>
            <w:r>
              <w:rPr>
                <w:rFonts w:hint="eastAsia" w:ascii="宋体" w:hAnsi="宋体" w:eastAsia="宋体"/>
                <w:b/>
                <w:kern w:val="0"/>
                <w:sz w:val="24"/>
              </w:rPr>
              <w:t>符合性分析</w:t>
            </w:r>
          </w:p>
          <w:p w14:paraId="13D6A178">
            <w:pPr>
              <w:autoSpaceDE w:val="0"/>
              <w:autoSpaceDN w:val="0"/>
              <w:adjustRightInd w:val="0"/>
              <w:snapToGrid w:val="0"/>
              <w:spacing w:line="360" w:lineRule="auto"/>
              <w:ind w:firstLine="480" w:firstLineChars="200"/>
              <w:rPr>
                <w:rFonts w:ascii="宋体" w:hAnsi="宋体" w:eastAsia="宋体"/>
                <w:kern w:val="0"/>
                <w:sz w:val="24"/>
              </w:rPr>
            </w:pPr>
            <w:r>
              <w:rPr>
                <w:rFonts w:ascii="宋体" w:hAnsi="宋体" w:eastAsia="宋体"/>
                <w:kern w:val="0"/>
                <w:sz w:val="24"/>
              </w:rPr>
              <w:t>2023年1月19日，山西省人民政府办公厅以晋政办发[2022]107号下发了《山西省矿产资源总体规划（2021-2025年）》。</w:t>
            </w:r>
          </w:p>
          <w:p w14:paraId="2BFD3C08">
            <w:pPr>
              <w:autoSpaceDE w:val="0"/>
              <w:autoSpaceDN w:val="0"/>
              <w:adjustRightInd w:val="0"/>
              <w:snapToGrid w:val="0"/>
              <w:spacing w:line="360" w:lineRule="auto"/>
              <w:ind w:firstLine="480" w:firstLineChars="200"/>
              <w:rPr>
                <w:rFonts w:ascii="宋体" w:hAnsi="宋体" w:eastAsia="宋体"/>
                <w:kern w:val="0"/>
                <w:sz w:val="24"/>
              </w:rPr>
            </w:pPr>
            <w:r>
              <w:rPr>
                <w:rFonts w:hint="eastAsia" w:ascii="宋体" w:hAnsi="宋体" w:eastAsia="宋体"/>
                <w:kern w:val="0"/>
                <w:sz w:val="24"/>
              </w:rPr>
              <w:t>本次新建</w:t>
            </w:r>
            <w:r>
              <w:rPr>
                <w:rFonts w:ascii="宋体" w:hAnsi="宋体" w:eastAsia="宋体"/>
                <w:kern w:val="0"/>
                <w:sz w:val="24"/>
              </w:rPr>
              <w:t>21座井场全部位于</w:t>
            </w:r>
            <w:r>
              <w:rPr>
                <w:rFonts w:hint="eastAsia" w:ascii="宋体" w:hAnsi="宋体" w:eastAsia="宋体"/>
                <w:kern w:val="0"/>
                <w:sz w:val="24"/>
              </w:rPr>
              <w:t>山西临兴东</w:t>
            </w:r>
            <w:r>
              <w:rPr>
                <w:rFonts w:ascii="宋体" w:hAnsi="宋体" w:eastAsia="宋体"/>
                <w:kern w:val="0"/>
                <w:sz w:val="24"/>
              </w:rPr>
              <w:t>区块勘查范围内，符合勘查总体布局，符合山西省矿产资源总体规划，具体分析如下。</w:t>
            </w:r>
          </w:p>
          <w:p w14:paraId="2CF4C4AA">
            <w:pPr>
              <w:pStyle w:val="19"/>
              <w:keepNext/>
            </w:pPr>
            <w:r>
              <w:t xml:space="preserve">表 </w:t>
            </w:r>
            <w:r>
              <w:fldChar w:fldCharType="begin"/>
            </w:r>
            <w:r>
              <w:instrText xml:space="preserve"> SEQ 表 \* ARABIC </w:instrText>
            </w:r>
            <w:r>
              <w:fldChar w:fldCharType="separate"/>
            </w:r>
            <w:r>
              <w:t>1</w:t>
            </w:r>
            <w:r>
              <w:fldChar w:fldCharType="end"/>
            </w:r>
            <w:r>
              <w:rPr>
                <w:rFonts w:hint="eastAsia"/>
              </w:rPr>
              <w:t>与《山西省矿产资源总体规划（</w:t>
            </w:r>
            <w:r>
              <w:t>2021-2025）》符合性分析</w:t>
            </w:r>
          </w:p>
          <w:tbl>
            <w:tblPr>
              <w:tblStyle w:val="7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0"/>
              <w:gridCol w:w="2811"/>
              <w:gridCol w:w="2500"/>
              <w:gridCol w:w="886"/>
            </w:tblGrid>
            <w:tr w14:paraId="50F8D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 w:type="pct"/>
                  <w:vAlign w:val="center"/>
                </w:tcPr>
                <w:p w14:paraId="45298BB8">
                  <w:pPr>
                    <w:pStyle w:val="94"/>
                    <w:rPr>
                      <w:color w:val="auto"/>
                    </w:rPr>
                  </w:pPr>
                  <w:r>
                    <w:rPr>
                      <w:rFonts w:hint="eastAsia"/>
                      <w:color w:val="auto"/>
                    </w:rPr>
                    <w:t>序号</w:t>
                  </w:r>
                </w:p>
              </w:tc>
              <w:tc>
                <w:tcPr>
                  <w:tcW w:w="2077" w:type="pct"/>
                  <w:vAlign w:val="center"/>
                </w:tcPr>
                <w:p w14:paraId="65E1E324">
                  <w:pPr>
                    <w:pStyle w:val="94"/>
                    <w:rPr>
                      <w:color w:val="auto"/>
                    </w:rPr>
                  </w:pPr>
                  <w:r>
                    <w:rPr>
                      <w:rFonts w:hint="eastAsia"/>
                      <w:color w:val="auto"/>
                    </w:rPr>
                    <w:t>规划要求</w:t>
                  </w:r>
                </w:p>
              </w:tc>
              <w:tc>
                <w:tcPr>
                  <w:tcW w:w="1847" w:type="pct"/>
                  <w:vAlign w:val="center"/>
                </w:tcPr>
                <w:p w14:paraId="25D3B8FE">
                  <w:pPr>
                    <w:pStyle w:val="94"/>
                    <w:rPr>
                      <w:color w:val="auto"/>
                    </w:rPr>
                  </w:pPr>
                  <w:r>
                    <w:rPr>
                      <w:rFonts w:hint="eastAsia"/>
                      <w:color w:val="auto"/>
                    </w:rPr>
                    <w:t>本项目情况</w:t>
                  </w:r>
                </w:p>
              </w:tc>
              <w:tc>
                <w:tcPr>
                  <w:tcW w:w="655" w:type="pct"/>
                  <w:vAlign w:val="center"/>
                </w:tcPr>
                <w:p w14:paraId="466CA4BE">
                  <w:pPr>
                    <w:pStyle w:val="94"/>
                    <w:rPr>
                      <w:color w:val="auto"/>
                    </w:rPr>
                  </w:pPr>
                  <w:r>
                    <w:rPr>
                      <w:rFonts w:hint="eastAsia"/>
                      <w:color w:val="auto"/>
                    </w:rPr>
                    <w:t>符合性</w:t>
                  </w:r>
                </w:p>
              </w:tc>
            </w:tr>
            <w:tr w14:paraId="67773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 w:type="pct"/>
                  <w:vAlign w:val="center"/>
                </w:tcPr>
                <w:p w14:paraId="75593980">
                  <w:pPr>
                    <w:pStyle w:val="94"/>
                    <w:rPr>
                      <w:color w:val="auto"/>
                    </w:rPr>
                  </w:pPr>
                  <w:r>
                    <w:rPr>
                      <w:rFonts w:hint="eastAsia"/>
                      <w:color w:val="auto"/>
                    </w:rPr>
                    <w:t>1</w:t>
                  </w:r>
                </w:p>
              </w:tc>
              <w:tc>
                <w:tcPr>
                  <w:tcW w:w="2077" w:type="pct"/>
                  <w:vAlign w:val="center"/>
                </w:tcPr>
                <w:p w14:paraId="7AFFDEAE">
                  <w:pPr>
                    <w:pStyle w:val="94"/>
                    <w:rPr>
                      <w:color w:val="auto"/>
                    </w:rPr>
                  </w:pPr>
                  <w:r>
                    <w:rPr>
                      <w:rFonts w:hint="eastAsia"/>
                      <w:b/>
                      <w:color w:val="auto"/>
                    </w:rPr>
                    <w:t>矿产资源勘查：</w:t>
                  </w:r>
                  <w:r>
                    <w:rPr>
                      <w:rFonts w:hint="eastAsia"/>
                      <w:color w:val="auto"/>
                    </w:rPr>
                    <w:t>继续重点推进战略性矿产和优势矿产勘查,新发现大中型矿产地20处以上；力争新增煤层气探明地质储量5000亿~8000亿立方米</w:t>
                  </w:r>
                </w:p>
              </w:tc>
              <w:tc>
                <w:tcPr>
                  <w:tcW w:w="1847" w:type="pct"/>
                  <w:vAlign w:val="center"/>
                </w:tcPr>
                <w:p w14:paraId="450EAABA">
                  <w:pPr>
                    <w:pStyle w:val="94"/>
                    <w:rPr>
                      <w:color w:val="auto"/>
                    </w:rPr>
                  </w:pPr>
                  <w:r>
                    <w:rPr>
                      <w:rFonts w:hint="eastAsia"/>
                      <w:color w:val="auto"/>
                    </w:rPr>
                    <w:t>本次新建</w:t>
                  </w:r>
                  <w:r>
                    <w:rPr>
                      <w:color w:val="auto"/>
                    </w:rPr>
                    <w:t>21</w:t>
                  </w:r>
                  <w:r>
                    <w:rPr>
                      <w:rFonts w:hint="eastAsia"/>
                      <w:color w:val="auto"/>
                    </w:rPr>
                    <w:t>口勘探井，位于山西临兴东区块探矿权范围内，勘探试采目的为探明该区域地质储量，为后续进一步开发利用做工作</w:t>
                  </w:r>
                </w:p>
              </w:tc>
              <w:tc>
                <w:tcPr>
                  <w:tcW w:w="655" w:type="pct"/>
                  <w:vAlign w:val="center"/>
                </w:tcPr>
                <w:p w14:paraId="5EB8829A">
                  <w:pPr>
                    <w:pStyle w:val="94"/>
                    <w:rPr>
                      <w:color w:val="auto"/>
                    </w:rPr>
                  </w:pPr>
                  <w:r>
                    <w:rPr>
                      <w:rFonts w:hint="eastAsia"/>
                      <w:color w:val="auto"/>
                    </w:rPr>
                    <w:t>符合</w:t>
                  </w:r>
                </w:p>
              </w:tc>
            </w:tr>
            <w:tr w14:paraId="41717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 w:type="pct"/>
                  <w:vAlign w:val="center"/>
                </w:tcPr>
                <w:p w14:paraId="6288ACD1">
                  <w:pPr>
                    <w:pStyle w:val="94"/>
                    <w:rPr>
                      <w:color w:val="auto"/>
                    </w:rPr>
                  </w:pPr>
                  <w:r>
                    <w:rPr>
                      <w:rFonts w:hint="eastAsia"/>
                      <w:color w:val="auto"/>
                    </w:rPr>
                    <w:t>2</w:t>
                  </w:r>
                </w:p>
              </w:tc>
              <w:tc>
                <w:tcPr>
                  <w:tcW w:w="2077" w:type="pct"/>
                  <w:vAlign w:val="center"/>
                </w:tcPr>
                <w:p w14:paraId="305AC01E">
                  <w:pPr>
                    <w:pStyle w:val="94"/>
                    <w:rPr>
                      <w:color w:val="auto"/>
                    </w:rPr>
                  </w:pPr>
                  <w:r>
                    <w:rPr>
                      <w:rFonts w:hint="eastAsia"/>
                      <w:b/>
                      <w:color w:val="auto"/>
                    </w:rPr>
                    <w:t>矿业结构转型：</w:t>
                  </w:r>
                  <w:r>
                    <w:rPr>
                      <w:rFonts w:hint="eastAsia"/>
                      <w:color w:val="auto"/>
                    </w:rPr>
                    <w:t>重点建设煤炭绿色开发利用基地，加强非常规天然气基地建设，着力推进沁水盆地和鄂尔多斯盆地东缘两大产业化基地建设加快增储上产步伐</w:t>
                  </w:r>
                </w:p>
              </w:tc>
              <w:tc>
                <w:tcPr>
                  <w:tcW w:w="1847" w:type="pct"/>
                  <w:vAlign w:val="center"/>
                </w:tcPr>
                <w:p w14:paraId="248911D9">
                  <w:pPr>
                    <w:pStyle w:val="94"/>
                    <w:rPr>
                      <w:color w:val="auto"/>
                    </w:rPr>
                  </w:pPr>
                  <w:r>
                    <w:rPr>
                      <w:rFonts w:hint="eastAsia"/>
                      <w:color w:val="auto"/>
                    </w:rPr>
                    <w:t>本次勘探试采天然气类型为致密气，勘探试采井位于鄂尔多斯盆地临兴东区块内，勘探试采目的为探明该区域地质储量，为后续区块增储上产做准备</w:t>
                  </w:r>
                </w:p>
              </w:tc>
              <w:tc>
                <w:tcPr>
                  <w:tcW w:w="655" w:type="pct"/>
                  <w:vAlign w:val="center"/>
                </w:tcPr>
                <w:p w14:paraId="397E683B">
                  <w:pPr>
                    <w:pStyle w:val="94"/>
                    <w:rPr>
                      <w:color w:val="auto"/>
                    </w:rPr>
                  </w:pPr>
                  <w:r>
                    <w:rPr>
                      <w:rFonts w:hint="eastAsia"/>
                      <w:color w:val="auto"/>
                    </w:rPr>
                    <w:t>符合</w:t>
                  </w:r>
                </w:p>
              </w:tc>
            </w:tr>
            <w:tr w14:paraId="51AF6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 w:type="pct"/>
                  <w:vAlign w:val="center"/>
                </w:tcPr>
                <w:p w14:paraId="38888CA3">
                  <w:pPr>
                    <w:pStyle w:val="94"/>
                    <w:rPr>
                      <w:color w:val="auto"/>
                    </w:rPr>
                  </w:pPr>
                  <w:r>
                    <w:rPr>
                      <w:rFonts w:hint="eastAsia"/>
                      <w:color w:val="auto"/>
                    </w:rPr>
                    <w:t>3</w:t>
                  </w:r>
                </w:p>
              </w:tc>
              <w:tc>
                <w:tcPr>
                  <w:tcW w:w="2077" w:type="pct"/>
                  <w:vAlign w:val="center"/>
                </w:tcPr>
                <w:p w14:paraId="6988260C">
                  <w:pPr>
                    <w:pStyle w:val="94"/>
                    <w:rPr>
                      <w:color w:val="auto"/>
                    </w:rPr>
                  </w:pPr>
                  <w:r>
                    <w:rPr>
                      <w:rFonts w:hint="eastAsia"/>
                      <w:b/>
                      <w:color w:val="auto"/>
                    </w:rPr>
                    <w:t>生态修复：</w:t>
                  </w:r>
                  <w:r>
                    <w:rPr>
                      <w:rFonts w:hint="eastAsia"/>
                      <w:color w:val="auto"/>
                    </w:rPr>
                    <w:t>开展国土空间生态保护修复，牢固树立“绿水青山就是金山银山”理念,开展全方位、全地域、全过程生态保护修复,持续完善行业制度、持续抓好重点项目、持续解决遗留问题。</w:t>
                  </w:r>
                </w:p>
              </w:tc>
              <w:tc>
                <w:tcPr>
                  <w:tcW w:w="1847" w:type="pct"/>
                  <w:vAlign w:val="center"/>
                </w:tcPr>
                <w:p w14:paraId="27289C96">
                  <w:pPr>
                    <w:pStyle w:val="94"/>
                    <w:rPr>
                      <w:color w:val="auto"/>
                    </w:rPr>
                  </w:pPr>
                  <w:r>
                    <w:rPr>
                      <w:rFonts w:hint="eastAsia"/>
                      <w:color w:val="auto"/>
                    </w:rPr>
                    <w:t>勘探期结束后，经过评价作为开发井使用的按照环保要求完善开发阶段的环保手续，用于下一步的开发，该井采取关井措施，井口关井并设通透围栏，围栏外占地范围内采用播撒草籽方式进行生态恢复；井场试采相关设备和设施拆除并搬迁，清理井场，对井场占地进行复垦，复垦为原有土地使用功能。</w:t>
                  </w:r>
                </w:p>
              </w:tc>
              <w:tc>
                <w:tcPr>
                  <w:tcW w:w="655" w:type="pct"/>
                  <w:vAlign w:val="center"/>
                </w:tcPr>
                <w:p w14:paraId="5C0BF47E">
                  <w:pPr>
                    <w:pStyle w:val="94"/>
                    <w:rPr>
                      <w:color w:val="auto"/>
                    </w:rPr>
                  </w:pPr>
                  <w:r>
                    <w:rPr>
                      <w:rFonts w:hint="eastAsia"/>
                      <w:color w:val="auto"/>
                    </w:rPr>
                    <w:t>符合</w:t>
                  </w:r>
                </w:p>
              </w:tc>
            </w:tr>
          </w:tbl>
          <w:p w14:paraId="507535E3">
            <w:pPr>
              <w:autoSpaceDE w:val="0"/>
              <w:autoSpaceDN w:val="0"/>
              <w:adjustRightInd w:val="0"/>
              <w:snapToGrid w:val="0"/>
              <w:spacing w:line="360" w:lineRule="auto"/>
              <w:rPr>
                <w:rFonts w:ascii="宋体" w:hAnsi="宋体" w:eastAsia="宋体"/>
                <w:b/>
                <w:kern w:val="0"/>
                <w:sz w:val="24"/>
              </w:rPr>
            </w:pPr>
            <w:r>
              <w:rPr>
                <w:rFonts w:hint="eastAsia" w:ascii="宋体" w:hAnsi="宋体" w:eastAsia="宋体"/>
                <w:b/>
                <w:kern w:val="0"/>
                <w:sz w:val="24"/>
              </w:rPr>
              <w:t>2、《山西省煤层气资源勘查开发规划》（</w:t>
            </w:r>
            <w:r>
              <w:rPr>
                <w:rFonts w:ascii="宋体" w:hAnsi="宋体" w:eastAsia="宋体"/>
                <w:b/>
                <w:kern w:val="0"/>
                <w:sz w:val="24"/>
              </w:rPr>
              <w:t>2021-2025</w:t>
            </w:r>
            <w:r>
              <w:rPr>
                <w:rFonts w:hint="eastAsia" w:ascii="宋体" w:hAnsi="宋体" w:eastAsia="宋体"/>
                <w:b/>
                <w:kern w:val="0"/>
                <w:sz w:val="24"/>
              </w:rPr>
              <w:t>）符合性分析</w:t>
            </w:r>
          </w:p>
          <w:p w14:paraId="3BA12539">
            <w:pPr>
              <w:autoSpaceDE w:val="0"/>
              <w:autoSpaceDN w:val="0"/>
              <w:adjustRightInd w:val="0"/>
              <w:snapToGrid w:val="0"/>
              <w:spacing w:line="360" w:lineRule="auto"/>
              <w:ind w:firstLine="480" w:firstLineChars="200"/>
              <w:rPr>
                <w:rFonts w:ascii="宋体" w:hAnsi="宋体" w:eastAsia="宋体"/>
                <w:kern w:val="0"/>
                <w:sz w:val="24"/>
              </w:rPr>
            </w:pPr>
            <w:r>
              <w:rPr>
                <w:rFonts w:ascii="宋体" w:hAnsi="宋体" w:eastAsia="宋体"/>
                <w:kern w:val="0"/>
                <w:sz w:val="24"/>
              </w:rPr>
              <w:t>2023年1月19日，山西省人民政府办公厅以晋政办发[2022]107号下发了《山西省煤层气资源勘查开发规划（2021-2025年）》。</w:t>
            </w:r>
          </w:p>
          <w:p w14:paraId="301DDACB">
            <w:pPr>
              <w:autoSpaceDE w:val="0"/>
              <w:autoSpaceDN w:val="0"/>
              <w:adjustRightInd w:val="0"/>
              <w:snapToGrid w:val="0"/>
              <w:spacing w:line="360" w:lineRule="auto"/>
              <w:ind w:firstLine="480" w:firstLineChars="200"/>
              <w:rPr>
                <w:rFonts w:ascii="宋体" w:hAnsi="宋体" w:eastAsia="宋体"/>
                <w:kern w:val="0"/>
                <w:sz w:val="24"/>
              </w:rPr>
            </w:pPr>
            <w:r>
              <w:rPr>
                <w:rFonts w:hint="eastAsia" w:ascii="宋体" w:hAnsi="宋体" w:eastAsia="宋体"/>
                <w:kern w:val="0"/>
                <w:sz w:val="24"/>
              </w:rPr>
              <w:t>本次新建</w:t>
            </w:r>
            <w:r>
              <w:rPr>
                <w:rFonts w:ascii="宋体" w:hAnsi="宋体" w:eastAsia="宋体"/>
                <w:kern w:val="0"/>
                <w:sz w:val="24"/>
              </w:rPr>
              <w:t>21座井场全部位于</w:t>
            </w:r>
            <w:r>
              <w:rPr>
                <w:rFonts w:hint="eastAsia" w:ascii="宋体" w:hAnsi="宋体" w:eastAsia="宋体"/>
                <w:kern w:val="0"/>
                <w:sz w:val="24"/>
              </w:rPr>
              <w:t>山西临兴东</w:t>
            </w:r>
            <w:r>
              <w:rPr>
                <w:rFonts w:ascii="宋体" w:hAnsi="宋体" w:eastAsia="宋体"/>
                <w:kern w:val="0"/>
                <w:sz w:val="24"/>
              </w:rPr>
              <w:t>区块勘查范围内，符合勘查总体布局，符合山西省煤层气资源勘查开发规划，具体分析如下。</w:t>
            </w:r>
          </w:p>
          <w:p w14:paraId="045F647B">
            <w:pPr>
              <w:pStyle w:val="19"/>
              <w:keepNext/>
            </w:pPr>
            <w:r>
              <w:t xml:space="preserve">表 </w:t>
            </w:r>
            <w:r>
              <w:fldChar w:fldCharType="begin"/>
            </w:r>
            <w:r>
              <w:instrText xml:space="preserve"> SEQ 表 \* ARABIC </w:instrText>
            </w:r>
            <w:r>
              <w:fldChar w:fldCharType="separate"/>
            </w:r>
            <w:r>
              <w:t>2</w:t>
            </w:r>
            <w:r>
              <w:fldChar w:fldCharType="end"/>
            </w:r>
            <w:r>
              <w:rPr>
                <w:rFonts w:hint="eastAsia"/>
              </w:rPr>
              <w:t>与《山西省煤层气资源勘查开发规划（</w:t>
            </w:r>
            <w:r>
              <w:t>2021-2025）》符合性分析</w:t>
            </w:r>
          </w:p>
          <w:tbl>
            <w:tblPr>
              <w:tblStyle w:val="73"/>
              <w:tblW w:w="4997"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65"/>
              <w:gridCol w:w="3067"/>
              <w:gridCol w:w="2409"/>
              <w:gridCol w:w="706"/>
            </w:tblGrid>
            <w:tr w14:paraId="45A72D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19" w:type="pct"/>
                  <w:vAlign w:val="center"/>
                </w:tcPr>
                <w:p w14:paraId="5A9E8824">
                  <w:pPr>
                    <w:pStyle w:val="94"/>
                    <w:rPr>
                      <w:color w:val="auto"/>
                    </w:rPr>
                  </w:pPr>
                  <w:r>
                    <w:rPr>
                      <w:rFonts w:hint="eastAsia"/>
                      <w:color w:val="auto"/>
                    </w:rPr>
                    <w:t>序号</w:t>
                  </w:r>
                </w:p>
              </w:tc>
              <w:tc>
                <w:tcPr>
                  <w:tcW w:w="2273" w:type="pct"/>
                  <w:vAlign w:val="center"/>
                </w:tcPr>
                <w:p w14:paraId="0ED9B588">
                  <w:pPr>
                    <w:pStyle w:val="94"/>
                    <w:rPr>
                      <w:color w:val="auto"/>
                    </w:rPr>
                  </w:pPr>
                  <w:r>
                    <w:rPr>
                      <w:rFonts w:hint="eastAsia"/>
                      <w:color w:val="auto"/>
                    </w:rPr>
                    <w:t>规划要求</w:t>
                  </w:r>
                </w:p>
              </w:tc>
              <w:tc>
                <w:tcPr>
                  <w:tcW w:w="1785" w:type="pct"/>
                  <w:vAlign w:val="center"/>
                </w:tcPr>
                <w:p w14:paraId="5115DDD3">
                  <w:pPr>
                    <w:pStyle w:val="94"/>
                    <w:rPr>
                      <w:color w:val="auto"/>
                    </w:rPr>
                  </w:pPr>
                  <w:r>
                    <w:rPr>
                      <w:rFonts w:hint="eastAsia"/>
                      <w:color w:val="auto"/>
                    </w:rPr>
                    <w:t>本项目情况</w:t>
                  </w:r>
                </w:p>
              </w:tc>
              <w:tc>
                <w:tcPr>
                  <w:tcW w:w="523" w:type="pct"/>
                  <w:vAlign w:val="center"/>
                </w:tcPr>
                <w:p w14:paraId="4EEBC310">
                  <w:pPr>
                    <w:pStyle w:val="94"/>
                    <w:rPr>
                      <w:color w:val="auto"/>
                    </w:rPr>
                  </w:pPr>
                  <w:r>
                    <w:rPr>
                      <w:rFonts w:hint="eastAsia"/>
                      <w:color w:val="auto"/>
                    </w:rPr>
                    <w:t>符合性</w:t>
                  </w:r>
                </w:p>
              </w:tc>
            </w:tr>
            <w:tr w14:paraId="753910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19" w:type="pct"/>
                  <w:vAlign w:val="center"/>
                </w:tcPr>
                <w:p w14:paraId="39922E82">
                  <w:pPr>
                    <w:pStyle w:val="94"/>
                    <w:rPr>
                      <w:color w:val="auto"/>
                    </w:rPr>
                  </w:pPr>
                  <w:r>
                    <w:rPr>
                      <w:rFonts w:hint="eastAsia"/>
                      <w:color w:val="auto"/>
                    </w:rPr>
                    <w:t>1</w:t>
                  </w:r>
                </w:p>
              </w:tc>
              <w:tc>
                <w:tcPr>
                  <w:tcW w:w="2273" w:type="pct"/>
                  <w:vAlign w:val="center"/>
                </w:tcPr>
                <w:p w14:paraId="380F0752">
                  <w:pPr>
                    <w:pStyle w:val="94"/>
                    <w:rPr>
                      <w:color w:val="auto"/>
                    </w:rPr>
                  </w:pPr>
                  <w:r>
                    <w:rPr>
                      <w:rFonts w:hint="eastAsia"/>
                      <w:color w:val="auto"/>
                    </w:rPr>
                    <w:t>煤层气规划矿区：落实7个国家规划矿区、建设7个省级规划矿区、实施34个重点调查评价区</w:t>
                  </w:r>
                </w:p>
              </w:tc>
              <w:tc>
                <w:tcPr>
                  <w:tcW w:w="1785" w:type="pct"/>
                  <w:vAlign w:val="center"/>
                </w:tcPr>
                <w:p w14:paraId="3398A351">
                  <w:pPr>
                    <w:pStyle w:val="94"/>
                    <w:rPr>
                      <w:color w:val="auto"/>
                    </w:rPr>
                  </w:pPr>
                  <w:r>
                    <w:rPr>
                      <w:rFonts w:hint="eastAsia"/>
                      <w:color w:val="auto"/>
                    </w:rPr>
                    <w:t>本项目属于鄂尔多斯盆地临兴东区块，属于7个国家规划矿区之一的保德-兴县矿区</w:t>
                  </w:r>
                </w:p>
              </w:tc>
              <w:tc>
                <w:tcPr>
                  <w:tcW w:w="523" w:type="pct"/>
                  <w:vAlign w:val="center"/>
                </w:tcPr>
                <w:p w14:paraId="01BE1BB1">
                  <w:pPr>
                    <w:pStyle w:val="94"/>
                    <w:rPr>
                      <w:color w:val="auto"/>
                    </w:rPr>
                  </w:pPr>
                  <w:r>
                    <w:rPr>
                      <w:rFonts w:hint="eastAsia"/>
                      <w:color w:val="auto"/>
                    </w:rPr>
                    <w:t>符合</w:t>
                  </w:r>
                </w:p>
              </w:tc>
            </w:tr>
            <w:tr w14:paraId="7B1F75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19" w:type="pct"/>
                  <w:vAlign w:val="center"/>
                </w:tcPr>
                <w:p w14:paraId="29461E22">
                  <w:pPr>
                    <w:pStyle w:val="94"/>
                    <w:rPr>
                      <w:color w:val="auto"/>
                    </w:rPr>
                  </w:pPr>
                  <w:r>
                    <w:rPr>
                      <w:rFonts w:hint="eastAsia"/>
                      <w:color w:val="auto"/>
                    </w:rPr>
                    <w:t>2</w:t>
                  </w:r>
                </w:p>
              </w:tc>
              <w:tc>
                <w:tcPr>
                  <w:tcW w:w="2273" w:type="pct"/>
                  <w:vAlign w:val="center"/>
                </w:tcPr>
                <w:p w14:paraId="01FEB56E">
                  <w:pPr>
                    <w:pStyle w:val="94"/>
                    <w:rPr>
                      <w:color w:val="auto"/>
                    </w:rPr>
                  </w:pPr>
                  <w:r>
                    <w:rPr>
                      <w:rFonts w:hint="eastAsia"/>
                      <w:color w:val="auto"/>
                    </w:rPr>
                    <w:t>勘查开发具体举措：对所有煤层气采矿权、拟设采矿权、纳入气田建设区块，加强综合监管与用地、用水、用电保障,明确勘查开发具体进度,进一步增加探明地质储量、提高勘探精度,加快国家规划矿区产能建设推动中小面积区块全部转采、大面积区块滚动转采、尽快达产见效。其中临兴东区块新增产能</w:t>
                  </w:r>
                  <w:r>
                    <w:rPr>
                      <w:color w:val="auto"/>
                    </w:rPr>
                    <w:t>6</w:t>
                  </w:r>
                  <w:r>
                    <w:rPr>
                      <w:rFonts w:hint="eastAsia"/>
                      <w:color w:val="auto"/>
                    </w:rPr>
                    <w:t>~</w:t>
                  </w:r>
                  <w:r>
                    <w:rPr>
                      <w:color w:val="auto"/>
                    </w:rPr>
                    <w:t>8</w:t>
                  </w:r>
                  <w:r>
                    <w:rPr>
                      <w:rFonts w:hint="eastAsia"/>
                      <w:color w:val="auto"/>
                    </w:rPr>
                    <w:t>亿立方米/年</w:t>
                  </w:r>
                </w:p>
              </w:tc>
              <w:tc>
                <w:tcPr>
                  <w:tcW w:w="1785" w:type="pct"/>
                  <w:vAlign w:val="center"/>
                </w:tcPr>
                <w:p w14:paraId="2382DD7B">
                  <w:pPr>
                    <w:pStyle w:val="94"/>
                    <w:rPr>
                      <w:color w:val="auto"/>
                    </w:rPr>
                  </w:pPr>
                  <w:r>
                    <w:rPr>
                      <w:rFonts w:hint="eastAsia"/>
                      <w:color w:val="auto"/>
                    </w:rPr>
                    <w:t>本次布设</w:t>
                  </w:r>
                  <w:r>
                    <w:rPr>
                      <w:color w:val="auto"/>
                    </w:rPr>
                    <w:t>21</w:t>
                  </w:r>
                  <w:r>
                    <w:rPr>
                      <w:rFonts w:hint="eastAsia"/>
                      <w:color w:val="auto"/>
                    </w:rPr>
                    <w:t>口勘探井，勘探试采目的为探明该区域地质储量，为后续区块新增产能做工作</w:t>
                  </w:r>
                </w:p>
              </w:tc>
              <w:tc>
                <w:tcPr>
                  <w:tcW w:w="523" w:type="pct"/>
                  <w:vAlign w:val="center"/>
                </w:tcPr>
                <w:p w14:paraId="6E778B14">
                  <w:pPr>
                    <w:pStyle w:val="94"/>
                    <w:rPr>
                      <w:color w:val="auto"/>
                    </w:rPr>
                  </w:pPr>
                  <w:r>
                    <w:rPr>
                      <w:rFonts w:hint="eastAsia"/>
                      <w:color w:val="auto"/>
                    </w:rPr>
                    <w:t>符合</w:t>
                  </w:r>
                </w:p>
              </w:tc>
            </w:tr>
            <w:tr w14:paraId="03A9C1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19" w:type="pct"/>
                  <w:vAlign w:val="center"/>
                </w:tcPr>
                <w:p w14:paraId="00EAA2DD">
                  <w:pPr>
                    <w:pStyle w:val="94"/>
                    <w:rPr>
                      <w:color w:val="auto"/>
                    </w:rPr>
                  </w:pPr>
                  <w:r>
                    <w:rPr>
                      <w:rFonts w:hint="eastAsia"/>
                      <w:color w:val="auto"/>
                    </w:rPr>
                    <w:t>3</w:t>
                  </w:r>
                </w:p>
              </w:tc>
              <w:tc>
                <w:tcPr>
                  <w:tcW w:w="2273" w:type="pct"/>
                  <w:vAlign w:val="center"/>
                </w:tcPr>
                <w:p w14:paraId="4476AE29">
                  <w:pPr>
                    <w:pStyle w:val="94"/>
                    <w:rPr>
                      <w:color w:val="auto"/>
                    </w:rPr>
                  </w:pPr>
                  <w:r>
                    <w:rPr>
                      <w:rFonts w:hint="eastAsia"/>
                      <w:color w:val="auto"/>
                    </w:rPr>
                    <w:t>重大工程与重点项目：通过规划引领、市场运行，加快建设鄂尔多斯盆地东缘天然气、煤层气、页岩气“三气”共探共采示范基地和沁水盆地煤层气高效勘探抽采示范基地。</w:t>
                  </w:r>
                </w:p>
              </w:tc>
              <w:tc>
                <w:tcPr>
                  <w:tcW w:w="1785" w:type="pct"/>
                  <w:vAlign w:val="center"/>
                </w:tcPr>
                <w:p w14:paraId="18042561">
                  <w:pPr>
                    <w:pStyle w:val="94"/>
                    <w:rPr>
                      <w:color w:val="auto"/>
                    </w:rPr>
                  </w:pPr>
                  <w:r>
                    <w:rPr>
                      <w:rFonts w:hint="eastAsia"/>
                      <w:color w:val="auto"/>
                    </w:rPr>
                    <w:t>临兴东区块内目前大规模开发的主要为致密气开发项目，本次布设</w:t>
                  </w:r>
                  <w:r>
                    <w:rPr>
                      <w:color w:val="auto"/>
                    </w:rPr>
                    <w:t>21</w:t>
                  </w:r>
                  <w:r>
                    <w:rPr>
                      <w:rFonts w:hint="eastAsia"/>
                      <w:color w:val="auto"/>
                    </w:rPr>
                    <w:t>口致密气勘探井，进一步探明区域内致密气储量</w:t>
                  </w:r>
                </w:p>
              </w:tc>
              <w:tc>
                <w:tcPr>
                  <w:tcW w:w="523" w:type="pct"/>
                  <w:vAlign w:val="center"/>
                </w:tcPr>
                <w:p w14:paraId="721AA7F1">
                  <w:pPr>
                    <w:pStyle w:val="94"/>
                    <w:rPr>
                      <w:color w:val="auto"/>
                    </w:rPr>
                  </w:pPr>
                  <w:r>
                    <w:rPr>
                      <w:rFonts w:hint="eastAsia"/>
                      <w:color w:val="auto"/>
                    </w:rPr>
                    <w:t>符合</w:t>
                  </w:r>
                </w:p>
              </w:tc>
            </w:tr>
            <w:tr w14:paraId="1308BA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19" w:type="pct"/>
                  <w:vAlign w:val="center"/>
                </w:tcPr>
                <w:p w14:paraId="2262330E">
                  <w:pPr>
                    <w:pStyle w:val="94"/>
                    <w:rPr>
                      <w:color w:val="auto"/>
                    </w:rPr>
                  </w:pPr>
                  <w:r>
                    <w:rPr>
                      <w:rFonts w:hint="eastAsia"/>
                      <w:color w:val="auto"/>
                    </w:rPr>
                    <w:t>4</w:t>
                  </w:r>
                </w:p>
              </w:tc>
              <w:tc>
                <w:tcPr>
                  <w:tcW w:w="2273" w:type="pct"/>
                  <w:vAlign w:val="center"/>
                </w:tcPr>
                <w:p w14:paraId="2C4D586F">
                  <w:pPr>
                    <w:pStyle w:val="94"/>
                    <w:rPr>
                      <w:color w:val="auto"/>
                    </w:rPr>
                  </w:pPr>
                  <w:r>
                    <w:rPr>
                      <w:rFonts w:hint="eastAsia"/>
                      <w:color w:val="auto"/>
                    </w:rPr>
                    <w:t>环境保护与治理：严格执行环境保护管理规定。煤层气勘查开发必须执行环境影响评价、水土保持方案、土地复垦复绿、环境保护和生态治理恢复等制度,煤层气(煤矿瓦斯)排放严格执行《煤层气(煤矿瓦斯)排放标准(暂行)》(GB21522-2008)。落实新建(改扩建)煤层气项目环境影响评价制度和环保设施与主体工程同时设计、同时施工同时投入使用的“三同时”制度。在选场、选站、选线过程中必须避开生活饮用水水源地、自然保护区、湿地公园、泉域重点保护区、森林公园、永久性公益林等生态环境保护核心区。</w:t>
                  </w:r>
                </w:p>
              </w:tc>
              <w:tc>
                <w:tcPr>
                  <w:tcW w:w="1785" w:type="pct"/>
                  <w:vAlign w:val="center"/>
                </w:tcPr>
                <w:p w14:paraId="2E466494">
                  <w:pPr>
                    <w:pStyle w:val="94"/>
                    <w:rPr>
                      <w:color w:val="auto"/>
                    </w:rPr>
                  </w:pPr>
                  <w:r>
                    <w:rPr>
                      <w:rFonts w:hint="eastAsia"/>
                      <w:color w:val="auto"/>
                    </w:rPr>
                    <w:t>本次为该项目进行环境影响评价，勘探试采气的致密气经点火方箱点燃放空，严禁直排，符合《煤层气(煤矿瓦斯)排放标准(暂行)》(GB21522-2008)的要求。要求环保工程与主体工程同时设计、同时施工、同时投入使用。本项目选址均已避开饮用水水源地、自然保护区、公益林等敏感区</w:t>
                  </w:r>
                </w:p>
              </w:tc>
              <w:tc>
                <w:tcPr>
                  <w:tcW w:w="523" w:type="pct"/>
                  <w:vAlign w:val="center"/>
                </w:tcPr>
                <w:p w14:paraId="5D8D5BD4">
                  <w:pPr>
                    <w:pStyle w:val="94"/>
                    <w:rPr>
                      <w:color w:val="auto"/>
                    </w:rPr>
                  </w:pPr>
                  <w:r>
                    <w:rPr>
                      <w:rFonts w:hint="eastAsia"/>
                      <w:color w:val="auto"/>
                    </w:rPr>
                    <w:t>符合</w:t>
                  </w:r>
                </w:p>
              </w:tc>
            </w:tr>
            <w:tr w14:paraId="35D42A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19" w:type="pct"/>
                  <w:vAlign w:val="center"/>
                </w:tcPr>
                <w:p w14:paraId="50EB263F">
                  <w:pPr>
                    <w:pStyle w:val="94"/>
                    <w:rPr>
                      <w:color w:val="auto"/>
                    </w:rPr>
                  </w:pPr>
                  <w:r>
                    <w:rPr>
                      <w:rFonts w:hint="eastAsia"/>
                      <w:color w:val="auto"/>
                    </w:rPr>
                    <w:t>5</w:t>
                  </w:r>
                </w:p>
              </w:tc>
              <w:tc>
                <w:tcPr>
                  <w:tcW w:w="2273" w:type="pct"/>
                  <w:vAlign w:val="center"/>
                </w:tcPr>
                <w:p w14:paraId="68270E3C">
                  <w:pPr>
                    <w:pStyle w:val="94"/>
                    <w:rPr>
                      <w:color w:val="auto"/>
                    </w:rPr>
                  </w:pPr>
                  <w:r>
                    <w:rPr>
                      <w:rFonts w:hint="eastAsia"/>
                      <w:color w:val="auto"/>
                    </w:rPr>
                    <w:t>环境保护与治理：各生产企业应主动监测钻井、压裂、排采等作业过程对井场及周边生态环境、声学环境、地表水及地下水的影响。</w:t>
                  </w:r>
                </w:p>
              </w:tc>
              <w:tc>
                <w:tcPr>
                  <w:tcW w:w="1785" w:type="pct"/>
                  <w:vAlign w:val="center"/>
                </w:tcPr>
                <w:p w14:paraId="3D59FB59">
                  <w:pPr>
                    <w:pStyle w:val="94"/>
                    <w:rPr>
                      <w:color w:val="auto"/>
                    </w:rPr>
                  </w:pPr>
                  <w:r>
                    <w:rPr>
                      <w:rFonts w:hint="eastAsia"/>
                      <w:color w:val="auto"/>
                    </w:rPr>
                    <w:t>本项目压裂废水经处理后回用，不外排，钻井废水泥浆池沉淀后循环利用，钻井泥浆固化后无害化处置，勘探试采结束后进行关井，井场临时占地采播撒草籽的方式进行生态恢复。将占地范围内全部恢复为原有土地使用功能。采取上述措施后对周边生态环境、声环境、地表水及地下水环境影响较小</w:t>
                  </w:r>
                </w:p>
              </w:tc>
              <w:tc>
                <w:tcPr>
                  <w:tcW w:w="523" w:type="pct"/>
                  <w:vAlign w:val="center"/>
                </w:tcPr>
                <w:p w14:paraId="400C6038">
                  <w:pPr>
                    <w:pStyle w:val="94"/>
                    <w:rPr>
                      <w:color w:val="auto"/>
                    </w:rPr>
                  </w:pPr>
                  <w:r>
                    <w:rPr>
                      <w:rFonts w:hint="eastAsia"/>
                      <w:color w:val="auto"/>
                    </w:rPr>
                    <w:t>符合</w:t>
                  </w:r>
                </w:p>
              </w:tc>
            </w:tr>
          </w:tbl>
          <w:p w14:paraId="277C8CE4">
            <w:pPr>
              <w:pStyle w:val="96"/>
              <w:ind w:firstLine="0" w:firstLineChars="0"/>
              <w:rPr>
                <w:b/>
                <w:bCs/>
              </w:rPr>
            </w:pPr>
            <w:r>
              <w:rPr>
                <w:b/>
                <w:bCs/>
              </w:rPr>
              <w:t>3、与《关于印发山西省黄河（汾河）流域水污染治理攻坚方案的通知》（晋政办发[2020]19号）相符性分析</w:t>
            </w:r>
          </w:p>
          <w:p w14:paraId="7035DA4C">
            <w:pPr>
              <w:pStyle w:val="96"/>
              <w:ind w:firstLine="480"/>
            </w:pPr>
            <w:r>
              <w:rPr>
                <w:rFonts w:hint="eastAsia"/>
              </w:rPr>
              <w:t>本项目与山西省人民政府《关于印发山西省黄河（汾河）流域水污染治理攻坚方案的通知》符合性分析见下表。</w:t>
            </w:r>
          </w:p>
          <w:p w14:paraId="5D047CC9">
            <w:pPr>
              <w:pStyle w:val="19"/>
              <w:keepNext/>
            </w:pPr>
            <w:r>
              <w:t xml:space="preserve">表 </w:t>
            </w:r>
            <w:r>
              <w:fldChar w:fldCharType="begin"/>
            </w:r>
            <w:r>
              <w:instrText xml:space="preserve"> SEQ 表 \* ARABIC </w:instrText>
            </w:r>
            <w:r>
              <w:fldChar w:fldCharType="separate"/>
            </w:r>
            <w:r>
              <w:t>3</w:t>
            </w:r>
            <w:r>
              <w:fldChar w:fldCharType="end"/>
            </w:r>
            <w:r>
              <w:rPr>
                <w:rFonts w:hint="eastAsia"/>
              </w:rPr>
              <w:t>与《关于印发山西省黄河（汾河）流域水污染治理攻坚方案的通知》符合性分析</w:t>
            </w:r>
          </w:p>
          <w:tbl>
            <w:tblPr>
              <w:tblStyle w:val="73"/>
              <w:tblW w:w="4996"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03"/>
              <w:gridCol w:w="3296"/>
              <w:gridCol w:w="2330"/>
              <w:gridCol w:w="617"/>
            </w:tblGrid>
            <w:tr w14:paraId="0D34F3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3" w:type="pct"/>
                  <w:vAlign w:val="center"/>
                </w:tcPr>
                <w:p w14:paraId="10340982">
                  <w:pPr>
                    <w:widowControl/>
                    <w:spacing w:line="320" w:lineRule="exact"/>
                    <w:jc w:val="center"/>
                    <w:rPr>
                      <w:rFonts w:ascii="Times New Roman" w:hAnsi="Times New Roman" w:eastAsia="宋体" w:cs="Times New Roman"/>
                      <w:szCs w:val="21"/>
                    </w:rPr>
                  </w:pPr>
                  <w:r>
                    <w:rPr>
                      <w:rFonts w:hint="eastAsia" w:ascii="宋体" w:hAnsi="宋体" w:eastAsia="宋体" w:cs="宋体"/>
                      <w:szCs w:val="21"/>
                      <w:lang w:bidi="ar"/>
                    </w:rPr>
                    <w:t>序号</w:t>
                  </w:r>
                </w:p>
              </w:tc>
              <w:tc>
                <w:tcPr>
                  <w:tcW w:w="2443" w:type="pct"/>
                  <w:vAlign w:val="center"/>
                </w:tcPr>
                <w:p w14:paraId="375D7594">
                  <w:pPr>
                    <w:widowControl/>
                    <w:spacing w:line="320" w:lineRule="exact"/>
                    <w:jc w:val="center"/>
                    <w:rPr>
                      <w:rFonts w:ascii="Times New Roman" w:hAnsi="Times New Roman" w:eastAsia="宋体" w:cs="Times New Roman"/>
                      <w:szCs w:val="21"/>
                    </w:rPr>
                  </w:pPr>
                  <w:r>
                    <w:rPr>
                      <w:rFonts w:hint="eastAsia" w:ascii="宋体" w:hAnsi="宋体" w:eastAsia="宋体" w:cs="宋体"/>
                      <w:szCs w:val="21"/>
                      <w:lang w:bidi="ar"/>
                    </w:rPr>
                    <w:t>方案内容</w:t>
                  </w:r>
                </w:p>
              </w:tc>
              <w:tc>
                <w:tcPr>
                  <w:tcW w:w="1727" w:type="pct"/>
                  <w:vAlign w:val="center"/>
                </w:tcPr>
                <w:p w14:paraId="17746ED5">
                  <w:pPr>
                    <w:widowControl/>
                    <w:spacing w:line="320" w:lineRule="exact"/>
                    <w:jc w:val="center"/>
                    <w:rPr>
                      <w:rFonts w:ascii="Times New Roman" w:hAnsi="Times New Roman" w:eastAsia="宋体" w:cs="Times New Roman"/>
                      <w:szCs w:val="21"/>
                    </w:rPr>
                  </w:pPr>
                  <w:r>
                    <w:rPr>
                      <w:rFonts w:hint="eastAsia" w:ascii="宋体" w:hAnsi="宋体" w:eastAsia="宋体" w:cs="宋体"/>
                      <w:szCs w:val="21"/>
                      <w:lang w:bidi="ar"/>
                    </w:rPr>
                    <w:t>项目情况</w:t>
                  </w:r>
                </w:p>
              </w:tc>
              <w:tc>
                <w:tcPr>
                  <w:tcW w:w="457" w:type="pct"/>
                  <w:vAlign w:val="center"/>
                </w:tcPr>
                <w:p w14:paraId="68CCA077">
                  <w:pPr>
                    <w:widowControl/>
                    <w:spacing w:line="320" w:lineRule="exact"/>
                    <w:jc w:val="center"/>
                    <w:rPr>
                      <w:rFonts w:ascii="Times New Roman" w:hAnsi="Times New Roman" w:eastAsia="宋体" w:cs="Times New Roman"/>
                      <w:szCs w:val="21"/>
                    </w:rPr>
                  </w:pPr>
                  <w:r>
                    <w:rPr>
                      <w:rFonts w:hint="eastAsia" w:ascii="宋体" w:hAnsi="宋体" w:eastAsia="宋体" w:cs="宋体"/>
                      <w:szCs w:val="21"/>
                      <w:lang w:bidi="ar"/>
                    </w:rPr>
                    <w:t>符合性</w:t>
                  </w:r>
                </w:p>
              </w:tc>
            </w:tr>
            <w:tr w14:paraId="0016D9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3" w:type="pct"/>
                  <w:vAlign w:val="center"/>
                </w:tcPr>
                <w:p w14:paraId="436238E0">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lang w:bidi="ar"/>
                    </w:rPr>
                    <w:t>1</w:t>
                  </w:r>
                </w:p>
              </w:tc>
              <w:tc>
                <w:tcPr>
                  <w:tcW w:w="2443" w:type="pct"/>
                  <w:vAlign w:val="center"/>
                </w:tcPr>
                <w:p w14:paraId="2A2CCB4F">
                  <w:pPr>
                    <w:widowControl/>
                    <w:spacing w:line="320" w:lineRule="exact"/>
                    <w:jc w:val="center"/>
                    <w:rPr>
                      <w:rFonts w:ascii="Times New Roman" w:hAnsi="Times New Roman" w:eastAsia="宋体" w:cs="Times New Roman"/>
                      <w:szCs w:val="21"/>
                    </w:rPr>
                  </w:pPr>
                  <w:r>
                    <w:rPr>
                      <w:rFonts w:hint="eastAsia" w:ascii="宋体" w:hAnsi="宋体" w:eastAsia="宋体" w:cs="宋体"/>
                      <w:szCs w:val="21"/>
                      <w:lang w:bidi="ar"/>
                    </w:rPr>
                    <w:t>加强工业企业达标排放监管。工业废水排放口、清净水排口直接排放的废水化学需氧量、氨氮、总磷三项污染物达地表水</w:t>
                  </w:r>
                  <w:r>
                    <w:rPr>
                      <w:rFonts w:hint="eastAsia" w:ascii="Times New Roman" w:hAnsi="Times New Roman" w:eastAsia="宋体" w:cs="Times New Roman"/>
                      <w:szCs w:val="21"/>
                      <w:lang w:bidi="ar"/>
                    </w:rPr>
                    <w:t>Ⅴ类标准</w:t>
                  </w:r>
                  <w:r>
                    <w:rPr>
                      <w:rFonts w:ascii="Times New Roman" w:hAnsi="Times New Roman" w:eastAsia="宋体" w:cs="Times New Roman"/>
                      <w:szCs w:val="21"/>
                      <w:lang w:bidi="ar"/>
                    </w:rPr>
                    <w:t>,</w:t>
                  </w:r>
                  <w:r>
                    <w:rPr>
                      <w:rFonts w:hint="eastAsia" w:ascii="宋体" w:hAnsi="宋体" w:eastAsia="宋体" w:cs="宋体"/>
                      <w:szCs w:val="21"/>
                      <w:lang w:bidi="ar"/>
                    </w:rPr>
                    <w:t>其他指标达行业特别排放限值。落实水环境应急监测措施</w:t>
                  </w:r>
                  <w:r>
                    <w:rPr>
                      <w:rFonts w:ascii="Times New Roman" w:hAnsi="Times New Roman" w:eastAsia="宋体" w:cs="Times New Roman"/>
                      <w:szCs w:val="21"/>
                      <w:lang w:bidi="ar"/>
                    </w:rPr>
                    <w:t>,</w:t>
                  </w:r>
                  <w:r>
                    <w:rPr>
                      <w:rFonts w:hint="eastAsia" w:ascii="宋体" w:hAnsi="宋体" w:eastAsia="宋体" w:cs="宋体"/>
                      <w:szCs w:val="21"/>
                      <w:lang w:bidi="ar"/>
                    </w:rPr>
                    <w:t>配套建设排水口生态鱼监测池。建设初期雨水收集储蓄水池</w:t>
                  </w:r>
                  <w:r>
                    <w:rPr>
                      <w:rFonts w:ascii="Times New Roman" w:hAnsi="Times New Roman" w:eastAsia="宋体" w:cs="Times New Roman"/>
                      <w:szCs w:val="21"/>
                      <w:lang w:bidi="ar"/>
                    </w:rPr>
                    <w:t>,</w:t>
                  </w:r>
                  <w:r>
                    <w:rPr>
                      <w:rFonts w:hint="eastAsia" w:ascii="宋体" w:hAnsi="宋体" w:eastAsia="宋体" w:cs="宋体"/>
                      <w:szCs w:val="21"/>
                      <w:lang w:bidi="ar"/>
                    </w:rPr>
                    <w:t>加强处理回用</w:t>
                  </w:r>
                  <w:r>
                    <w:rPr>
                      <w:rFonts w:ascii="Times New Roman" w:hAnsi="Times New Roman" w:eastAsia="宋体" w:cs="Times New Roman"/>
                      <w:szCs w:val="21"/>
                      <w:lang w:bidi="ar"/>
                    </w:rPr>
                    <w:t>,</w:t>
                  </w:r>
                  <w:r>
                    <w:rPr>
                      <w:rFonts w:hint="eastAsia" w:ascii="宋体" w:hAnsi="宋体" w:eastAsia="宋体" w:cs="宋体"/>
                      <w:szCs w:val="21"/>
                      <w:lang w:bidi="ar"/>
                    </w:rPr>
                    <w:t>工业雨水排口非汛期严格封堵。充分发挥第三方治理机构专业化优势</w:t>
                  </w:r>
                  <w:r>
                    <w:rPr>
                      <w:rFonts w:ascii="Times New Roman" w:hAnsi="Times New Roman" w:eastAsia="宋体" w:cs="Times New Roman"/>
                      <w:szCs w:val="21"/>
                      <w:lang w:bidi="ar"/>
                    </w:rPr>
                    <w:t>,</w:t>
                  </w:r>
                  <w:r>
                    <w:rPr>
                      <w:rFonts w:hint="eastAsia" w:ascii="宋体" w:hAnsi="宋体" w:eastAsia="宋体" w:cs="宋体"/>
                      <w:szCs w:val="21"/>
                      <w:lang w:bidi="ar"/>
                    </w:rPr>
                    <w:t>鼓励工业企业购买第三方废水治理专业服务。</w:t>
                  </w:r>
                </w:p>
              </w:tc>
              <w:tc>
                <w:tcPr>
                  <w:tcW w:w="1727" w:type="pct"/>
                  <w:vAlign w:val="center"/>
                </w:tcPr>
                <w:p w14:paraId="138058B0">
                  <w:pPr>
                    <w:widowControl/>
                    <w:spacing w:line="320" w:lineRule="exact"/>
                    <w:jc w:val="center"/>
                    <w:rPr>
                      <w:rFonts w:ascii="Times New Roman" w:hAnsi="Times New Roman" w:eastAsia="宋体" w:cs="Times New Roman"/>
                      <w:szCs w:val="21"/>
                    </w:rPr>
                  </w:pPr>
                  <w:r>
                    <w:rPr>
                      <w:rFonts w:hint="eastAsia" w:ascii="宋体" w:hAnsi="宋体" w:eastAsia="宋体" w:cs="宋体"/>
                      <w:szCs w:val="21"/>
                      <w:lang w:bidi="ar"/>
                    </w:rPr>
                    <w:t>本项目不设废水排放口，井场</w:t>
                  </w:r>
                  <w:r>
                    <w:rPr>
                      <w:rFonts w:hint="eastAsia"/>
                    </w:rPr>
                    <w:t>试气期</w:t>
                  </w:r>
                  <w:r>
                    <w:rPr>
                      <w:rFonts w:hint="eastAsia" w:ascii="宋体" w:hAnsi="宋体" w:eastAsia="宋体" w:cs="宋体"/>
                      <w:szCs w:val="21"/>
                      <w:lang w:bidi="ar"/>
                    </w:rPr>
                    <w:t>排采水设软体水箱储存，</w:t>
                  </w:r>
                  <w:r>
                    <w:rPr>
                      <w:rFonts w:hint="eastAsia" w:ascii="Times New Roman" w:hAnsi="Times New Roman" w:eastAsia="宋体" w:cs="Times New Roman"/>
                      <w:szCs w:val="21"/>
                    </w:rPr>
                    <w:t>优先回用于钻井、压裂用水，无法利用部分，拉运至中联煤层气有限责任公司临兴西区</w:t>
                  </w:r>
                  <w:r>
                    <w:rPr>
                      <w:rFonts w:ascii="Times New Roman" w:hAnsi="Times New Roman" w:eastAsia="宋体" w:cs="Times New Roman"/>
                      <w:szCs w:val="21"/>
                    </w:rPr>
                    <w:t>(山西区块)开发项目</w:t>
                  </w:r>
                  <w:r>
                    <w:rPr>
                      <w:rFonts w:hint="eastAsia" w:ascii="Times New Roman" w:hAnsi="Times New Roman" w:eastAsia="宋体" w:cs="Times New Roman"/>
                      <w:szCs w:val="21"/>
                    </w:rPr>
                    <w:t>排采水处理</w:t>
                  </w:r>
                  <w:r>
                    <w:rPr>
                      <w:rFonts w:ascii="Times New Roman" w:hAnsi="Times New Roman" w:eastAsia="宋体" w:cs="Times New Roman"/>
                      <w:szCs w:val="21"/>
                    </w:rPr>
                    <w:t>2站处置</w:t>
                  </w:r>
                  <w:r>
                    <w:rPr>
                      <w:rFonts w:hint="eastAsia" w:ascii="Times New Roman" w:hAnsi="Times New Roman" w:eastAsia="宋体" w:cs="Times New Roman"/>
                      <w:szCs w:val="21"/>
                    </w:rPr>
                    <w:t>后，处理出水回用于钻井、压裂液配置，不外排。</w:t>
                  </w:r>
                </w:p>
              </w:tc>
              <w:tc>
                <w:tcPr>
                  <w:tcW w:w="457" w:type="pct"/>
                  <w:vAlign w:val="center"/>
                </w:tcPr>
                <w:p w14:paraId="3DD71A40">
                  <w:pPr>
                    <w:widowControl/>
                    <w:spacing w:line="320" w:lineRule="exact"/>
                    <w:jc w:val="center"/>
                    <w:rPr>
                      <w:rFonts w:ascii="Times New Roman" w:hAnsi="Times New Roman" w:eastAsia="宋体" w:cs="Times New Roman"/>
                      <w:szCs w:val="21"/>
                    </w:rPr>
                  </w:pPr>
                  <w:r>
                    <w:rPr>
                      <w:rFonts w:hint="eastAsia" w:ascii="宋体" w:hAnsi="宋体" w:eastAsia="宋体" w:cs="宋体"/>
                      <w:szCs w:val="21"/>
                      <w:lang w:bidi="ar"/>
                    </w:rPr>
                    <w:t>符合</w:t>
                  </w:r>
                </w:p>
              </w:tc>
            </w:tr>
            <w:tr w14:paraId="08DDCE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3" w:type="pct"/>
                  <w:vAlign w:val="center"/>
                </w:tcPr>
                <w:p w14:paraId="07A5AB75">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lang w:bidi="ar"/>
                    </w:rPr>
                    <w:t>2</w:t>
                  </w:r>
                </w:p>
              </w:tc>
              <w:tc>
                <w:tcPr>
                  <w:tcW w:w="2443" w:type="pct"/>
                  <w:vAlign w:val="center"/>
                </w:tcPr>
                <w:p w14:paraId="79AF4CD1">
                  <w:pPr>
                    <w:widowControl/>
                    <w:spacing w:line="320" w:lineRule="exact"/>
                    <w:jc w:val="center"/>
                    <w:rPr>
                      <w:rFonts w:ascii="Times New Roman" w:hAnsi="Times New Roman" w:eastAsia="宋体" w:cs="Times New Roman"/>
                      <w:szCs w:val="21"/>
                    </w:rPr>
                  </w:pPr>
                  <w:r>
                    <w:rPr>
                      <w:rFonts w:hint="eastAsia" w:ascii="宋体" w:hAnsi="宋体" w:eastAsia="宋体" w:cs="宋体"/>
                      <w:szCs w:val="21"/>
                      <w:lang w:bidi="ar"/>
                    </w:rPr>
                    <w:t>汾河及入黄主要支流沿岸堤外</w:t>
                  </w:r>
                  <w:r>
                    <w:rPr>
                      <w:rFonts w:ascii="Times New Roman" w:hAnsi="Times New Roman" w:eastAsia="宋体" w:cs="Times New Roman"/>
                      <w:szCs w:val="21"/>
                      <w:lang w:bidi="ar"/>
                    </w:rPr>
                    <w:t>50</w:t>
                  </w:r>
                  <w:r>
                    <w:rPr>
                      <w:rFonts w:hint="eastAsia" w:ascii="宋体" w:hAnsi="宋体" w:eastAsia="宋体" w:cs="宋体"/>
                      <w:szCs w:val="21"/>
                      <w:lang w:bidi="ar"/>
                    </w:rPr>
                    <w:t>米、其支流堤外</w:t>
                  </w:r>
                  <w:r>
                    <w:rPr>
                      <w:rFonts w:ascii="Times New Roman" w:hAnsi="Times New Roman" w:eastAsia="宋体" w:cs="Times New Roman"/>
                      <w:szCs w:val="21"/>
                      <w:lang w:bidi="ar"/>
                    </w:rPr>
                    <w:t>30</w:t>
                  </w:r>
                  <w:r>
                    <w:rPr>
                      <w:rFonts w:hint="eastAsia" w:ascii="宋体" w:hAnsi="宋体" w:eastAsia="宋体" w:cs="宋体"/>
                      <w:szCs w:val="21"/>
                      <w:lang w:bidi="ar"/>
                    </w:rPr>
                    <w:t>米范围内实施植树种草增绿</w:t>
                  </w:r>
                  <w:r>
                    <w:rPr>
                      <w:rFonts w:ascii="Times New Roman" w:hAnsi="Times New Roman" w:eastAsia="宋体" w:cs="Times New Roman"/>
                      <w:szCs w:val="21"/>
                      <w:lang w:bidi="ar"/>
                    </w:rPr>
                    <w:t>,</w:t>
                  </w:r>
                  <w:r>
                    <w:rPr>
                      <w:rFonts w:hint="eastAsia" w:ascii="宋体" w:hAnsi="宋体" w:eastAsia="宋体" w:cs="宋体"/>
                      <w:szCs w:val="21"/>
                      <w:lang w:bidi="ar"/>
                    </w:rPr>
                    <w:t>建设绿色生态廊道</w:t>
                  </w:r>
                  <w:r>
                    <w:rPr>
                      <w:rFonts w:ascii="Times New Roman" w:hAnsi="Times New Roman" w:eastAsia="宋体" w:cs="Times New Roman"/>
                      <w:szCs w:val="21"/>
                      <w:lang w:bidi="ar"/>
                    </w:rPr>
                    <w:t>,</w:t>
                  </w:r>
                  <w:r>
                    <w:rPr>
                      <w:rFonts w:hint="eastAsia" w:ascii="宋体" w:hAnsi="宋体" w:eastAsia="宋体" w:cs="宋体"/>
                      <w:szCs w:val="21"/>
                      <w:lang w:bidi="ar"/>
                    </w:rPr>
                    <w:t>改善断面水质</w:t>
                  </w:r>
                  <w:r>
                    <w:rPr>
                      <w:rFonts w:ascii="Times New Roman" w:hAnsi="Times New Roman" w:eastAsia="宋体" w:cs="Times New Roman"/>
                      <w:szCs w:val="21"/>
                      <w:lang w:bidi="ar"/>
                    </w:rPr>
                    <w:t>,</w:t>
                  </w:r>
                  <w:r>
                    <w:rPr>
                      <w:rFonts w:hint="eastAsia" w:ascii="宋体" w:hAnsi="宋体" w:eastAsia="宋体" w:cs="宋体"/>
                      <w:szCs w:val="21"/>
                      <w:lang w:bidi="ar"/>
                    </w:rPr>
                    <w:t>保护河流生态空间。</w:t>
                  </w:r>
                </w:p>
              </w:tc>
              <w:tc>
                <w:tcPr>
                  <w:tcW w:w="1727" w:type="pct"/>
                  <w:vAlign w:val="center"/>
                </w:tcPr>
                <w:p w14:paraId="5522E6F4">
                  <w:pPr>
                    <w:widowControl/>
                    <w:spacing w:line="320" w:lineRule="exact"/>
                    <w:jc w:val="center"/>
                    <w:rPr>
                      <w:rFonts w:ascii="Times New Roman" w:hAnsi="Times New Roman" w:eastAsia="宋体" w:cs="Times New Roman"/>
                      <w:szCs w:val="21"/>
                    </w:rPr>
                  </w:pPr>
                  <w:r>
                    <w:rPr>
                      <w:rFonts w:hint="eastAsia" w:ascii="宋体" w:hAnsi="宋体" w:eastAsia="宋体" w:cs="宋体"/>
                      <w:szCs w:val="21"/>
                      <w:lang w:bidi="ar"/>
                    </w:rPr>
                    <w:t>本项目距离赵家坪沟最近井场为</w:t>
                  </w:r>
                  <w:r>
                    <w:rPr>
                      <w:rFonts w:ascii="宋体" w:hAnsi="宋体" w:eastAsia="宋体" w:cs="宋体"/>
                      <w:szCs w:val="21"/>
                      <w:lang w:bidi="ar"/>
                    </w:rPr>
                    <w:t>LXD3-9</w:t>
                  </w:r>
                  <w:r>
                    <w:rPr>
                      <w:rFonts w:hint="eastAsia" w:ascii="宋体" w:hAnsi="宋体" w:eastAsia="宋体" w:cs="宋体"/>
                      <w:szCs w:val="21"/>
                      <w:lang w:bidi="ar"/>
                    </w:rPr>
                    <w:t>井场</w:t>
                  </w:r>
                  <w:r>
                    <w:rPr>
                      <w:rFonts w:ascii="宋体" w:hAnsi="宋体" w:eastAsia="宋体" w:cs="宋体"/>
                      <w:szCs w:val="21"/>
                      <w:lang w:bidi="ar"/>
                    </w:rPr>
                    <w:t>，距离为410m</w:t>
                  </w:r>
                </w:p>
              </w:tc>
              <w:tc>
                <w:tcPr>
                  <w:tcW w:w="457" w:type="pct"/>
                  <w:vAlign w:val="center"/>
                </w:tcPr>
                <w:p w14:paraId="3702FE2D">
                  <w:pPr>
                    <w:widowControl/>
                    <w:spacing w:line="320" w:lineRule="exact"/>
                    <w:jc w:val="center"/>
                    <w:rPr>
                      <w:rFonts w:ascii="Times New Roman" w:hAnsi="Times New Roman" w:eastAsia="宋体" w:cs="Times New Roman"/>
                      <w:szCs w:val="21"/>
                    </w:rPr>
                  </w:pPr>
                  <w:r>
                    <w:rPr>
                      <w:rFonts w:hint="eastAsia" w:ascii="宋体" w:hAnsi="宋体" w:eastAsia="宋体" w:cs="宋体"/>
                      <w:szCs w:val="21"/>
                      <w:lang w:bidi="ar"/>
                    </w:rPr>
                    <w:t>符合</w:t>
                  </w:r>
                </w:p>
              </w:tc>
            </w:tr>
          </w:tbl>
          <w:p w14:paraId="4048E424">
            <w:pPr>
              <w:pStyle w:val="96"/>
              <w:ind w:firstLine="0" w:firstLineChars="0"/>
              <w:rPr>
                <w:b/>
                <w:bCs/>
              </w:rPr>
            </w:pPr>
            <w:r>
              <w:rPr>
                <w:rFonts w:hint="eastAsia"/>
                <w:b/>
                <w:bCs/>
              </w:rPr>
              <w:t>4、与《山西省“十四五”生态环境保护规划》符合性分析</w:t>
            </w:r>
          </w:p>
          <w:p w14:paraId="4764FD6A">
            <w:pPr>
              <w:pStyle w:val="96"/>
              <w:ind w:firstLine="480"/>
            </w:pPr>
            <w:r>
              <w:rPr>
                <w:rFonts w:hint="eastAsia"/>
              </w:rPr>
              <w:t>2022年3月8日，山西省生态环境厅及山西省发展和改革委员会以晋环发[2022]3号下发了《山西省“十四五”生态环境保护规划》的通知，本项目建设符合规划要求，具体符合性分析如下。</w:t>
            </w:r>
          </w:p>
          <w:p w14:paraId="085A982A">
            <w:pPr>
              <w:pStyle w:val="19"/>
              <w:keepNext/>
            </w:pPr>
            <w:r>
              <w:t xml:space="preserve">表 </w:t>
            </w:r>
            <w:r>
              <w:fldChar w:fldCharType="begin"/>
            </w:r>
            <w:r>
              <w:instrText xml:space="preserve"> SEQ 表 \* ARABIC </w:instrText>
            </w:r>
            <w:r>
              <w:fldChar w:fldCharType="separate"/>
            </w:r>
            <w:r>
              <w:t>4</w:t>
            </w:r>
            <w:r>
              <w:fldChar w:fldCharType="end"/>
            </w:r>
            <w:r>
              <w:rPr>
                <w:rFonts w:hint="eastAsia"/>
              </w:rPr>
              <w:t>与《山西省“十四五”生态环境保护规划》符合性分析</w:t>
            </w:r>
          </w:p>
          <w:tbl>
            <w:tblPr>
              <w:tblStyle w:val="73"/>
              <w:tblW w:w="4996"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03"/>
              <w:gridCol w:w="2988"/>
              <w:gridCol w:w="2640"/>
              <w:gridCol w:w="615"/>
            </w:tblGrid>
            <w:tr w14:paraId="5FE464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372" w:type="pct"/>
                  <w:vAlign w:val="center"/>
                </w:tcPr>
                <w:p w14:paraId="168C2FC5">
                  <w:pPr>
                    <w:widowControl/>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序号</w:t>
                  </w:r>
                </w:p>
              </w:tc>
              <w:tc>
                <w:tcPr>
                  <w:tcW w:w="2215" w:type="pct"/>
                  <w:vAlign w:val="center"/>
                </w:tcPr>
                <w:p w14:paraId="1B114800">
                  <w:pPr>
                    <w:widowControl/>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方案内容</w:t>
                  </w:r>
                </w:p>
              </w:tc>
              <w:tc>
                <w:tcPr>
                  <w:tcW w:w="1957" w:type="pct"/>
                  <w:vAlign w:val="center"/>
                </w:tcPr>
                <w:p w14:paraId="0103DAA8">
                  <w:pPr>
                    <w:widowControl/>
                    <w:spacing w:line="320" w:lineRule="exact"/>
                    <w:jc w:val="center"/>
                    <w:rPr>
                      <w:rFonts w:ascii="Times New Roman" w:hAnsi="Times New Roman" w:eastAsia="宋体" w:cs="Times New Roman"/>
                      <w:szCs w:val="21"/>
                    </w:rPr>
                  </w:pPr>
                  <w:r>
                    <w:rPr>
                      <w:rFonts w:hint="eastAsia" w:ascii="宋体" w:hAnsi="宋体" w:eastAsia="宋体" w:cs="宋体"/>
                      <w:szCs w:val="21"/>
                      <w:lang w:bidi="ar"/>
                    </w:rPr>
                    <w:t>项目情况</w:t>
                  </w:r>
                </w:p>
              </w:tc>
              <w:tc>
                <w:tcPr>
                  <w:tcW w:w="457" w:type="pct"/>
                  <w:vAlign w:val="center"/>
                </w:tcPr>
                <w:p w14:paraId="0BE80A6B">
                  <w:pPr>
                    <w:widowControl/>
                    <w:spacing w:line="320" w:lineRule="exact"/>
                    <w:jc w:val="center"/>
                    <w:rPr>
                      <w:rFonts w:ascii="Times New Roman" w:hAnsi="Times New Roman" w:eastAsia="宋体" w:cs="Times New Roman"/>
                      <w:szCs w:val="21"/>
                    </w:rPr>
                  </w:pPr>
                  <w:r>
                    <w:rPr>
                      <w:rFonts w:hint="eastAsia" w:ascii="宋体" w:hAnsi="宋体" w:eastAsia="宋体" w:cs="宋体"/>
                      <w:szCs w:val="21"/>
                      <w:lang w:bidi="ar"/>
                    </w:rPr>
                    <w:t>符合性</w:t>
                  </w:r>
                </w:p>
              </w:tc>
            </w:tr>
            <w:tr w14:paraId="6866B1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2" w:type="pct"/>
                  <w:vAlign w:val="center"/>
                </w:tcPr>
                <w:p w14:paraId="57FE6E41">
                  <w:pPr>
                    <w:widowControl/>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1</w:t>
                  </w:r>
                </w:p>
              </w:tc>
              <w:tc>
                <w:tcPr>
                  <w:tcW w:w="2215" w:type="pct"/>
                  <w:vAlign w:val="center"/>
                </w:tcPr>
                <w:p w14:paraId="56D88E6D">
                  <w:pPr>
                    <w:widowControl/>
                    <w:spacing w:line="320" w:lineRule="exact"/>
                    <w:jc w:val="center"/>
                    <w:rPr>
                      <w:rFonts w:ascii="Times New Roman" w:hAnsi="Times New Roman" w:eastAsia="宋体" w:cs="Times New Roman"/>
                      <w:szCs w:val="21"/>
                    </w:rPr>
                  </w:pPr>
                  <w:r>
                    <w:rPr>
                      <w:rFonts w:hint="eastAsia" w:ascii="Times New Roman" w:hAnsi="Times New Roman" w:eastAsia="宋体" w:cs="Times New Roman"/>
                      <w:b/>
                      <w:bCs/>
                      <w:szCs w:val="21"/>
                    </w:rPr>
                    <w:t>持续推进清洁取暖改造：</w:t>
                  </w:r>
                  <w:r>
                    <w:rPr>
                      <w:rFonts w:hint="eastAsia" w:ascii="Times New Roman" w:hAnsi="Times New Roman" w:eastAsia="宋体" w:cs="Times New Roman"/>
                      <w:szCs w:val="21"/>
                    </w:rPr>
                    <w:t>落实好天然气（煤层气）、电力供应和热源保障措施，在山区等暂不具备清洁能源替代条件的地区，做好洁净煤保底，严格煤炭质量管控。加快推进农业生产用煤清洁化替代。</w:t>
                  </w:r>
                </w:p>
              </w:tc>
              <w:tc>
                <w:tcPr>
                  <w:tcW w:w="1957" w:type="pct"/>
                  <w:vAlign w:val="center"/>
                </w:tcPr>
                <w:p w14:paraId="4CDCCB21">
                  <w:pPr>
                    <w:widowControl/>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本次建设</w:t>
                  </w:r>
                  <w:r>
                    <w:rPr>
                      <w:rFonts w:ascii="Times New Roman" w:hAnsi="Times New Roman" w:eastAsia="宋体" w:cs="Times New Roman"/>
                      <w:szCs w:val="21"/>
                    </w:rPr>
                    <w:t>21</w:t>
                  </w:r>
                  <w:r>
                    <w:rPr>
                      <w:rFonts w:hint="eastAsia" w:ascii="Times New Roman" w:hAnsi="Times New Roman" w:eastAsia="宋体" w:cs="Times New Roman"/>
                      <w:szCs w:val="21"/>
                    </w:rPr>
                    <w:t>口</w:t>
                  </w:r>
                  <w:r>
                    <w:rPr>
                      <w:rStyle w:val="95"/>
                      <w:rFonts w:hint="eastAsia"/>
                    </w:rPr>
                    <w:t>致密气</w:t>
                  </w:r>
                  <w:r>
                    <w:rPr>
                      <w:rFonts w:hint="eastAsia" w:ascii="Times New Roman" w:hAnsi="Times New Roman" w:eastAsia="宋体" w:cs="Times New Roman"/>
                      <w:szCs w:val="21"/>
                    </w:rPr>
                    <w:t>勘探井，进一步探明区域</w:t>
                  </w:r>
                  <w:r>
                    <w:rPr>
                      <w:rStyle w:val="95"/>
                      <w:rFonts w:hint="eastAsia"/>
                      <w:color w:val="auto"/>
                    </w:rPr>
                    <w:t>致密气储量，为整体开采项</w:t>
                  </w:r>
                  <w:r>
                    <w:rPr>
                      <w:rFonts w:hint="eastAsia" w:ascii="Times New Roman" w:hAnsi="Times New Roman" w:eastAsia="宋体" w:cs="Times New Roman"/>
                      <w:szCs w:val="21"/>
                    </w:rPr>
                    <w:t>目做好前期准备工作，待区域整体开发项目实施后，将为区域清洁取暖改造提供气源保障，加快区域农业生产用煤清洁化替代</w:t>
                  </w:r>
                </w:p>
              </w:tc>
              <w:tc>
                <w:tcPr>
                  <w:tcW w:w="457" w:type="pct"/>
                  <w:vAlign w:val="center"/>
                </w:tcPr>
                <w:p w14:paraId="4D69A188">
                  <w:pPr>
                    <w:widowControl/>
                    <w:spacing w:line="320" w:lineRule="exact"/>
                    <w:jc w:val="center"/>
                    <w:rPr>
                      <w:rFonts w:ascii="Times New Roman" w:hAnsi="Times New Roman" w:eastAsia="宋体" w:cs="Times New Roman"/>
                      <w:szCs w:val="21"/>
                    </w:rPr>
                  </w:pPr>
                  <w:r>
                    <w:rPr>
                      <w:rFonts w:hint="eastAsia" w:ascii="宋体" w:hAnsi="宋体" w:eastAsia="宋体" w:cs="宋体"/>
                      <w:szCs w:val="21"/>
                      <w:lang w:bidi="ar"/>
                    </w:rPr>
                    <w:t>符合</w:t>
                  </w:r>
                </w:p>
              </w:tc>
            </w:tr>
            <w:tr w14:paraId="39A145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2" w:type="pct"/>
                  <w:vAlign w:val="center"/>
                </w:tcPr>
                <w:p w14:paraId="46B46633">
                  <w:pPr>
                    <w:widowControl/>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2</w:t>
                  </w:r>
                </w:p>
              </w:tc>
              <w:tc>
                <w:tcPr>
                  <w:tcW w:w="2215" w:type="pct"/>
                  <w:vAlign w:val="center"/>
                </w:tcPr>
                <w:p w14:paraId="11C17F2F">
                  <w:pPr>
                    <w:widowControl/>
                    <w:spacing w:line="320" w:lineRule="exact"/>
                    <w:jc w:val="center"/>
                    <w:rPr>
                      <w:rFonts w:ascii="Times New Roman" w:hAnsi="Times New Roman" w:eastAsia="宋体" w:cs="Times New Roman"/>
                      <w:szCs w:val="21"/>
                    </w:rPr>
                  </w:pPr>
                  <w:r>
                    <w:rPr>
                      <w:rFonts w:hint="eastAsia" w:ascii="Times New Roman" w:hAnsi="Times New Roman" w:eastAsia="宋体" w:cs="Times New Roman"/>
                      <w:b/>
                      <w:bCs/>
                      <w:szCs w:val="21"/>
                    </w:rPr>
                    <w:t>持续推进工业污水治理：</w:t>
                  </w:r>
                  <w:r>
                    <w:rPr>
                      <w:rFonts w:hint="eastAsia" w:ascii="Times New Roman" w:hAnsi="Times New Roman" w:eastAsia="宋体" w:cs="Times New Roman"/>
                      <w:szCs w:val="21"/>
                    </w:rPr>
                    <w:t>开展煤层气采排水专项治理；加强煤层气采排水处理与回用</w:t>
                  </w:r>
                </w:p>
              </w:tc>
              <w:tc>
                <w:tcPr>
                  <w:tcW w:w="1957" w:type="pct"/>
                  <w:vAlign w:val="center"/>
                </w:tcPr>
                <w:p w14:paraId="4738DA95">
                  <w:pPr>
                    <w:widowControl/>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本次试采过程中产生的排采水优先回用于钻井、压裂用水，无法利用部分，拉运至中联煤层气有限责任公司临兴西区</w:t>
                  </w:r>
                  <w:r>
                    <w:rPr>
                      <w:rFonts w:ascii="Times New Roman" w:hAnsi="Times New Roman" w:eastAsia="宋体" w:cs="Times New Roman"/>
                      <w:szCs w:val="21"/>
                    </w:rPr>
                    <w:t>(山西区块)开发项目</w:t>
                  </w:r>
                  <w:r>
                    <w:rPr>
                      <w:rFonts w:hint="eastAsia" w:ascii="Times New Roman" w:hAnsi="Times New Roman" w:eastAsia="宋体" w:cs="Times New Roman"/>
                      <w:szCs w:val="21"/>
                    </w:rPr>
                    <w:t>排采水处理</w:t>
                  </w:r>
                  <w:r>
                    <w:rPr>
                      <w:rFonts w:ascii="Times New Roman" w:hAnsi="Times New Roman" w:eastAsia="宋体" w:cs="Times New Roman"/>
                      <w:szCs w:val="21"/>
                    </w:rPr>
                    <w:t>2站处置</w:t>
                  </w:r>
                  <w:r>
                    <w:rPr>
                      <w:rFonts w:hint="eastAsia" w:ascii="Times New Roman" w:hAnsi="Times New Roman" w:eastAsia="宋体" w:cs="Times New Roman"/>
                      <w:szCs w:val="21"/>
                    </w:rPr>
                    <w:t>，回用于其他钻井。</w:t>
                  </w:r>
                </w:p>
              </w:tc>
              <w:tc>
                <w:tcPr>
                  <w:tcW w:w="457" w:type="pct"/>
                  <w:vAlign w:val="center"/>
                </w:tcPr>
                <w:p w14:paraId="6B265BEB">
                  <w:pPr>
                    <w:widowControl/>
                    <w:spacing w:line="320" w:lineRule="exact"/>
                    <w:jc w:val="center"/>
                    <w:rPr>
                      <w:rFonts w:ascii="Times New Roman" w:hAnsi="Times New Roman" w:eastAsia="宋体" w:cs="Times New Roman"/>
                      <w:szCs w:val="21"/>
                    </w:rPr>
                  </w:pPr>
                  <w:r>
                    <w:rPr>
                      <w:rFonts w:hint="eastAsia" w:ascii="宋体" w:hAnsi="宋体" w:eastAsia="宋体" w:cs="宋体"/>
                      <w:szCs w:val="21"/>
                      <w:lang w:bidi="ar"/>
                    </w:rPr>
                    <w:t>符合</w:t>
                  </w:r>
                </w:p>
              </w:tc>
            </w:tr>
          </w:tbl>
          <w:p w14:paraId="7AFDA87E">
            <w:pPr>
              <w:pStyle w:val="96"/>
              <w:ind w:firstLine="482"/>
              <w:rPr>
                <w:b/>
                <w:bCs/>
              </w:rPr>
            </w:pPr>
            <w:r>
              <w:rPr>
                <w:rFonts w:hint="eastAsia"/>
                <w:b/>
                <w:bCs/>
              </w:rPr>
              <w:t>5、与《山西省2022-2023年地下水、土壤、空气质量再提升动计划》符合性分析</w:t>
            </w:r>
          </w:p>
          <w:p w14:paraId="7035F07E">
            <w:pPr>
              <w:pStyle w:val="96"/>
              <w:ind w:firstLine="480"/>
            </w:pPr>
            <w:r>
              <w:rPr>
                <w:rFonts w:hint="eastAsia"/>
              </w:rPr>
              <w:t>2022年11月20日，山西省人民政府办公厅以晋政办发[2022]95号下发了《山西省2022-2023年地下水、土壤、空气质量再提升动计划》的通知，本项目建设符合行动计划要求，具体符合性分析如下。</w:t>
            </w:r>
          </w:p>
          <w:p w14:paraId="60580264">
            <w:pPr>
              <w:pStyle w:val="19"/>
              <w:keepNext/>
            </w:pPr>
            <w:r>
              <w:t xml:space="preserve">表 </w:t>
            </w:r>
            <w:r>
              <w:fldChar w:fldCharType="begin"/>
            </w:r>
            <w:r>
              <w:instrText xml:space="preserve"> SEQ 表 \* ARABIC </w:instrText>
            </w:r>
            <w:r>
              <w:fldChar w:fldCharType="separate"/>
            </w:r>
            <w:r>
              <w:t>5</w:t>
            </w:r>
            <w:r>
              <w:fldChar w:fldCharType="end"/>
            </w:r>
            <w:r>
              <w:rPr>
                <w:rFonts w:hint="eastAsia"/>
              </w:rPr>
              <w:t>与《山西省</w:t>
            </w:r>
            <w:r>
              <w:t>2022-2023年地下水、土壤、空气质量再提升动计划》符合性分析</w:t>
            </w:r>
          </w:p>
          <w:tbl>
            <w:tblPr>
              <w:tblStyle w:val="73"/>
              <w:tblW w:w="4996"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02"/>
              <w:gridCol w:w="2988"/>
              <w:gridCol w:w="2639"/>
              <w:gridCol w:w="617"/>
            </w:tblGrid>
            <w:tr w14:paraId="218EAC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2" w:type="pct"/>
                  <w:vAlign w:val="center"/>
                </w:tcPr>
                <w:p w14:paraId="2B609078">
                  <w:pPr>
                    <w:widowControl/>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序号</w:t>
                  </w:r>
                </w:p>
              </w:tc>
              <w:tc>
                <w:tcPr>
                  <w:tcW w:w="2215" w:type="pct"/>
                  <w:vAlign w:val="center"/>
                </w:tcPr>
                <w:p w14:paraId="329312C7">
                  <w:pPr>
                    <w:widowControl/>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方案内容</w:t>
                  </w:r>
                </w:p>
              </w:tc>
              <w:tc>
                <w:tcPr>
                  <w:tcW w:w="1956" w:type="pct"/>
                  <w:vAlign w:val="center"/>
                </w:tcPr>
                <w:p w14:paraId="4F442533">
                  <w:pPr>
                    <w:widowControl/>
                    <w:spacing w:line="320" w:lineRule="exact"/>
                    <w:jc w:val="center"/>
                    <w:rPr>
                      <w:rFonts w:ascii="Times New Roman" w:hAnsi="Times New Roman" w:eastAsia="宋体" w:cs="Times New Roman"/>
                      <w:szCs w:val="21"/>
                    </w:rPr>
                  </w:pPr>
                  <w:r>
                    <w:rPr>
                      <w:rFonts w:hint="eastAsia" w:ascii="宋体" w:hAnsi="宋体" w:eastAsia="宋体" w:cs="宋体"/>
                      <w:szCs w:val="21"/>
                      <w:lang w:bidi="ar"/>
                    </w:rPr>
                    <w:t>项目情况</w:t>
                  </w:r>
                </w:p>
              </w:tc>
              <w:tc>
                <w:tcPr>
                  <w:tcW w:w="457" w:type="pct"/>
                  <w:vAlign w:val="center"/>
                </w:tcPr>
                <w:p w14:paraId="0453E541">
                  <w:pPr>
                    <w:widowControl/>
                    <w:spacing w:line="320" w:lineRule="exact"/>
                    <w:jc w:val="center"/>
                    <w:rPr>
                      <w:rFonts w:ascii="Times New Roman" w:hAnsi="Times New Roman" w:eastAsia="宋体" w:cs="Times New Roman"/>
                      <w:szCs w:val="21"/>
                    </w:rPr>
                  </w:pPr>
                  <w:r>
                    <w:rPr>
                      <w:rFonts w:hint="eastAsia" w:ascii="宋体" w:hAnsi="宋体" w:eastAsia="宋体" w:cs="宋体"/>
                      <w:szCs w:val="21"/>
                      <w:lang w:bidi="ar"/>
                    </w:rPr>
                    <w:t>符合性</w:t>
                  </w:r>
                </w:p>
              </w:tc>
            </w:tr>
            <w:tr w14:paraId="14AFBD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2" w:type="pct"/>
                  <w:vAlign w:val="center"/>
                </w:tcPr>
                <w:p w14:paraId="79740C70">
                  <w:pPr>
                    <w:widowControl/>
                    <w:spacing w:line="320" w:lineRule="exact"/>
                    <w:jc w:val="center"/>
                    <w:rPr>
                      <w:rFonts w:ascii="宋体" w:hAnsi="宋体" w:eastAsia="宋体" w:cs="宋体"/>
                      <w:szCs w:val="21"/>
                      <w:lang w:bidi="ar"/>
                    </w:rPr>
                  </w:pPr>
                  <w:r>
                    <w:rPr>
                      <w:rFonts w:hint="eastAsia" w:ascii="宋体" w:hAnsi="宋体" w:eastAsia="宋体" w:cs="宋体"/>
                      <w:szCs w:val="21"/>
                      <w:lang w:bidi="ar"/>
                    </w:rPr>
                    <w:t>1</w:t>
                  </w:r>
                </w:p>
              </w:tc>
              <w:tc>
                <w:tcPr>
                  <w:tcW w:w="2215" w:type="pct"/>
                  <w:vAlign w:val="center"/>
                </w:tcPr>
                <w:p w14:paraId="740E0D0F">
                  <w:pPr>
                    <w:widowControl/>
                    <w:spacing w:line="320" w:lineRule="exact"/>
                    <w:rPr>
                      <w:rFonts w:ascii="宋体" w:hAnsi="宋体" w:eastAsia="宋体" w:cs="宋体"/>
                      <w:szCs w:val="21"/>
                      <w:lang w:bidi="ar"/>
                    </w:rPr>
                  </w:pPr>
                  <w:r>
                    <w:rPr>
                      <w:rFonts w:hint="eastAsia" w:ascii="宋体" w:hAnsi="宋体" w:eastAsia="宋体" w:cs="宋体"/>
                      <w:b/>
                      <w:bCs/>
                      <w:szCs w:val="21"/>
                      <w:lang w:bidi="ar"/>
                    </w:rPr>
                    <w:t>加强地下水回灌管理：</w:t>
                  </w:r>
                  <w:r>
                    <w:rPr>
                      <w:rFonts w:hint="eastAsia" w:ascii="宋体" w:hAnsi="宋体" w:eastAsia="宋体" w:cs="宋体"/>
                      <w:szCs w:val="21"/>
                      <w:lang w:bidi="ar"/>
                    </w:rPr>
                    <w:t>开采煤成气等</w:t>
                  </w:r>
                  <w:r>
                    <w:rPr>
                      <w:rFonts w:ascii="宋体" w:hAnsi="宋体" w:eastAsia="宋体" w:cs="宋体"/>
                      <w:szCs w:val="21"/>
                      <w:lang w:bidi="ar"/>
                    </w:rPr>
                    <w:t>产生的废水回灌地下的</w:t>
                  </w:r>
                  <w:r>
                    <w:rPr>
                      <w:rFonts w:hint="eastAsia" w:ascii="宋体" w:hAnsi="宋体" w:eastAsia="宋体" w:cs="宋体"/>
                      <w:szCs w:val="21"/>
                      <w:lang w:bidi="ar"/>
                    </w:rPr>
                    <w:t>，</w:t>
                  </w:r>
                  <w:r>
                    <w:rPr>
                      <w:rFonts w:ascii="宋体" w:hAnsi="宋体" w:eastAsia="宋体" w:cs="宋体"/>
                      <w:szCs w:val="21"/>
                      <w:lang w:bidi="ar"/>
                    </w:rPr>
                    <w:t>经处理后应当符合相关的水质要求</w:t>
                  </w:r>
                  <w:r>
                    <w:rPr>
                      <w:rFonts w:hint="eastAsia" w:ascii="宋体" w:hAnsi="宋体" w:eastAsia="宋体" w:cs="宋体"/>
                      <w:szCs w:val="21"/>
                      <w:lang w:bidi="ar"/>
                    </w:rPr>
                    <w:t>，</w:t>
                  </w:r>
                  <w:r>
                    <w:rPr>
                      <w:rFonts w:ascii="宋体" w:hAnsi="宋体" w:eastAsia="宋体" w:cs="宋体"/>
                      <w:szCs w:val="21"/>
                      <w:lang w:bidi="ar"/>
                    </w:rPr>
                    <w:t>不得</w:t>
                  </w:r>
                  <w:r>
                    <w:rPr>
                      <w:rFonts w:hint="eastAsia" w:ascii="宋体" w:hAnsi="宋体" w:eastAsia="宋体" w:cs="宋体"/>
                      <w:szCs w:val="21"/>
                      <w:lang w:bidi="ar"/>
                    </w:rPr>
                    <w:t>恶化地下水水质。</w:t>
                  </w:r>
                </w:p>
              </w:tc>
              <w:tc>
                <w:tcPr>
                  <w:tcW w:w="1956" w:type="pct"/>
                  <w:vAlign w:val="center"/>
                </w:tcPr>
                <w:p w14:paraId="5A17F9B3">
                  <w:pPr>
                    <w:widowControl/>
                    <w:spacing w:line="320" w:lineRule="exact"/>
                    <w:jc w:val="center"/>
                    <w:rPr>
                      <w:rFonts w:ascii="宋体" w:hAnsi="宋体" w:eastAsia="宋体" w:cs="宋体"/>
                      <w:szCs w:val="21"/>
                      <w:lang w:bidi="ar"/>
                    </w:rPr>
                  </w:pPr>
                  <w:r>
                    <w:rPr>
                      <w:rFonts w:hint="eastAsia" w:ascii="宋体" w:hAnsi="宋体" w:eastAsia="宋体" w:cs="宋体"/>
                      <w:szCs w:val="21"/>
                      <w:lang w:bidi="ar"/>
                    </w:rPr>
                    <w:t>本次试采过程中产生的排采水拉运至中联煤层气有限责任公司临兴西区</w:t>
                  </w:r>
                  <w:r>
                    <w:rPr>
                      <w:rFonts w:ascii="宋体" w:hAnsi="宋体" w:eastAsia="宋体" w:cs="宋体"/>
                      <w:szCs w:val="21"/>
                      <w:lang w:bidi="ar"/>
                    </w:rPr>
                    <w:t>(山西区块)开发项目</w:t>
                  </w:r>
                  <w:r>
                    <w:rPr>
                      <w:rFonts w:hint="eastAsia" w:ascii="宋体" w:hAnsi="宋体" w:eastAsia="宋体" w:cs="宋体"/>
                      <w:szCs w:val="21"/>
                      <w:lang w:bidi="ar"/>
                    </w:rPr>
                    <w:t>排采水处理</w:t>
                  </w:r>
                  <w:r>
                    <w:rPr>
                      <w:rFonts w:ascii="宋体" w:hAnsi="宋体" w:eastAsia="宋体" w:cs="宋体"/>
                      <w:szCs w:val="21"/>
                      <w:lang w:bidi="ar"/>
                    </w:rPr>
                    <w:t>2站处理后</w:t>
                  </w:r>
                  <w:r>
                    <w:rPr>
                      <w:rFonts w:hint="eastAsia" w:ascii="宋体" w:hAnsi="宋体" w:eastAsia="宋体" w:cs="宋体"/>
                      <w:szCs w:val="21"/>
                      <w:lang w:bidi="ar"/>
                    </w:rPr>
                    <w:t>全部</w:t>
                  </w:r>
                  <w:r>
                    <w:rPr>
                      <w:rFonts w:ascii="宋体" w:hAnsi="宋体" w:eastAsia="宋体" w:cs="宋体"/>
                      <w:szCs w:val="21"/>
                      <w:lang w:bidi="ar"/>
                    </w:rPr>
                    <w:t>回用于压裂返排液处理后用于回配压裂液和钻井用水。不外排</w:t>
                  </w:r>
                  <w:r>
                    <w:rPr>
                      <w:rFonts w:hint="eastAsia" w:ascii="宋体" w:hAnsi="宋体" w:eastAsia="宋体" w:cs="宋体"/>
                      <w:szCs w:val="21"/>
                      <w:lang w:bidi="ar"/>
                    </w:rPr>
                    <w:t>。</w:t>
                  </w:r>
                  <w:r>
                    <w:rPr>
                      <w:rFonts w:ascii="宋体" w:hAnsi="宋体" w:eastAsia="宋体" w:cs="宋体"/>
                      <w:szCs w:val="21"/>
                      <w:lang w:bidi="ar"/>
                    </w:rPr>
                    <w:t>冬季无法回用的在清水池内暂存</w:t>
                  </w:r>
                  <w:r>
                    <w:rPr>
                      <w:rFonts w:hint="eastAsia" w:ascii="宋体" w:hAnsi="宋体" w:eastAsia="宋体" w:cs="宋体"/>
                      <w:szCs w:val="21"/>
                      <w:lang w:bidi="ar"/>
                    </w:rPr>
                    <w:t>。</w:t>
                  </w:r>
                </w:p>
              </w:tc>
              <w:tc>
                <w:tcPr>
                  <w:tcW w:w="457" w:type="pct"/>
                  <w:vAlign w:val="center"/>
                </w:tcPr>
                <w:p w14:paraId="64D32E9A">
                  <w:pPr>
                    <w:widowControl/>
                    <w:spacing w:line="320" w:lineRule="exact"/>
                    <w:jc w:val="center"/>
                    <w:rPr>
                      <w:rFonts w:ascii="Times New Roman" w:hAnsi="Times New Roman" w:eastAsia="宋体" w:cs="Times New Roman"/>
                      <w:szCs w:val="21"/>
                    </w:rPr>
                  </w:pPr>
                  <w:r>
                    <w:rPr>
                      <w:rFonts w:hint="eastAsia" w:ascii="宋体" w:hAnsi="宋体" w:eastAsia="宋体" w:cs="宋体"/>
                      <w:szCs w:val="21"/>
                      <w:lang w:bidi="ar"/>
                    </w:rPr>
                    <w:t>符合</w:t>
                  </w:r>
                </w:p>
              </w:tc>
            </w:tr>
            <w:tr w14:paraId="1C1E4B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2" w:type="pct"/>
                  <w:vAlign w:val="center"/>
                </w:tcPr>
                <w:p w14:paraId="34FF5B98">
                  <w:pPr>
                    <w:widowControl/>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2</w:t>
                  </w:r>
                </w:p>
              </w:tc>
              <w:tc>
                <w:tcPr>
                  <w:tcW w:w="2215" w:type="pct"/>
                  <w:vAlign w:val="center"/>
                </w:tcPr>
                <w:p w14:paraId="43699768">
                  <w:pPr>
                    <w:widowControl/>
                    <w:spacing w:line="320" w:lineRule="exact"/>
                    <w:rPr>
                      <w:rFonts w:ascii="宋体" w:hAnsi="宋体" w:eastAsia="宋体" w:cs="宋体"/>
                      <w:b/>
                      <w:bCs/>
                      <w:szCs w:val="21"/>
                      <w:lang w:bidi="ar"/>
                    </w:rPr>
                  </w:pPr>
                  <w:r>
                    <w:rPr>
                      <w:rFonts w:hint="eastAsia" w:ascii="宋体" w:hAnsi="宋体" w:eastAsia="宋体" w:cs="宋体"/>
                      <w:b/>
                      <w:bCs/>
                      <w:szCs w:val="21"/>
                      <w:lang w:bidi="ar"/>
                    </w:rPr>
                    <w:t>强化执法监督和考核督察：</w:t>
                  </w:r>
                  <w:r>
                    <w:rPr>
                      <w:rFonts w:hint="eastAsia" w:ascii="宋体" w:hAnsi="宋体" w:eastAsia="宋体" w:cs="宋体"/>
                      <w:szCs w:val="21"/>
                      <w:lang w:bidi="ar"/>
                    </w:rPr>
                    <w:t>强化企业自行监测及地热水、</w:t>
                  </w:r>
                  <w:r>
                    <w:rPr>
                      <w:rFonts w:ascii="宋体" w:hAnsi="宋体" w:eastAsia="宋体" w:cs="宋体"/>
                      <w:szCs w:val="21"/>
                      <w:lang w:bidi="ar"/>
                    </w:rPr>
                    <w:t>煤成气等采出水违法排污执法检查。</w:t>
                  </w:r>
                </w:p>
                <w:p w14:paraId="44E24BAB">
                  <w:pPr>
                    <w:widowControl/>
                    <w:spacing w:line="320" w:lineRule="exact"/>
                    <w:rPr>
                      <w:rFonts w:ascii="宋体" w:hAnsi="宋体" w:eastAsia="宋体" w:cs="宋体"/>
                      <w:b/>
                      <w:bCs/>
                      <w:szCs w:val="21"/>
                      <w:lang w:bidi="ar"/>
                    </w:rPr>
                  </w:pPr>
                </w:p>
              </w:tc>
              <w:tc>
                <w:tcPr>
                  <w:tcW w:w="1956" w:type="pct"/>
                  <w:vAlign w:val="center"/>
                </w:tcPr>
                <w:p w14:paraId="387DC5A0">
                  <w:pPr>
                    <w:widowControl/>
                    <w:spacing w:line="320" w:lineRule="exact"/>
                    <w:rPr>
                      <w:rFonts w:ascii="宋体" w:hAnsi="宋体" w:eastAsia="宋体" w:cs="宋体"/>
                      <w:b/>
                      <w:bCs/>
                      <w:szCs w:val="21"/>
                      <w:lang w:bidi="ar"/>
                    </w:rPr>
                  </w:pPr>
                  <w:r>
                    <w:rPr>
                      <w:rFonts w:hint="eastAsia" w:ascii="宋体" w:hAnsi="宋体" w:eastAsia="宋体" w:cs="宋体"/>
                      <w:szCs w:val="21"/>
                      <w:lang w:bidi="ar"/>
                    </w:rPr>
                    <w:t>本次试采过程中产生的排采水罐车拉运至现有排采水处理站集中处置，罐车拉运采用三联单制度，保证废水不外排。</w:t>
                  </w:r>
                </w:p>
              </w:tc>
              <w:tc>
                <w:tcPr>
                  <w:tcW w:w="457" w:type="pct"/>
                  <w:vAlign w:val="center"/>
                </w:tcPr>
                <w:p w14:paraId="4C13512F">
                  <w:pPr>
                    <w:widowControl/>
                    <w:spacing w:line="320" w:lineRule="exact"/>
                    <w:jc w:val="center"/>
                    <w:rPr>
                      <w:rFonts w:ascii="Times New Roman" w:hAnsi="Times New Roman" w:eastAsia="宋体" w:cs="Times New Roman"/>
                      <w:szCs w:val="21"/>
                    </w:rPr>
                  </w:pPr>
                  <w:r>
                    <w:rPr>
                      <w:rFonts w:hint="eastAsia" w:ascii="宋体" w:hAnsi="宋体" w:eastAsia="宋体" w:cs="宋体"/>
                      <w:szCs w:val="21"/>
                      <w:lang w:bidi="ar"/>
                    </w:rPr>
                    <w:t>符合</w:t>
                  </w:r>
                </w:p>
              </w:tc>
            </w:tr>
          </w:tbl>
          <w:p w14:paraId="5144FAAC">
            <w:pPr>
              <w:pStyle w:val="96"/>
              <w:ind w:firstLine="0" w:firstLineChars="0"/>
              <w:rPr>
                <w:b/>
                <w:bCs/>
              </w:rPr>
            </w:pPr>
            <w:r>
              <w:rPr>
                <w:rFonts w:hint="eastAsia"/>
                <w:b/>
                <w:bCs/>
              </w:rPr>
              <w:t>6、与《山西省深入推进扬尘污染治理实施方案》符合性分析</w:t>
            </w:r>
          </w:p>
          <w:p w14:paraId="5E5176E4">
            <w:pPr>
              <w:pStyle w:val="96"/>
              <w:ind w:firstLine="480"/>
            </w:pPr>
            <w:r>
              <w:rPr>
                <w:rFonts w:hint="eastAsia"/>
              </w:rPr>
              <w:t>2022年4月12日，山西省生态环境保护委员会办公室以晋环委办函[2022]4号下发了《</w:t>
            </w:r>
            <w:r>
              <w:rPr>
                <w:rFonts w:hint="eastAsia" w:ascii="Times New Roman" w:hAnsi="Times New Roman" w:cs="Times New Roman"/>
              </w:rPr>
              <w:t>山西省深入推进扬尘污染治理实施方案</w:t>
            </w:r>
            <w:r>
              <w:rPr>
                <w:rFonts w:hint="eastAsia"/>
              </w:rPr>
              <w:t>》的通知，本项目建设符合规划要求，具体符合性分析如下。</w:t>
            </w:r>
          </w:p>
          <w:p w14:paraId="764B03EF">
            <w:pPr>
              <w:pStyle w:val="19"/>
              <w:keepNext/>
            </w:pPr>
            <w:r>
              <w:t xml:space="preserve">表 </w:t>
            </w:r>
            <w:r>
              <w:fldChar w:fldCharType="begin"/>
            </w:r>
            <w:r>
              <w:instrText xml:space="preserve"> SEQ 表 \* ARABIC </w:instrText>
            </w:r>
            <w:r>
              <w:fldChar w:fldCharType="separate"/>
            </w:r>
            <w:r>
              <w:t>6</w:t>
            </w:r>
            <w:r>
              <w:fldChar w:fldCharType="end"/>
            </w:r>
            <w:r>
              <w:rPr>
                <w:rFonts w:hint="eastAsia"/>
              </w:rPr>
              <w:t>与《山西省深入推进扬尘污染治理实施方案》符合性分析</w:t>
            </w:r>
          </w:p>
          <w:tbl>
            <w:tblPr>
              <w:tblStyle w:val="73"/>
              <w:tblW w:w="4996"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00"/>
              <w:gridCol w:w="2909"/>
              <w:gridCol w:w="2720"/>
              <w:gridCol w:w="617"/>
            </w:tblGrid>
            <w:tr w14:paraId="72540C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1" w:type="pct"/>
                  <w:vAlign w:val="center"/>
                </w:tcPr>
                <w:p w14:paraId="36E2D260">
                  <w:pPr>
                    <w:widowControl/>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序号</w:t>
                  </w:r>
                </w:p>
              </w:tc>
              <w:tc>
                <w:tcPr>
                  <w:tcW w:w="2156" w:type="pct"/>
                  <w:vAlign w:val="center"/>
                </w:tcPr>
                <w:p w14:paraId="36AD6BBE">
                  <w:pPr>
                    <w:widowControl/>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方案内容</w:t>
                  </w:r>
                </w:p>
              </w:tc>
              <w:tc>
                <w:tcPr>
                  <w:tcW w:w="2016" w:type="pct"/>
                  <w:vAlign w:val="center"/>
                </w:tcPr>
                <w:p w14:paraId="360B1AB6">
                  <w:pPr>
                    <w:widowControl/>
                    <w:spacing w:line="320" w:lineRule="exact"/>
                    <w:jc w:val="center"/>
                    <w:rPr>
                      <w:rFonts w:ascii="Times New Roman" w:hAnsi="Times New Roman" w:eastAsia="宋体" w:cs="Times New Roman"/>
                      <w:szCs w:val="21"/>
                    </w:rPr>
                  </w:pPr>
                  <w:r>
                    <w:rPr>
                      <w:rFonts w:hint="eastAsia" w:ascii="宋体" w:hAnsi="宋体" w:eastAsia="宋体" w:cs="宋体"/>
                      <w:szCs w:val="21"/>
                      <w:lang w:bidi="ar"/>
                    </w:rPr>
                    <w:t>项目情况</w:t>
                  </w:r>
                </w:p>
              </w:tc>
              <w:tc>
                <w:tcPr>
                  <w:tcW w:w="457" w:type="pct"/>
                  <w:vAlign w:val="center"/>
                </w:tcPr>
                <w:p w14:paraId="630C84EB">
                  <w:pPr>
                    <w:widowControl/>
                    <w:spacing w:line="320" w:lineRule="exact"/>
                    <w:jc w:val="center"/>
                    <w:rPr>
                      <w:rFonts w:ascii="Times New Roman" w:hAnsi="Times New Roman" w:eastAsia="宋体" w:cs="Times New Roman"/>
                      <w:szCs w:val="21"/>
                    </w:rPr>
                  </w:pPr>
                  <w:r>
                    <w:rPr>
                      <w:rFonts w:hint="eastAsia" w:ascii="宋体" w:hAnsi="宋体" w:eastAsia="宋体" w:cs="宋体"/>
                      <w:szCs w:val="21"/>
                      <w:lang w:bidi="ar"/>
                    </w:rPr>
                    <w:t>符合性</w:t>
                  </w:r>
                </w:p>
              </w:tc>
            </w:tr>
            <w:tr w14:paraId="7A1F0E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1" w:type="pct"/>
                  <w:vAlign w:val="center"/>
                </w:tcPr>
                <w:p w14:paraId="1D640E44">
                  <w:pPr>
                    <w:widowControl/>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1</w:t>
                  </w:r>
                </w:p>
              </w:tc>
              <w:tc>
                <w:tcPr>
                  <w:tcW w:w="2156" w:type="pct"/>
                  <w:vAlign w:val="center"/>
                </w:tcPr>
                <w:p w14:paraId="2283FA2E">
                  <w:pPr>
                    <w:widowControl/>
                    <w:spacing w:line="320" w:lineRule="exact"/>
                    <w:rPr>
                      <w:rFonts w:ascii="宋体" w:hAnsi="宋体" w:eastAsia="宋体" w:cs="宋体"/>
                      <w:szCs w:val="21"/>
                      <w:lang w:bidi="ar"/>
                    </w:rPr>
                  </w:pPr>
                  <w:r>
                    <w:rPr>
                      <w:rFonts w:hint="eastAsia" w:ascii="宋体" w:hAnsi="宋体" w:eastAsia="宋体" w:cs="宋体"/>
                      <w:b/>
                      <w:bCs/>
                      <w:szCs w:val="21"/>
                      <w:lang w:bidi="ar"/>
                    </w:rPr>
                    <w:t>深入开展施工工地扬尘污染治理。</w:t>
                  </w:r>
                  <w:r>
                    <w:rPr>
                      <w:rFonts w:hint="eastAsia" w:ascii="宋体" w:hAnsi="宋体" w:eastAsia="宋体" w:cs="宋体"/>
                      <w:szCs w:val="21"/>
                      <w:lang w:bidi="ar"/>
                    </w:rPr>
                    <w:t>严格落实建筑施工扬尘“六个百分之百”，将防治扬尘污染费用纳入工程造价，规模以上施工工地安装视频监控设施，并接入当地监管平台。各类土石方开挖施工，必须采取有效抑尘措施，确保不产生扬尘污染。遇有大风或重污染天气,应按规定停止土方开挖、回填、拆除等可能产生扬尘的作业，落实重污染天气应急响应扬尘防治差异化管控措施。施工现场渣土、垃圾应及时清运,在场地内堆存的,应遮盖密闭式防尘网。扎实开展非道路移动机械监管，做好进出施工现场信息登记，严禁未经信息编码登记的非道路移动机械进入施工现场作业。充分发挥大型施工企业、重点项目示范引领和带动作用，适时组织观摩，以点带面，提高扬尘污染防治水平。</w:t>
                  </w:r>
                </w:p>
              </w:tc>
              <w:tc>
                <w:tcPr>
                  <w:tcW w:w="2016" w:type="pct"/>
                  <w:vAlign w:val="center"/>
                </w:tcPr>
                <w:p w14:paraId="3C218862">
                  <w:pPr>
                    <w:widowControl/>
                    <w:spacing w:line="320" w:lineRule="exact"/>
                    <w:rPr>
                      <w:rFonts w:ascii="宋体" w:hAnsi="宋体" w:eastAsia="宋体" w:cs="宋体"/>
                      <w:szCs w:val="21"/>
                      <w:lang w:bidi="ar"/>
                    </w:rPr>
                  </w:pPr>
                  <w:r>
                    <w:rPr>
                      <w:rFonts w:hint="eastAsia" w:ascii="宋体" w:hAnsi="宋体" w:eastAsia="宋体" w:cs="宋体"/>
                      <w:szCs w:val="21"/>
                      <w:lang w:bidi="ar"/>
                    </w:rPr>
                    <w:t>评价要求本项目施工工地开发土方堆存于施工作业带内，采用防尘布苫盖；土方施工要避开风速大、湿度小的气象条件。当出现4级及以上风力天气情况时，禁止进行土方施工，并做好遮掩工作；施工单位运输建砂、石等散体建筑材料，要采用密闭运输车辆，并按指定路线行驶。暂存的表土应当集中堆放并全部苫盖。禁止粉状物料露天存放；使用高效节能环保型柴油动力机组和优质燃油，定期对柴油机、柴油发电机等设备进行维护；施工期柴油发电机排气烟度满足《非道路移动柴油机械排气烟度限值及测量方法》中相关要求，其余污染物需满足《非道路移动机械用柴油机排气污染物排放限值及测量方法（中国第三、四阶段）》（GB20891-2014）中第四阶段排放限值要求</w:t>
                  </w:r>
                </w:p>
              </w:tc>
              <w:tc>
                <w:tcPr>
                  <w:tcW w:w="457" w:type="pct"/>
                  <w:vAlign w:val="center"/>
                </w:tcPr>
                <w:p w14:paraId="6D79F0FD">
                  <w:pPr>
                    <w:widowControl/>
                    <w:spacing w:line="320" w:lineRule="exact"/>
                    <w:jc w:val="center"/>
                    <w:rPr>
                      <w:rFonts w:ascii="Times New Roman" w:hAnsi="Times New Roman" w:eastAsia="宋体" w:cs="Times New Roman"/>
                      <w:szCs w:val="21"/>
                    </w:rPr>
                  </w:pPr>
                  <w:r>
                    <w:rPr>
                      <w:rFonts w:hint="eastAsia" w:ascii="宋体" w:hAnsi="宋体" w:eastAsia="宋体" w:cs="宋体"/>
                      <w:szCs w:val="21"/>
                      <w:lang w:bidi="ar"/>
                    </w:rPr>
                    <w:t>符合</w:t>
                  </w:r>
                </w:p>
              </w:tc>
            </w:tr>
            <w:tr w14:paraId="0D71FB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1" w:type="pct"/>
                  <w:vAlign w:val="center"/>
                </w:tcPr>
                <w:p w14:paraId="147C1041">
                  <w:pPr>
                    <w:widowControl/>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2</w:t>
                  </w:r>
                </w:p>
              </w:tc>
              <w:tc>
                <w:tcPr>
                  <w:tcW w:w="2156" w:type="pct"/>
                  <w:vAlign w:val="center"/>
                </w:tcPr>
                <w:p w14:paraId="768859AA">
                  <w:pPr>
                    <w:widowControl/>
                    <w:spacing w:line="320" w:lineRule="exact"/>
                    <w:rPr>
                      <w:rFonts w:ascii="宋体" w:hAnsi="宋体" w:eastAsia="宋体" w:cs="宋体"/>
                      <w:szCs w:val="21"/>
                      <w:lang w:bidi="ar"/>
                    </w:rPr>
                  </w:pPr>
                  <w:r>
                    <w:rPr>
                      <w:rFonts w:hint="eastAsia" w:ascii="宋体" w:hAnsi="宋体" w:eastAsia="宋体" w:cs="宋体"/>
                      <w:b/>
                      <w:bCs/>
                      <w:szCs w:val="21"/>
                      <w:lang w:bidi="ar"/>
                    </w:rPr>
                    <w:t>深入开展物料运输扬尘污染治理。</w:t>
                  </w:r>
                  <w:r>
                    <w:rPr>
                      <w:rFonts w:hint="eastAsia" w:ascii="宋体" w:hAnsi="宋体" w:eastAsia="宋体" w:cs="宋体"/>
                      <w:szCs w:val="21"/>
                      <w:lang w:bidi="ar"/>
                    </w:rPr>
                    <w:t>强化散装物料运输源头监管。督促货运源头单位采取密闭或其他措施防止出场(厂)车辆发生遗撒。严禁未采取有效封闭措施货车出场(厂)。运输渣土、土方、砂石、垃圾、灰浆、煤炭等散装、流体物料的车辆，应当采取密闭措施，按照规定安装卫星定位装置，并按照规定的路线、时间行驶，在运输过程中不得遗撒、泄漏物料。加强对重点区域(路段)、重点时段、重点对象的执法检查,严查未有效密闭运输车辆,依法重处违法装载行为。依法严查渣土运输车辆未按规定时间、路线行驶,沿途抛洒、随意倾倒等行为。严格执行案件抄告、移送制度,实现违法行为闭环治理。</w:t>
                  </w:r>
                </w:p>
              </w:tc>
              <w:tc>
                <w:tcPr>
                  <w:tcW w:w="2016" w:type="pct"/>
                  <w:vAlign w:val="center"/>
                </w:tcPr>
                <w:p w14:paraId="67E4B69B">
                  <w:pPr>
                    <w:widowControl/>
                    <w:spacing w:line="320" w:lineRule="exact"/>
                    <w:rPr>
                      <w:rFonts w:ascii="宋体" w:hAnsi="宋体" w:eastAsia="宋体" w:cs="宋体"/>
                      <w:szCs w:val="21"/>
                      <w:lang w:bidi="ar"/>
                    </w:rPr>
                  </w:pPr>
                  <w:r>
                    <w:rPr>
                      <w:rFonts w:hint="eastAsia" w:ascii="宋体" w:hAnsi="宋体" w:eastAsia="宋体" w:cs="宋体"/>
                      <w:szCs w:val="21"/>
                      <w:lang w:bidi="ar"/>
                    </w:rPr>
                    <w:t>评价要求本项目散装物料运输采取密闭方式，按照规定运输行驶，运输过程中不得遗撒、泄露物料；鼓励使用清洁能源车辆运输，采用柴油车辆运输必须使用国V以上标准车辆，新购柴油车辆必须为车VI标准的车辆，国III和国IV标准的柴油车辆必须实施改造，加装尿素装置，OBD车载自动诊断系统和颗粒物捕集器等尾气治理装置</w:t>
                  </w:r>
                </w:p>
              </w:tc>
              <w:tc>
                <w:tcPr>
                  <w:tcW w:w="457" w:type="pct"/>
                  <w:vAlign w:val="center"/>
                </w:tcPr>
                <w:p w14:paraId="4C3E4F38">
                  <w:pPr>
                    <w:widowControl/>
                    <w:spacing w:line="320" w:lineRule="exact"/>
                    <w:jc w:val="center"/>
                    <w:rPr>
                      <w:rFonts w:ascii="Times New Roman" w:hAnsi="Times New Roman" w:eastAsia="宋体" w:cs="Times New Roman"/>
                      <w:szCs w:val="21"/>
                    </w:rPr>
                  </w:pPr>
                  <w:r>
                    <w:rPr>
                      <w:rFonts w:hint="eastAsia" w:ascii="宋体" w:hAnsi="宋体" w:eastAsia="宋体" w:cs="宋体"/>
                      <w:szCs w:val="21"/>
                      <w:lang w:bidi="ar"/>
                    </w:rPr>
                    <w:t>符合</w:t>
                  </w:r>
                </w:p>
              </w:tc>
            </w:tr>
          </w:tbl>
          <w:p w14:paraId="68C27849">
            <w:pPr>
              <w:autoSpaceDE w:val="0"/>
              <w:autoSpaceDN w:val="0"/>
              <w:adjustRightInd w:val="0"/>
              <w:snapToGrid w:val="0"/>
              <w:spacing w:line="360" w:lineRule="auto"/>
              <w:rPr>
                <w:rFonts w:ascii="宋体" w:hAnsi="宋体" w:eastAsia="宋体"/>
                <w:b/>
                <w:kern w:val="0"/>
                <w:sz w:val="24"/>
              </w:rPr>
            </w:pPr>
            <w:r>
              <w:rPr>
                <w:rFonts w:ascii="宋体" w:hAnsi="宋体" w:eastAsia="宋体"/>
                <w:b/>
                <w:kern w:val="0"/>
                <w:sz w:val="24"/>
              </w:rPr>
              <w:t>7</w:t>
            </w:r>
            <w:r>
              <w:rPr>
                <w:rFonts w:hint="eastAsia" w:ascii="宋体" w:hAnsi="宋体" w:eastAsia="宋体"/>
                <w:b/>
                <w:kern w:val="0"/>
                <w:sz w:val="24"/>
              </w:rPr>
              <w:t>、</w:t>
            </w:r>
            <w:r>
              <w:rPr>
                <w:rFonts w:ascii="宋体" w:hAnsi="宋体" w:eastAsia="宋体"/>
                <w:b/>
                <w:kern w:val="0"/>
                <w:sz w:val="24"/>
              </w:rPr>
              <w:t>“</w:t>
            </w:r>
            <w:r>
              <w:rPr>
                <w:rFonts w:hint="eastAsia" w:ascii="宋体" w:hAnsi="宋体" w:eastAsia="宋体"/>
                <w:b/>
                <w:kern w:val="0"/>
                <w:sz w:val="24"/>
              </w:rPr>
              <w:t>三线</w:t>
            </w:r>
            <w:r>
              <w:rPr>
                <w:rFonts w:ascii="宋体" w:hAnsi="宋体" w:eastAsia="宋体"/>
                <w:b/>
                <w:kern w:val="0"/>
                <w:sz w:val="24"/>
              </w:rPr>
              <w:t>一单”</w:t>
            </w:r>
            <w:r>
              <w:rPr>
                <w:rFonts w:hint="eastAsia" w:ascii="宋体" w:hAnsi="宋体" w:eastAsia="宋体"/>
                <w:b/>
                <w:kern w:val="0"/>
                <w:sz w:val="24"/>
              </w:rPr>
              <w:t>符合性</w:t>
            </w:r>
            <w:r>
              <w:rPr>
                <w:rFonts w:ascii="宋体" w:hAnsi="宋体" w:eastAsia="宋体"/>
                <w:b/>
                <w:kern w:val="0"/>
                <w:sz w:val="24"/>
              </w:rPr>
              <w:t>分析</w:t>
            </w:r>
          </w:p>
          <w:p w14:paraId="078D7505">
            <w:pPr>
              <w:autoSpaceDE w:val="0"/>
              <w:autoSpaceDN w:val="0"/>
              <w:adjustRightInd w:val="0"/>
              <w:snapToGrid w:val="0"/>
              <w:spacing w:line="360" w:lineRule="auto"/>
              <w:ind w:firstLine="480" w:firstLineChars="200"/>
              <w:rPr>
                <w:rFonts w:ascii="宋体" w:hAnsi="宋体" w:eastAsia="宋体"/>
                <w:bCs/>
                <w:kern w:val="0"/>
                <w:sz w:val="24"/>
              </w:rPr>
            </w:pPr>
            <w:r>
              <w:rPr>
                <w:rFonts w:ascii="宋体" w:hAnsi="宋体" w:eastAsia="宋体"/>
                <w:bCs/>
                <w:kern w:val="0"/>
                <w:sz w:val="24"/>
              </w:rPr>
              <w:t>（1）生态保护红线符合性分析</w:t>
            </w:r>
          </w:p>
          <w:p w14:paraId="58CEF4E4">
            <w:pPr>
              <w:autoSpaceDE w:val="0"/>
              <w:autoSpaceDN w:val="0"/>
              <w:adjustRightInd w:val="0"/>
              <w:snapToGrid w:val="0"/>
              <w:spacing w:line="360" w:lineRule="auto"/>
              <w:ind w:firstLine="480" w:firstLineChars="200"/>
              <w:rPr>
                <w:rFonts w:ascii="宋体" w:hAnsi="宋体" w:eastAsia="宋体"/>
                <w:bCs/>
                <w:kern w:val="0"/>
                <w:sz w:val="24"/>
              </w:rPr>
            </w:pPr>
            <w:r>
              <w:rPr>
                <w:rFonts w:hint="eastAsia" w:ascii="宋体" w:hAnsi="宋体" w:eastAsia="宋体"/>
                <w:bCs/>
                <w:kern w:val="0"/>
                <w:sz w:val="24"/>
              </w:rPr>
              <w:t>根据《吕梁市“三线一单”生态环境分区管控实施方案》，项目所在区域涉及一般管控单元、优先保护单元。各分区管控单元要求及项目符合性分析见下表。吕梁市生态环境管控单元分布见附图3。</w:t>
            </w:r>
          </w:p>
          <w:p w14:paraId="5B04C12D">
            <w:pPr>
              <w:pStyle w:val="19"/>
              <w:keepNext/>
            </w:pPr>
            <w:r>
              <w:t xml:space="preserve">表 </w:t>
            </w:r>
            <w:r>
              <w:fldChar w:fldCharType="begin"/>
            </w:r>
            <w:r>
              <w:instrText xml:space="preserve"> SEQ 表 \* ARABIC </w:instrText>
            </w:r>
            <w:r>
              <w:fldChar w:fldCharType="separate"/>
            </w:r>
            <w:r>
              <w:t>7</w:t>
            </w:r>
            <w:r>
              <w:fldChar w:fldCharType="end"/>
            </w:r>
            <w:r>
              <w:rPr>
                <w:rFonts w:hint="eastAsia"/>
              </w:rPr>
              <w:t>分区管控单元及项目符合性分析</w:t>
            </w:r>
          </w:p>
          <w:tbl>
            <w:tblPr>
              <w:tblStyle w:val="73"/>
              <w:tblW w:w="4997"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96"/>
              <w:gridCol w:w="745"/>
              <w:gridCol w:w="2561"/>
              <w:gridCol w:w="2415"/>
              <w:gridCol w:w="630"/>
            </w:tblGrid>
            <w:tr w14:paraId="206DAA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7" w:hRule="atLeast"/>
              </w:trPr>
              <w:tc>
                <w:tcPr>
                  <w:tcW w:w="293" w:type="pct"/>
                  <w:vAlign w:val="center"/>
                </w:tcPr>
                <w:p w14:paraId="0038D449">
                  <w:pPr>
                    <w:pStyle w:val="94"/>
                    <w:rPr>
                      <w:color w:val="auto"/>
                    </w:rPr>
                  </w:pPr>
                  <w:r>
                    <w:rPr>
                      <w:rFonts w:hint="eastAsia"/>
                      <w:color w:val="auto"/>
                      <w:lang w:bidi="ar"/>
                    </w:rPr>
                    <w:t>辖区</w:t>
                  </w:r>
                </w:p>
              </w:tc>
              <w:tc>
                <w:tcPr>
                  <w:tcW w:w="552" w:type="pct"/>
                  <w:vAlign w:val="center"/>
                </w:tcPr>
                <w:p w14:paraId="1F349BA2">
                  <w:pPr>
                    <w:pStyle w:val="94"/>
                    <w:rPr>
                      <w:color w:val="auto"/>
                    </w:rPr>
                  </w:pPr>
                  <w:r>
                    <w:rPr>
                      <w:rFonts w:hint="eastAsia"/>
                      <w:color w:val="auto"/>
                      <w:lang w:bidi="ar"/>
                    </w:rPr>
                    <w:t>分区</w:t>
                  </w:r>
                </w:p>
              </w:tc>
              <w:tc>
                <w:tcPr>
                  <w:tcW w:w="1898" w:type="pct"/>
                  <w:vAlign w:val="center"/>
                </w:tcPr>
                <w:p w14:paraId="404368A6">
                  <w:pPr>
                    <w:pStyle w:val="94"/>
                    <w:rPr>
                      <w:color w:val="auto"/>
                    </w:rPr>
                  </w:pPr>
                  <w:r>
                    <w:rPr>
                      <w:rFonts w:hint="eastAsia"/>
                      <w:color w:val="auto"/>
                      <w:lang w:bidi="ar"/>
                    </w:rPr>
                    <w:t>分区管控要求</w:t>
                  </w:r>
                </w:p>
              </w:tc>
              <w:tc>
                <w:tcPr>
                  <w:tcW w:w="1790" w:type="pct"/>
                  <w:vAlign w:val="center"/>
                </w:tcPr>
                <w:p w14:paraId="75128583">
                  <w:pPr>
                    <w:pStyle w:val="94"/>
                    <w:rPr>
                      <w:color w:val="auto"/>
                    </w:rPr>
                  </w:pPr>
                  <w:r>
                    <w:rPr>
                      <w:rFonts w:hint="eastAsia"/>
                      <w:color w:val="auto"/>
                      <w:lang w:bidi="ar"/>
                    </w:rPr>
                    <w:t>本项目建设情况</w:t>
                  </w:r>
                </w:p>
              </w:tc>
              <w:tc>
                <w:tcPr>
                  <w:tcW w:w="467" w:type="pct"/>
                  <w:vAlign w:val="center"/>
                </w:tcPr>
                <w:p w14:paraId="6298F14B">
                  <w:pPr>
                    <w:pStyle w:val="94"/>
                    <w:rPr>
                      <w:color w:val="auto"/>
                    </w:rPr>
                  </w:pPr>
                  <w:r>
                    <w:rPr>
                      <w:rFonts w:hint="eastAsia"/>
                      <w:color w:val="auto"/>
                      <w:lang w:bidi="ar"/>
                    </w:rPr>
                    <w:t>符合性分析</w:t>
                  </w:r>
                </w:p>
              </w:tc>
            </w:tr>
            <w:tr w14:paraId="29C6DA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93" w:type="pct"/>
                  <w:vMerge w:val="restart"/>
                  <w:vAlign w:val="center"/>
                </w:tcPr>
                <w:p w14:paraId="2A22A752">
                  <w:pPr>
                    <w:pStyle w:val="94"/>
                    <w:rPr>
                      <w:color w:val="auto"/>
                    </w:rPr>
                  </w:pPr>
                  <w:r>
                    <w:rPr>
                      <w:rFonts w:hint="eastAsia"/>
                      <w:color w:val="auto"/>
                      <w:lang w:bidi="ar"/>
                    </w:rPr>
                    <w:t>吕梁市</w:t>
                  </w:r>
                </w:p>
              </w:tc>
              <w:tc>
                <w:tcPr>
                  <w:tcW w:w="552" w:type="pct"/>
                  <w:vAlign w:val="center"/>
                </w:tcPr>
                <w:p w14:paraId="0E79B767">
                  <w:pPr>
                    <w:pStyle w:val="94"/>
                    <w:rPr>
                      <w:color w:val="auto"/>
                    </w:rPr>
                  </w:pPr>
                  <w:r>
                    <w:rPr>
                      <w:rFonts w:hint="eastAsia"/>
                      <w:color w:val="auto"/>
                      <w:lang w:bidi="ar"/>
                    </w:rPr>
                    <w:t>优先保护单元</w:t>
                  </w:r>
                </w:p>
              </w:tc>
              <w:tc>
                <w:tcPr>
                  <w:tcW w:w="1898" w:type="pct"/>
                  <w:vAlign w:val="center"/>
                </w:tcPr>
                <w:p w14:paraId="6E7DB040">
                  <w:pPr>
                    <w:pStyle w:val="94"/>
                    <w:rPr>
                      <w:color w:val="auto"/>
                    </w:rPr>
                  </w:pPr>
                  <w:r>
                    <w:rPr>
                      <w:rFonts w:hint="eastAsia"/>
                      <w:color w:val="auto"/>
                      <w:lang w:bidi="ar"/>
                    </w:rPr>
                    <w:t>依法禁止或限制大规模、高强度的工业和城镇开发建设，在功能受损的优先保护单元优先开展生态保护修复活动，恢复生态系统服务功能。加强生态保护红线和重要生态空间的保护，依法禁止或限制大规模开发，严格矿山开采等产业准入，加强矿区的生态治理与修复，</w:t>
                  </w:r>
                  <w:r>
                    <w:rPr>
                      <w:rFonts w:hint="eastAsia"/>
                      <w:b/>
                      <w:color w:val="auto"/>
                      <w:lang w:bidi="ar"/>
                    </w:rPr>
                    <w:t>加强煤层气开采过程中的生态保护和修复，</w:t>
                  </w:r>
                  <w:r>
                    <w:rPr>
                      <w:rFonts w:hint="eastAsia"/>
                      <w:color w:val="auto"/>
                      <w:lang w:bidi="ar"/>
                    </w:rPr>
                    <w:t>提高水源涵养能力，保护森林生态系统，有效减少泥沙入河。在沁河和丹河谷地以及人居环境敏感区，严控重污染行业产能规模，推进产业布局与生态空间胁调发展。</w:t>
                  </w:r>
                </w:p>
              </w:tc>
              <w:tc>
                <w:tcPr>
                  <w:tcW w:w="1790" w:type="pct"/>
                  <w:vAlign w:val="center"/>
                </w:tcPr>
                <w:p w14:paraId="66DF6C2D">
                  <w:pPr>
                    <w:pStyle w:val="94"/>
                    <w:rPr>
                      <w:color w:val="auto"/>
                    </w:rPr>
                  </w:pPr>
                  <w:r>
                    <w:rPr>
                      <w:rFonts w:hint="eastAsia"/>
                      <w:color w:val="auto"/>
                      <w:lang w:bidi="ar"/>
                    </w:rPr>
                    <w:t>临兴东尚义区块与优先保护单元重叠，本次开发项目属于致密气开发建设项目，各工程建设内容均提出了严格的生态恢复措施要求，勘探结束后采用播撒草籽等进行生态恢复方式，道路两侧播撒草籽绿化，接引道路路面压实处理，项目井场均避让了生态保护红线范围，井场占地不涉及山西省永久性公益林地及基本农田，项目建设与优先保护单元分区管控要求相符</w:t>
                  </w:r>
                </w:p>
              </w:tc>
              <w:tc>
                <w:tcPr>
                  <w:tcW w:w="467" w:type="pct"/>
                  <w:vAlign w:val="center"/>
                </w:tcPr>
                <w:p w14:paraId="2445EDF7">
                  <w:pPr>
                    <w:pStyle w:val="94"/>
                    <w:rPr>
                      <w:color w:val="auto"/>
                    </w:rPr>
                  </w:pPr>
                  <w:r>
                    <w:rPr>
                      <w:rFonts w:hint="eastAsia"/>
                      <w:color w:val="auto"/>
                      <w:lang w:bidi="ar"/>
                    </w:rPr>
                    <w:t>符合</w:t>
                  </w:r>
                </w:p>
              </w:tc>
            </w:tr>
            <w:tr w14:paraId="0535C2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93" w:type="pct"/>
                  <w:vMerge w:val="continue"/>
                  <w:vAlign w:val="center"/>
                </w:tcPr>
                <w:p w14:paraId="4CBDE0F3">
                  <w:pPr>
                    <w:pStyle w:val="94"/>
                    <w:rPr>
                      <w:rFonts w:ascii="Times New Roman" w:hAnsi="Times New Roman"/>
                      <w:color w:val="auto"/>
                      <w:sz w:val="20"/>
                    </w:rPr>
                  </w:pPr>
                </w:p>
              </w:tc>
              <w:tc>
                <w:tcPr>
                  <w:tcW w:w="552" w:type="pct"/>
                  <w:vAlign w:val="center"/>
                </w:tcPr>
                <w:p w14:paraId="2B6BA64A">
                  <w:pPr>
                    <w:pStyle w:val="94"/>
                    <w:rPr>
                      <w:color w:val="auto"/>
                    </w:rPr>
                  </w:pPr>
                  <w:r>
                    <w:rPr>
                      <w:rFonts w:hint="eastAsia"/>
                      <w:color w:val="auto"/>
                      <w:lang w:bidi="ar"/>
                    </w:rPr>
                    <w:t>一般管控单元</w:t>
                  </w:r>
                </w:p>
              </w:tc>
              <w:tc>
                <w:tcPr>
                  <w:tcW w:w="1898" w:type="pct"/>
                  <w:vAlign w:val="center"/>
                </w:tcPr>
                <w:p w14:paraId="5BD740D2">
                  <w:pPr>
                    <w:pStyle w:val="94"/>
                    <w:rPr>
                      <w:color w:val="auto"/>
                    </w:rPr>
                  </w:pPr>
                  <w:r>
                    <w:rPr>
                      <w:rFonts w:hint="eastAsia"/>
                      <w:color w:val="auto"/>
                      <w:lang w:bidi="ar"/>
                    </w:rPr>
                    <w:t>主要落实生态环境保护基本要求，执行国家、山西省和我市相关产业准入、总量控制、排放标准等管理规定，推动区域生态环境质量持续改善</w:t>
                  </w:r>
                </w:p>
              </w:tc>
              <w:tc>
                <w:tcPr>
                  <w:tcW w:w="1790" w:type="pct"/>
                  <w:vAlign w:val="center"/>
                </w:tcPr>
                <w:p w14:paraId="6BDE8D41">
                  <w:pPr>
                    <w:pStyle w:val="94"/>
                    <w:rPr>
                      <w:color w:val="auto"/>
                    </w:rPr>
                  </w:pPr>
                  <w:r>
                    <w:rPr>
                      <w:rFonts w:hint="eastAsia"/>
                      <w:color w:val="auto"/>
                      <w:lang w:bidi="ar"/>
                    </w:rPr>
                    <w:t>项目将严格按照要求进行占地，井场占地避让气田范围内的基本农田及山西省永久性公益林，加大井场绿化、井场道路绿化；对造成的生态破坏进行生态恢复及治理，项目符合山西省吕梁市产业准入要求，试气期</w:t>
                  </w:r>
                  <w:r>
                    <w:rPr>
                      <w:rFonts w:hint="eastAsia"/>
                      <w:color w:val="auto"/>
                    </w:rPr>
                    <w:t>致密气经点火方箱燃烧后排放</w:t>
                  </w:r>
                </w:p>
              </w:tc>
              <w:tc>
                <w:tcPr>
                  <w:tcW w:w="467" w:type="pct"/>
                  <w:vAlign w:val="center"/>
                </w:tcPr>
                <w:p w14:paraId="53DDF611">
                  <w:pPr>
                    <w:pStyle w:val="94"/>
                    <w:rPr>
                      <w:color w:val="auto"/>
                    </w:rPr>
                  </w:pPr>
                  <w:r>
                    <w:rPr>
                      <w:rFonts w:hint="eastAsia"/>
                      <w:color w:val="auto"/>
                      <w:lang w:bidi="ar"/>
                    </w:rPr>
                    <w:t>符合</w:t>
                  </w:r>
                </w:p>
              </w:tc>
            </w:tr>
          </w:tbl>
          <w:p w14:paraId="07D609E4">
            <w:pPr>
              <w:autoSpaceDE w:val="0"/>
              <w:autoSpaceDN w:val="0"/>
              <w:adjustRightInd w:val="0"/>
              <w:snapToGrid w:val="0"/>
              <w:spacing w:line="360" w:lineRule="auto"/>
              <w:ind w:firstLine="480" w:firstLineChars="200"/>
              <w:rPr>
                <w:rFonts w:ascii="宋体" w:hAnsi="宋体" w:eastAsia="宋体"/>
                <w:bCs/>
                <w:kern w:val="0"/>
                <w:sz w:val="24"/>
              </w:rPr>
            </w:pPr>
            <w:r>
              <w:rPr>
                <w:rFonts w:ascii="宋体" w:hAnsi="宋体" w:eastAsia="宋体"/>
                <w:bCs/>
                <w:kern w:val="0"/>
                <w:sz w:val="24"/>
              </w:rPr>
              <w:t>（2）环境质量底线符合性分析</w:t>
            </w:r>
          </w:p>
          <w:p w14:paraId="39461AB0">
            <w:pPr>
              <w:autoSpaceDE w:val="0"/>
              <w:autoSpaceDN w:val="0"/>
              <w:adjustRightInd w:val="0"/>
              <w:snapToGrid w:val="0"/>
              <w:spacing w:line="360" w:lineRule="auto"/>
              <w:ind w:firstLine="480" w:firstLineChars="200"/>
              <w:rPr>
                <w:rFonts w:ascii="宋体" w:hAnsi="宋体" w:eastAsia="宋体"/>
                <w:bCs/>
                <w:sz w:val="24"/>
              </w:rPr>
            </w:pPr>
            <w:r>
              <w:rPr>
                <w:rFonts w:ascii="宋体" w:hAnsi="宋体" w:eastAsia="宋体"/>
                <w:bCs/>
                <w:sz w:val="24"/>
              </w:rPr>
              <w:t>202</w:t>
            </w:r>
            <w:r>
              <w:rPr>
                <w:rFonts w:hint="eastAsia" w:ascii="宋体" w:hAnsi="宋体" w:eastAsia="宋体"/>
                <w:bCs/>
                <w:sz w:val="24"/>
              </w:rPr>
              <w:t>3</w:t>
            </w:r>
            <w:r>
              <w:rPr>
                <w:rFonts w:ascii="宋体" w:hAnsi="宋体" w:eastAsia="宋体"/>
                <w:bCs/>
                <w:sz w:val="24"/>
              </w:rPr>
              <w:t>年</w:t>
            </w:r>
            <w:r>
              <w:rPr>
                <w:rFonts w:hint="eastAsia" w:ascii="宋体" w:hAnsi="宋体" w:eastAsia="宋体"/>
                <w:bCs/>
                <w:sz w:val="24"/>
              </w:rPr>
              <w:t>兴县</w:t>
            </w:r>
            <w:r>
              <w:rPr>
                <w:rFonts w:ascii="宋体" w:hAnsi="宋体" w:eastAsia="宋体"/>
                <w:bCs/>
                <w:sz w:val="24"/>
              </w:rPr>
              <w:t>全年环境空气例行监测数据中SO</w:t>
            </w:r>
            <w:r>
              <w:rPr>
                <w:rFonts w:ascii="宋体" w:hAnsi="宋体" w:eastAsia="宋体"/>
                <w:bCs/>
                <w:sz w:val="24"/>
                <w:vertAlign w:val="subscript"/>
              </w:rPr>
              <w:t>2</w:t>
            </w:r>
            <w:r>
              <w:rPr>
                <w:rFonts w:ascii="宋体" w:hAnsi="宋体" w:eastAsia="宋体"/>
                <w:bCs/>
                <w:sz w:val="24"/>
              </w:rPr>
              <w:t>年均值浓度、NO</w:t>
            </w:r>
            <w:r>
              <w:rPr>
                <w:rFonts w:ascii="宋体" w:hAnsi="宋体" w:eastAsia="宋体"/>
                <w:bCs/>
                <w:sz w:val="24"/>
                <w:vertAlign w:val="subscript"/>
              </w:rPr>
              <w:t>2</w:t>
            </w:r>
            <w:r>
              <w:rPr>
                <w:rFonts w:ascii="宋体" w:hAnsi="宋体" w:eastAsia="宋体"/>
                <w:bCs/>
                <w:sz w:val="24"/>
              </w:rPr>
              <w:t>年均浓度值</w:t>
            </w:r>
            <w:r>
              <w:rPr>
                <w:rFonts w:hint="eastAsia" w:ascii="宋体" w:hAnsi="宋体" w:eastAsia="宋体"/>
                <w:bCs/>
                <w:sz w:val="24"/>
              </w:rPr>
              <w:t>、</w:t>
            </w:r>
            <w:r>
              <w:rPr>
                <w:rFonts w:ascii="宋体" w:hAnsi="宋体" w:eastAsia="宋体"/>
                <w:bCs/>
                <w:sz w:val="24"/>
              </w:rPr>
              <w:t>CO24h平均第95百分位数、O</w:t>
            </w:r>
            <w:r>
              <w:rPr>
                <w:rFonts w:ascii="宋体" w:hAnsi="宋体" w:eastAsia="宋体"/>
                <w:bCs/>
                <w:sz w:val="24"/>
                <w:vertAlign w:val="subscript"/>
              </w:rPr>
              <w:t>3</w:t>
            </w:r>
            <w:r>
              <w:rPr>
                <w:rFonts w:ascii="宋体" w:hAnsi="宋体" w:eastAsia="宋体"/>
                <w:bCs/>
                <w:sz w:val="24"/>
              </w:rPr>
              <w:t>日最大8h平均第90百分位数达标，PM</w:t>
            </w:r>
            <w:r>
              <w:rPr>
                <w:rFonts w:ascii="宋体" w:hAnsi="宋体" w:eastAsia="宋体"/>
                <w:bCs/>
                <w:sz w:val="24"/>
                <w:vertAlign w:val="subscript"/>
              </w:rPr>
              <w:t>10</w:t>
            </w:r>
            <w:r>
              <w:rPr>
                <w:rFonts w:ascii="宋体" w:hAnsi="宋体" w:eastAsia="宋体"/>
                <w:bCs/>
                <w:sz w:val="24"/>
              </w:rPr>
              <w:t>、PM</w:t>
            </w:r>
            <w:r>
              <w:rPr>
                <w:rFonts w:ascii="宋体" w:hAnsi="宋体" w:eastAsia="宋体"/>
                <w:bCs/>
                <w:sz w:val="24"/>
                <w:vertAlign w:val="subscript"/>
              </w:rPr>
              <w:t>2.5</w:t>
            </w:r>
            <w:r>
              <w:rPr>
                <w:rFonts w:ascii="宋体" w:hAnsi="宋体" w:eastAsia="宋体"/>
                <w:bCs/>
                <w:sz w:val="24"/>
              </w:rPr>
              <w:t>超标，属于不达标区。</w:t>
            </w:r>
          </w:p>
          <w:p w14:paraId="517AA7E1">
            <w:pPr>
              <w:autoSpaceDE w:val="0"/>
              <w:autoSpaceDN w:val="0"/>
              <w:adjustRightInd w:val="0"/>
              <w:snapToGrid w:val="0"/>
              <w:spacing w:line="360" w:lineRule="auto"/>
              <w:ind w:firstLine="480" w:firstLineChars="200"/>
              <w:rPr>
                <w:rFonts w:ascii="宋体" w:hAnsi="宋体" w:eastAsia="宋体"/>
                <w:kern w:val="0"/>
                <w:sz w:val="24"/>
              </w:rPr>
            </w:pPr>
            <w:r>
              <w:rPr>
                <w:rFonts w:hint="eastAsia" w:ascii="宋体" w:hAnsi="宋体" w:eastAsia="宋体"/>
                <w:kern w:val="0"/>
                <w:sz w:val="24"/>
              </w:rPr>
              <w:t>本次评价引用临兴东尚义区（山西区块）气田开发项目对区域地表水环境质量现状监测数据，水质监测时间为</w:t>
            </w:r>
            <w:r>
              <w:rPr>
                <w:rFonts w:ascii="宋体" w:hAnsi="宋体" w:eastAsia="宋体"/>
                <w:kern w:val="0"/>
                <w:sz w:val="24"/>
              </w:rPr>
              <w:t>2024年3月27日~3月29日。根据监测结果，赵家坪沟各监测断面中各监测因子的监测结果均可以满足《地表水环境质量标准》（GB3838-2002）IV类标准，地表水环境质量良好。</w:t>
            </w:r>
          </w:p>
          <w:p w14:paraId="698749B0">
            <w:pPr>
              <w:autoSpaceDE w:val="0"/>
              <w:autoSpaceDN w:val="0"/>
              <w:adjustRightInd w:val="0"/>
              <w:snapToGrid w:val="0"/>
              <w:spacing w:line="360" w:lineRule="auto"/>
              <w:ind w:firstLine="480" w:firstLineChars="200"/>
              <w:rPr>
                <w:rFonts w:ascii="宋体" w:hAnsi="宋体" w:eastAsia="宋体"/>
                <w:bCs/>
                <w:kern w:val="0"/>
                <w:sz w:val="24"/>
              </w:rPr>
            </w:pPr>
            <w:r>
              <w:rPr>
                <w:rFonts w:hint="eastAsia" w:ascii="宋体" w:hAnsi="宋体" w:eastAsia="宋体"/>
                <w:bCs/>
                <w:kern w:val="0"/>
                <w:sz w:val="24"/>
              </w:rPr>
              <w:t>本项目主要环境污染物为柴油机废气、压裂返排液及后续排水、钻井岩屑与泥浆、钻井及压裂噪声，其中井场压裂返排液后续排水不外排，钻井岩屑与泥浆就地固化填埋，施工噪声经距离衰减、基础减震后能满足排放标准，柴油机废气随着工期结束后停止排放，对周边环境影响较小。本项目建设不违背环境质量底线要求。</w:t>
            </w:r>
          </w:p>
          <w:p w14:paraId="0622D4CF">
            <w:pPr>
              <w:autoSpaceDE w:val="0"/>
              <w:autoSpaceDN w:val="0"/>
              <w:adjustRightInd w:val="0"/>
              <w:snapToGrid w:val="0"/>
              <w:spacing w:line="360" w:lineRule="auto"/>
              <w:ind w:firstLine="480" w:firstLineChars="200"/>
              <w:rPr>
                <w:rFonts w:ascii="宋体" w:hAnsi="宋体" w:eastAsia="宋体"/>
                <w:kern w:val="0"/>
                <w:sz w:val="24"/>
              </w:rPr>
            </w:pPr>
            <w:r>
              <w:rPr>
                <w:rFonts w:ascii="宋体" w:hAnsi="宋体" w:eastAsia="宋体"/>
                <w:kern w:val="0"/>
                <w:sz w:val="24"/>
              </w:rPr>
              <w:t>（3）资源利用上线符合性分析</w:t>
            </w:r>
          </w:p>
          <w:p w14:paraId="014AC3F2">
            <w:pPr>
              <w:autoSpaceDE w:val="0"/>
              <w:autoSpaceDN w:val="0"/>
              <w:adjustRightInd w:val="0"/>
              <w:snapToGrid w:val="0"/>
              <w:spacing w:line="360" w:lineRule="auto"/>
              <w:ind w:firstLine="480" w:firstLineChars="200"/>
              <w:rPr>
                <w:rFonts w:ascii="宋体" w:hAnsi="宋体" w:eastAsia="宋体"/>
                <w:kern w:val="0"/>
                <w:sz w:val="24"/>
              </w:rPr>
            </w:pPr>
            <w:r>
              <w:rPr>
                <w:rFonts w:hint="eastAsia" w:ascii="宋体" w:hAnsi="宋体" w:eastAsia="宋体"/>
                <w:kern w:val="0"/>
                <w:sz w:val="24"/>
              </w:rPr>
              <w:t>本项目钻井废水在井场内经沉淀后上清液循环用于下一口井，钻井压裂后排出的压裂液贮存于井场内压裂液返排罐中，经中联煤层气有限责任公司临兴西区</w:t>
            </w:r>
            <w:r>
              <w:rPr>
                <w:rFonts w:ascii="宋体" w:hAnsi="宋体" w:eastAsia="宋体"/>
                <w:kern w:val="0"/>
                <w:sz w:val="24"/>
              </w:rPr>
              <w:t>(山西区块)开发项目</w:t>
            </w:r>
            <w:r>
              <w:rPr>
                <w:rFonts w:hint="eastAsia" w:ascii="宋体" w:hAnsi="宋体" w:eastAsia="宋体"/>
                <w:kern w:val="0"/>
                <w:sz w:val="24"/>
              </w:rPr>
              <w:t>采排水处理2站处理后回用于下一口井压裂，施工期生活污水由旱厕收集，井场供电采用柴油发电机，运行过程中资源能源消耗水平较低、污染控制措施有效，同时注重了废物的回收利用，降低了能耗、物耗，减少了污染排放，项目建设符合资源利用要求。</w:t>
            </w:r>
          </w:p>
          <w:p w14:paraId="2C4BDDFA">
            <w:pPr>
              <w:autoSpaceDE w:val="0"/>
              <w:autoSpaceDN w:val="0"/>
              <w:adjustRightInd w:val="0"/>
              <w:snapToGrid w:val="0"/>
              <w:spacing w:line="360" w:lineRule="auto"/>
              <w:ind w:firstLine="480" w:firstLineChars="200"/>
              <w:rPr>
                <w:rFonts w:ascii="宋体" w:hAnsi="宋体" w:eastAsia="宋体"/>
                <w:kern w:val="0"/>
                <w:sz w:val="24"/>
              </w:rPr>
            </w:pPr>
            <w:r>
              <w:rPr>
                <w:rFonts w:ascii="宋体" w:hAnsi="宋体" w:eastAsia="宋体"/>
                <w:kern w:val="0"/>
                <w:sz w:val="24"/>
              </w:rPr>
              <w:t>（4）生态环境准入清单符合性分析</w:t>
            </w:r>
          </w:p>
          <w:p w14:paraId="758F8919">
            <w:pPr>
              <w:autoSpaceDE w:val="0"/>
              <w:autoSpaceDN w:val="0"/>
              <w:adjustRightInd w:val="0"/>
              <w:snapToGrid w:val="0"/>
              <w:spacing w:line="360" w:lineRule="auto"/>
              <w:ind w:firstLine="480" w:firstLineChars="200"/>
              <w:rPr>
                <w:rFonts w:ascii="宋体" w:hAnsi="宋体" w:eastAsia="宋体"/>
                <w:bCs/>
                <w:kern w:val="0"/>
                <w:sz w:val="24"/>
              </w:rPr>
            </w:pPr>
            <w:r>
              <w:rPr>
                <w:rFonts w:ascii="宋体" w:hAnsi="宋体" w:eastAsia="宋体"/>
                <w:bCs/>
                <w:kern w:val="0"/>
                <w:sz w:val="24"/>
              </w:rPr>
              <w:t>根据《</w:t>
            </w:r>
            <w:r>
              <w:rPr>
                <w:rFonts w:hint="eastAsia" w:ascii="宋体" w:hAnsi="宋体" w:eastAsia="宋体"/>
                <w:bCs/>
                <w:kern w:val="0"/>
                <w:sz w:val="24"/>
              </w:rPr>
              <w:t>吕梁市</w:t>
            </w:r>
            <w:r>
              <w:rPr>
                <w:rFonts w:ascii="宋体" w:hAnsi="宋体" w:eastAsia="宋体"/>
                <w:bCs/>
                <w:kern w:val="0"/>
                <w:sz w:val="24"/>
              </w:rPr>
              <w:t>人民政府关于印发</w:t>
            </w:r>
            <w:r>
              <w:rPr>
                <w:rFonts w:hint="eastAsia" w:ascii="宋体" w:hAnsi="宋体" w:eastAsia="宋体"/>
                <w:bCs/>
                <w:kern w:val="0"/>
                <w:sz w:val="24"/>
              </w:rPr>
              <w:t>吕梁</w:t>
            </w:r>
            <w:r>
              <w:rPr>
                <w:rFonts w:ascii="宋体" w:hAnsi="宋体" w:eastAsia="宋体"/>
                <w:bCs/>
                <w:kern w:val="0"/>
                <w:sz w:val="24"/>
              </w:rPr>
              <w:t>市“三线一单”生态环境分区管控实施方案的通知》（</w:t>
            </w:r>
            <w:r>
              <w:rPr>
                <w:rFonts w:hint="eastAsia" w:ascii="宋体" w:hAnsi="宋体" w:eastAsia="宋体"/>
                <w:bCs/>
                <w:kern w:val="0"/>
                <w:sz w:val="24"/>
              </w:rPr>
              <w:t>吕</w:t>
            </w:r>
            <w:r>
              <w:rPr>
                <w:rFonts w:ascii="宋体" w:hAnsi="宋体" w:eastAsia="宋体"/>
                <w:bCs/>
                <w:kern w:val="0"/>
                <w:sz w:val="24"/>
              </w:rPr>
              <w:t>政发[2021]5号），本项目</w:t>
            </w:r>
            <w:r>
              <w:rPr>
                <w:rFonts w:hint="eastAsia" w:ascii="宋体" w:hAnsi="宋体" w:eastAsia="宋体"/>
                <w:bCs/>
                <w:kern w:val="0"/>
                <w:sz w:val="24"/>
              </w:rPr>
              <w:t>21个井场</w:t>
            </w:r>
            <w:r>
              <w:rPr>
                <w:rFonts w:ascii="宋体" w:hAnsi="宋体" w:eastAsia="宋体"/>
                <w:bCs/>
                <w:kern w:val="0"/>
                <w:sz w:val="24"/>
              </w:rPr>
              <w:t>位于</w:t>
            </w:r>
            <w:r>
              <w:rPr>
                <w:rFonts w:hint="eastAsia" w:ascii="宋体" w:hAnsi="宋体" w:eastAsia="宋体"/>
                <w:bCs/>
                <w:kern w:val="0"/>
                <w:sz w:val="24"/>
              </w:rPr>
              <w:t>兴县罗峪口镇、孟家坪乡、高家村镇、赵家坪乡，</w:t>
            </w:r>
            <w:r>
              <w:rPr>
                <w:rFonts w:ascii="宋体" w:hAnsi="宋体" w:eastAsia="宋体"/>
                <w:bCs/>
                <w:kern w:val="0"/>
                <w:sz w:val="24"/>
              </w:rPr>
              <w:t>不</w:t>
            </w:r>
            <w:r>
              <w:rPr>
                <w:rFonts w:hint="eastAsia" w:ascii="宋体" w:hAnsi="宋体" w:eastAsia="宋体"/>
                <w:bCs/>
                <w:kern w:val="0"/>
                <w:sz w:val="24"/>
              </w:rPr>
              <w:t>在兴县经济技术开发区、东部</w:t>
            </w:r>
            <w:r>
              <w:rPr>
                <w:rFonts w:ascii="宋体" w:hAnsi="宋体" w:eastAsia="宋体"/>
                <w:bCs/>
                <w:kern w:val="0"/>
                <w:sz w:val="24"/>
              </w:rPr>
              <w:t>平川区、</w:t>
            </w:r>
            <w:r>
              <w:rPr>
                <w:rFonts w:hint="eastAsia" w:ascii="宋体" w:hAnsi="宋体" w:eastAsia="宋体"/>
                <w:bCs/>
                <w:kern w:val="0"/>
                <w:sz w:val="24"/>
              </w:rPr>
              <w:t>西部黄土丘陵区（黄河流域）、横泉水库</w:t>
            </w:r>
            <w:r>
              <w:rPr>
                <w:rFonts w:ascii="宋体" w:hAnsi="宋体" w:eastAsia="宋体"/>
                <w:bCs/>
                <w:kern w:val="0"/>
                <w:sz w:val="24"/>
              </w:rPr>
              <w:t>饮用水水源保护区、</w:t>
            </w:r>
            <w:r>
              <w:rPr>
                <w:rFonts w:hint="eastAsia" w:ascii="宋体" w:hAnsi="宋体" w:eastAsia="宋体"/>
                <w:bCs/>
                <w:kern w:val="0"/>
                <w:sz w:val="24"/>
              </w:rPr>
              <w:t>柳林</w:t>
            </w:r>
            <w:r>
              <w:rPr>
                <w:rFonts w:ascii="宋体" w:hAnsi="宋体" w:eastAsia="宋体"/>
                <w:bCs/>
                <w:kern w:val="0"/>
                <w:sz w:val="24"/>
              </w:rPr>
              <w:t>泉域、天桥泉域</w:t>
            </w:r>
            <w:r>
              <w:rPr>
                <w:rFonts w:hint="eastAsia" w:ascii="宋体" w:hAnsi="宋体" w:eastAsia="宋体"/>
                <w:bCs/>
                <w:kern w:val="0"/>
                <w:sz w:val="24"/>
              </w:rPr>
              <w:t>内，</w:t>
            </w:r>
            <w:r>
              <w:rPr>
                <w:rFonts w:ascii="宋体" w:hAnsi="宋体" w:eastAsia="宋体"/>
                <w:bCs/>
                <w:kern w:val="0"/>
                <w:sz w:val="24"/>
              </w:rPr>
              <w:t>勘探占地范围内不涉及河道</w:t>
            </w:r>
            <w:r>
              <w:rPr>
                <w:rFonts w:hint="eastAsia" w:ascii="宋体" w:hAnsi="宋体" w:eastAsia="宋体"/>
                <w:bCs/>
                <w:kern w:val="0"/>
                <w:sz w:val="24"/>
              </w:rPr>
              <w:t>，</w:t>
            </w:r>
            <w:r>
              <w:rPr>
                <w:rFonts w:ascii="宋体" w:hAnsi="宋体" w:eastAsia="宋体"/>
                <w:bCs/>
                <w:kern w:val="0"/>
                <w:sz w:val="24"/>
              </w:rPr>
              <w:t>因此，本次环评对照</w:t>
            </w:r>
            <w:r>
              <w:rPr>
                <w:rFonts w:hint="eastAsia" w:ascii="宋体" w:hAnsi="宋体" w:eastAsia="宋体"/>
                <w:bCs/>
                <w:kern w:val="0"/>
                <w:sz w:val="24"/>
              </w:rPr>
              <w:t>吕梁</w:t>
            </w:r>
            <w:r>
              <w:rPr>
                <w:rFonts w:ascii="宋体" w:hAnsi="宋体" w:eastAsia="宋体"/>
                <w:bCs/>
                <w:kern w:val="0"/>
                <w:sz w:val="24"/>
              </w:rPr>
              <w:t>市生态环境总体</w:t>
            </w:r>
            <w:r>
              <w:rPr>
                <w:rFonts w:hint="eastAsia" w:ascii="宋体" w:hAnsi="宋体" w:eastAsia="宋体"/>
                <w:bCs/>
                <w:kern w:val="0"/>
                <w:sz w:val="24"/>
              </w:rPr>
              <w:t>管控要求</w:t>
            </w:r>
            <w:r>
              <w:rPr>
                <w:rFonts w:ascii="宋体" w:hAnsi="宋体" w:eastAsia="宋体"/>
                <w:bCs/>
                <w:kern w:val="0"/>
                <w:sz w:val="24"/>
              </w:rPr>
              <w:t>进行</w:t>
            </w:r>
            <w:r>
              <w:rPr>
                <w:rFonts w:hint="eastAsia" w:ascii="宋体" w:hAnsi="宋体" w:eastAsia="宋体"/>
                <w:bCs/>
                <w:kern w:val="0"/>
                <w:sz w:val="24"/>
              </w:rPr>
              <w:t>针对性</w:t>
            </w:r>
            <w:r>
              <w:rPr>
                <w:rFonts w:ascii="宋体" w:hAnsi="宋体" w:eastAsia="宋体"/>
                <w:bCs/>
                <w:kern w:val="0"/>
                <w:sz w:val="24"/>
              </w:rPr>
              <w:t>的符合性分析，由</w:t>
            </w:r>
            <w:r>
              <w:rPr>
                <w:rStyle w:val="97"/>
                <w:rFonts w:hint="eastAsia"/>
              </w:rPr>
              <w:t>附表1</w:t>
            </w:r>
            <w:r>
              <w:rPr>
                <w:rFonts w:ascii="宋体" w:hAnsi="宋体" w:eastAsia="宋体"/>
                <w:bCs/>
                <w:kern w:val="0"/>
                <w:sz w:val="24"/>
              </w:rPr>
              <w:t>可知，本项目的建设符合</w:t>
            </w:r>
            <w:r>
              <w:rPr>
                <w:rFonts w:hint="eastAsia" w:ascii="宋体" w:hAnsi="宋体" w:eastAsia="宋体"/>
                <w:bCs/>
                <w:kern w:val="0"/>
                <w:sz w:val="24"/>
              </w:rPr>
              <w:t>吕梁</w:t>
            </w:r>
            <w:r>
              <w:rPr>
                <w:rFonts w:ascii="宋体" w:hAnsi="宋体" w:eastAsia="宋体"/>
                <w:bCs/>
                <w:kern w:val="0"/>
                <w:sz w:val="24"/>
              </w:rPr>
              <w:t>市生态环境总体</w:t>
            </w:r>
            <w:r>
              <w:rPr>
                <w:rFonts w:hint="eastAsia" w:ascii="宋体" w:hAnsi="宋体" w:eastAsia="宋体"/>
                <w:bCs/>
                <w:kern w:val="0"/>
                <w:sz w:val="24"/>
              </w:rPr>
              <w:t>管控要求</w:t>
            </w:r>
            <w:r>
              <w:rPr>
                <w:rFonts w:ascii="宋体" w:hAnsi="宋体" w:eastAsia="宋体"/>
                <w:bCs/>
                <w:kern w:val="0"/>
                <w:sz w:val="24"/>
              </w:rPr>
              <w:t>。</w:t>
            </w:r>
          </w:p>
          <w:p w14:paraId="2677658B">
            <w:pPr>
              <w:autoSpaceDE w:val="0"/>
              <w:autoSpaceDN w:val="0"/>
              <w:adjustRightInd w:val="0"/>
              <w:snapToGrid w:val="0"/>
              <w:spacing w:line="360" w:lineRule="auto"/>
              <w:rPr>
                <w:rFonts w:ascii="宋体" w:hAnsi="宋体" w:eastAsia="宋体"/>
                <w:b/>
                <w:kern w:val="0"/>
                <w:sz w:val="24"/>
              </w:rPr>
            </w:pPr>
            <w:r>
              <w:rPr>
                <w:rFonts w:ascii="宋体" w:hAnsi="宋体" w:eastAsia="宋体"/>
                <w:b/>
                <w:kern w:val="0"/>
                <w:sz w:val="24"/>
              </w:rPr>
              <w:t>4</w:t>
            </w:r>
            <w:r>
              <w:rPr>
                <w:rFonts w:hint="eastAsia" w:ascii="宋体" w:hAnsi="宋体" w:eastAsia="宋体"/>
                <w:b/>
                <w:kern w:val="0"/>
                <w:sz w:val="24"/>
              </w:rPr>
              <w:t>、本项目勘探范围</w:t>
            </w:r>
            <w:r>
              <w:rPr>
                <w:rFonts w:ascii="宋体" w:hAnsi="宋体" w:eastAsia="宋体"/>
                <w:b/>
                <w:kern w:val="0"/>
                <w:sz w:val="24"/>
              </w:rPr>
              <w:t>复函</w:t>
            </w:r>
          </w:p>
          <w:p w14:paraId="4D7F4CD4">
            <w:pPr>
              <w:pStyle w:val="19"/>
              <w:keepNext/>
            </w:pPr>
            <w:r>
              <w:t xml:space="preserve">表 </w:t>
            </w:r>
            <w:r>
              <w:fldChar w:fldCharType="begin"/>
            </w:r>
            <w:r>
              <w:instrText xml:space="preserve"> SEQ 表 \* ARABIC </w:instrText>
            </w:r>
            <w:r>
              <w:fldChar w:fldCharType="separate"/>
            </w:r>
            <w:r>
              <w:t>8</w:t>
            </w:r>
            <w:r>
              <w:fldChar w:fldCharType="end"/>
            </w:r>
            <w:r>
              <w:rPr>
                <w:rFonts w:hint="eastAsia"/>
              </w:rPr>
              <w:t>本项目勘探范围复函意见表</w:t>
            </w:r>
          </w:p>
          <w:tbl>
            <w:tblPr>
              <w:tblStyle w:val="73"/>
              <w:tblW w:w="4996"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08"/>
              <w:gridCol w:w="3172"/>
              <w:gridCol w:w="1288"/>
              <w:gridCol w:w="1078"/>
            </w:tblGrid>
            <w:tr w14:paraId="7EAAAD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95" w:type="pct"/>
                  <w:vAlign w:val="center"/>
                </w:tcPr>
                <w:p w14:paraId="7CD3C641">
                  <w:pPr>
                    <w:pStyle w:val="94"/>
                    <w:rPr>
                      <w:color w:val="auto"/>
                    </w:rPr>
                  </w:pPr>
                  <w:r>
                    <w:rPr>
                      <w:rFonts w:hint="eastAsia"/>
                      <w:color w:val="auto"/>
                    </w:rPr>
                    <w:t>部门</w:t>
                  </w:r>
                </w:p>
              </w:tc>
              <w:tc>
                <w:tcPr>
                  <w:tcW w:w="2351" w:type="pct"/>
                  <w:vAlign w:val="center"/>
                </w:tcPr>
                <w:p w14:paraId="6369B94D">
                  <w:pPr>
                    <w:pStyle w:val="94"/>
                    <w:rPr>
                      <w:color w:val="auto"/>
                    </w:rPr>
                  </w:pPr>
                  <w:r>
                    <w:rPr>
                      <w:rFonts w:hint="eastAsia"/>
                      <w:color w:val="auto"/>
                    </w:rPr>
                    <w:t>核查结果</w:t>
                  </w:r>
                </w:p>
              </w:tc>
              <w:tc>
                <w:tcPr>
                  <w:tcW w:w="955" w:type="pct"/>
                  <w:vAlign w:val="center"/>
                </w:tcPr>
                <w:p w14:paraId="69F6AB64">
                  <w:pPr>
                    <w:pStyle w:val="94"/>
                    <w:rPr>
                      <w:color w:val="auto"/>
                    </w:rPr>
                  </w:pPr>
                  <w:r>
                    <w:rPr>
                      <w:rFonts w:hint="eastAsia"/>
                      <w:color w:val="auto"/>
                    </w:rPr>
                    <w:t>核查文号及时间</w:t>
                  </w:r>
                </w:p>
              </w:tc>
              <w:tc>
                <w:tcPr>
                  <w:tcW w:w="800" w:type="pct"/>
                  <w:vAlign w:val="center"/>
                </w:tcPr>
                <w:p w14:paraId="371A152A">
                  <w:pPr>
                    <w:pStyle w:val="94"/>
                    <w:rPr>
                      <w:color w:val="auto"/>
                    </w:rPr>
                  </w:pPr>
                  <w:r>
                    <w:rPr>
                      <w:rFonts w:hint="eastAsia"/>
                      <w:color w:val="auto"/>
                    </w:rPr>
                    <w:t>与项目位置关系</w:t>
                  </w:r>
                </w:p>
              </w:tc>
            </w:tr>
            <w:tr w14:paraId="01C8D5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95" w:type="pct"/>
                  <w:vAlign w:val="center"/>
                </w:tcPr>
                <w:p w14:paraId="74BE69F2">
                  <w:pPr>
                    <w:pStyle w:val="94"/>
                    <w:rPr>
                      <w:color w:val="auto"/>
                    </w:rPr>
                  </w:pPr>
                  <w:r>
                    <w:rPr>
                      <w:rFonts w:hint="eastAsia"/>
                      <w:color w:val="auto"/>
                    </w:rPr>
                    <w:t>兴县林业局</w:t>
                  </w:r>
                </w:p>
              </w:tc>
              <w:tc>
                <w:tcPr>
                  <w:tcW w:w="2351" w:type="pct"/>
                  <w:vAlign w:val="center"/>
                </w:tcPr>
                <w:p w14:paraId="47F36405">
                  <w:pPr>
                    <w:pStyle w:val="94"/>
                    <w:rPr>
                      <w:color w:val="auto"/>
                    </w:rPr>
                  </w:pPr>
                  <w:r>
                    <w:rPr>
                      <w:rFonts w:hint="eastAsia"/>
                      <w:color w:val="auto"/>
                    </w:rPr>
                    <w:t>临兴东区块煤层气勘查项目范围与县属山西蔚汾河省级自然保护区、森林公园、湿地公园、地质公园、一级国家公益林、</w:t>
                  </w:r>
                  <w:r>
                    <w:rPr>
                      <w:rFonts w:hint="eastAsia"/>
                      <w:color w:val="auto"/>
                    </w:rPr>
                    <w:fldChar w:fldCharType="begin"/>
                  </w:r>
                  <w:r>
                    <w:rPr>
                      <w:rFonts w:hint="eastAsia"/>
                      <w:color w:val="auto"/>
                    </w:rPr>
                    <w:instrText xml:space="preserve"> = 1 \* ROMAN \* MERGEFORMAT </w:instrText>
                  </w:r>
                  <w:r>
                    <w:rPr>
                      <w:rFonts w:hint="eastAsia"/>
                      <w:color w:val="auto"/>
                    </w:rPr>
                    <w:fldChar w:fldCharType="separate"/>
                  </w:r>
                  <w:r>
                    <w:rPr>
                      <w:color w:val="auto"/>
                    </w:rPr>
                    <w:t>I</w:t>
                  </w:r>
                  <w:r>
                    <w:rPr>
                      <w:rFonts w:hint="eastAsia"/>
                      <w:color w:val="auto"/>
                    </w:rPr>
                    <w:fldChar w:fldCharType="end"/>
                  </w:r>
                  <w:r>
                    <w:rPr>
                      <w:rFonts w:hint="eastAsia"/>
                      <w:color w:val="auto"/>
                    </w:rPr>
                    <w:t>级保护林地、风景名胜区规划范围不重叠，与二级国家公益林、</w:t>
                  </w:r>
                  <w:r>
                    <w:rPr>
                      <w:rFonts w:hint="eastAsia"/>
                      <w:color w:val="auto"/>
                    </w:rPr>
                    <w:fldChar w:fldCharType="begin"/>
                  </w:r>
                  <w:r>
                    <w:rPr>
                      <w:rFonts w:hint="eastAsia"/>
                      <w:color w:val="auto"/>
                    </w:rPr>
                    <w:instrText xml:space="preserve"> = 2 \* ROMAN \* MERGEFORMAT </w:instrText>
                  </w:r>
                  <w:r>
                    <w:rPr>
                      <w:rFonts w:hint="eastAsia"/>
                      <w:color w:val="auto"/>
                    </w:rPr>
                    <w:fldChar w:fldCharType="separate"/>
                  </w:r>
                  <w:r>
                    <w:rPr>
                      <w:color w:val="auto"/>
                    </w:rPr>
                    <w:t>II</w:t>
                  </w:r>
                  <w:r>
                    <w:rPr>
                      <w:rFonts w:hint="eastAsia"/>
                      <w:color w:val="auto"/>
                    </w:rPr>
                    <w:fldChar w:fldCharType="end"/>
                  </w:r>
                  <w:r>
                    <w:rPr>
                      <w:rFonts w:hint="eastAsia"/>
                      <w:color w:val="auto"/>
                    </w:rPr>
                    <w:t>级保护林地、山西省永久性生态公益林重叠</w:t>
                  </w:r>
                </w:p>
              </w:tc>
              <w:tc>
                <w:tcPr>
                  <w:tcW w:w="955" w:type="pct"/>
                  <w:vAlign w:val="center"/>
                </w:tcPr>
                <w:p w14:paraId="5F50FE70">
                  <w:pPr>
                    <w:pStyle w:val="94"/>
                    <w:rPr>
                      <w:color w:val="auto"/>
                    </w:rPr>
                  </w:pPr>
                  <w:r>
                    <w:rPr>
                      <w:rFonts w:hint="eastAsia"/>
                      <w:color w:val="auto"/>
                    </w:rPr>
                    <w:t>兴林函[2022]164号；2022年12月23日</w:t>
                  </w:r>
                </w:p>
              </w:tc>
              <w:tc>
                <w:tcPr>
                  <w:tcW w:w="800" w:type="pct"/>
                  <w:vAlign w:val="center"/>
                </w:tcPr>
                <w:p w14:paraId="413DFABC">
                  <w:pPr>
                    <w:pStyle w:val="94"/>
                    <w:rPr>
                      <w:color w:val="auto"/>
                    </w:rPr>
                  </w:pPr>
                  <w:r>
                    <w:rPr>
                      <w:rFonts w:hint="eastAsia"/>
                      <w:color w:val="auto"/>
                    </w:rPr>
                    <w:t>井场占地不涉及二级国家公益林、</w:t>
                  </w:r>
                  <w:r>
                    <w:rPr>
                      <w:rFonts w:hint="eastAsia"/>
                      <w:color w:val="auto"/>
                    </w:rPr>
                    <w:fldChar w:fldCharType="begin"/>
                  </w:r>
                  <w:r>
                    <w:rPr>
                      <w:rFonts w:hint="eastAsia"/>
                      <w:color w:val="auto"/>
                    </w:rPr>
                    <w:instrText xml:space="preserve"> = 2 \* ROMAN \* MERGEFORMAT </w:instrText>
                  </w:r>
                  <w:r>
                    <w:rPr>
                      <w:rFonts w:hint="eastAsia"/>
                      <w:color w:val="auto"/>
                    </w:rPr>
                    <w:fldChar w:fldCharType="separate"/>
                  </w:r>
                  <w:r>
                    <w:rPr>
                      <w:color w:val="auto"/>
                    </w:rPr>
                    <w:t>II</w:t>
                  </w:r>
                  <w:r>
                    <w:rPr>
                      <w:rFonts w:hint="eastAsia"/>
                      <w:color w:val="auto"/>
                    </w:rPr>
                    <w:fldChar w:fldCharType="end"/>
                  </w:r>
                  <w:r>
                    <w:rPr>
                      <w:rFonts w:hint="eastAsia"/>
                      <w:color w:val="auto"/>
                    </w:rPr>
                    <w:t>级保护林地、山西省永久性生态公益林</w:t>
                  </w:r>
                </w:p>
              </w:tc>
            </w:tr>
            <w:tr w14:paraId="492253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31" w:hRule="atLeast"/>
              </w:trPr>
              <w:tc>
                <w:tcPr>
                  <w:tcW w:w="895" w:type="pct"/>
                  <w:vAlign w:val="center"/>
                </w:tcPr>
                <w:p w14:paraId="65AB3C0B">
                  <w:pPr>
                    <w:pStyle w:val="94"/>
                    <w:rPr>
                      <w:color w:val="auto"/>
                    </w:rPr>
                  </w:pPr>
                  <w:r>
                    <w:rPr>
                      <w:rFonts w:hint="eastAsia"/>
                      <w:color w:val="auto"/>
                    </w:rPr>
                    <w:t>吕梁市生态环境局兴县分局</w:t>
                  </w:r>
                </w:p>
              </w:tc>
              <w:tc>
                <w:tcPr>
                  <w:tcW w:w="2351" w:type="pct"/>
                  <w:vAlign w:val="center"/>
                </w:tcPr>
                <w:p w14:paraId="752B507A">
                  <w:pPr>
                    <w:pStyle w:val="94"/>
                    <w:rPr>
                      <w:color w:val="auto"/>
                    </w:rPr>
                  </w:pPr>
                  <w:r>
                    <w:rPr>
                      <w:rFonts w:hint="eastAsia"/>
                      <w:color w:val="auto"/>
                    </w:rPr>
                    <w:t>临兴东区块勘查项目范围与我县县城原家坪、乔家沟、河校集中式饮用水源地保护区，与高家村镇、康宁镇、固贤乡、瓦塘镇、蔡家崖乡乡镇集中式饮用水水源地保护区重叠</w:t>
                  </w:r>
                </w:p>
              </w:tc>
              <w:tc>
                <w:tcPr>
                  <w:tcW w:w="955" w:type="pct"/>
                  <w:vAlign w:val="center"/>
                </w:tcPr>
                <w:p w14:paraId="19BB5A66">
                  <w:pPr>
                    <w:pStyle w:val="94"/>
                    <w:rPr>
                      <w:color w:val="auto"/>
                    </w:rPr>
                  </w:pPr>
                  <w:r>
                    <w:rPr>
                      <w:rFonts w:hint="eastAsia"/>
                      <w:color w:val="auto"/>
                    </w:rPr>
                    <w:t>兴环函[2022]78号；2022年12月16日</w:t>
                  </w:r>
                </w:p>
              </w:tc>
              <w:tc>
                <w:tcPr>
                  <w:tcW w:w="800" w:type="pct"/>
                  <w:vAlign w:val="center"/>
                </w:tcPr>
                <w:p w14:paraId="4387BB1E">
                  <w:pPr>
                    <w:pStyle w:val="94"/>
                    <w:rPr>
                      <w:color w:val="auto"/>
                    </w:rPr>
                  </w:pPr>
                  <w:r>
                    <w:rPr>
                      <w:rFonts w:hint="eastAsia"/>
                      <w:color w:val="auto"/>
                    </w:rPr>
                    <w:t>临兴东尚义区无集中供水水源地分布</w:t>
                  </w:r>
                </w:p>
              </w:tc>
            </w:tr>
            <w:tr w14:paraId="5427AD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95" w:type="pct"/>
                  <w:vAlign w:val="center"/>
                </w:tcPr>
                <w:p w14:paraId="44E47B49">
                  <w:pPr>
                    <w:pStyle w:val="94"/>
                    <w:rPr>
                      <w:color w:val="auto"/>
                    </w:rPr>
                  </w:pPr>
                  <w:r>
                    <w:rPr>
                      <w:rFonts w:hint="eastAsia"/>
                      <w:color w:val="auto"/>
                    </w:rPr>
                    <w:t>兴县水利局</w:t>
                  </w:r>
                </w:p>
              </w:tc>
              <w:tc>
                <w:tcPr>
                  <w:tcW w:w="2351" w:type="pct"/>
                  <w:vAlign w:val="center"/>
                </w:tcPr>
                <w:p w14:paraId="0C5A8653">
                  <w:pPr>
                    <w:pStyle w:val="94"/>
                    <w:rPr>
                      <w:color w:val="auto"/>
                    </w:rPr>
                  </w:pPr>
                  <w:r>
                    <w:rPr>
                      <w:rFonts w:hint="eastAsia"/>
                      <w:color w:val="auto"/>
                    </w:rPr>
                    <w:t>临兴东区块煤层气勘查项目范围不属于泉域重点保护区；与汾河、沁河、桑干河保护区等保护范围不重叠</w:t>
                  </w:r>
                </w:p>
              </w:tc>
              <w:tc>
                <w:tcPr>
                  <w:tcW w:w="955" w:type="pct"/>
                  <w:vAlign w:val="center"/>
                </w:tcPr>
                <w:p w14:paraId="07DFD9B9">
                  <w:pPr>
                    <w:pStyle w:val="94"/>
                    <w:rPr>
                      <w:color w:val="auto"/>
                    </w:rPr>
                  </w:pPr>
                  <w:r>
                    <w:rPr>
                      <w:rFonts w:hint="eastAsia"/>
                      <w:color w:val="auto"/>
                    </w:rPr>
                    <w:t>兴水函[2022]116号；2022年12月21日</w:t>
                  </w:r>
                </w:p>
              </w:tc>
              <w:tc>
                <w:tcPr>
                  <w:tcW w:w="800" w:type="pct"/>
                  <w:vAlign w:val="center"/>
                </w:tcPr>
                <w:p w14:paraId="31B05132">
                  <w:pPr>
                    <w:pStyle w:val="94"/>
                    <w:rPr>
                      <w:color w:val="auto"/>
                    </w:rPr>
                  </w:pPr>
                  <w:r>
                    <w:rPr>
                      <w:rFonts w:hint="eastAsia"/>
                      <w:color w:val="auto"/>
                    </w:rPr>
                    <w:t>临兴东尚义区范围与泉域范围不重叠</w:t>
                  </w:r>
                </w:p>
              </w:tc>
            </w:tr>
            <w:tr w14:paraId="551A02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95" w:type="pct"/>
                  <w:vAlign w:val="center"/>
                </w:tcPr>
                <w:p w14:paraId="1136F1A6">
                  <w:pPr>
                    <w:pStyle w:val="94"/>
                    <w:rPr>
                      <w:color w:val="auto"/>
                    </w:rPr>
                  </w:pPr>
                  <w:r>
                    <w:rPr>
                      <w:rFonts w:hint="eastAsia"/>
                      <w:color w:val="auto"/>
                    </w:rPr>
                    <w:t>兴县文物局</w:t>
                  </w:r>
                </w:p>
              </w:tc>
              <w:tc>
                <w:tcPr>
                  <w:tcW w:w="2351" w:type="pct"/>
                  <w:vAlign w:val="center"/>
                </w:tcPr>
                <w:p w14:paraId="03E115FF">
                  <w:pPr>
                    <w:pStyle w:val="94"/>
                    <w:rPr>
                      <w:color w:val="auto"/>
                    </w:rPr>
                  </w:pPr>
                  <w:r>
                    <w:rPr>
                      <w:rFonts w:hint="eastAsia"/>
                      <w:color w:val="auto"/>
                    </w:rPr>
                    <w:t>临兴东区用地范围内与152处各类文物保护单位有重叠，其中国家级重点文物保护单位5处，省级重点文物保护单位2处，市级重点保护单位1处，县级重点文物保护单位144处</w:t>
                  </w:r>
                </w:p>
              </w:tc>
              <w:tc>
                <w:tcPr>
                  <w:tcW w:w="955" w:type="pct"/>
                  <w:vAlign w:val="center"/>
                </w:tcPr>
                <w:p w14:paraId="6D157CF3">
                  <w:pPr>
                    <w:pStyle w:val="94"/>
                    <w:rPr>
                      <w:color w:val="auto"/>
                    </w:rPr>
                  </w:pPr>
                  <w:r>
                    <w:rPr>
                      <w:rFonts w:hint="eastAsia"/>
                      <w:color w:val="auto"/>
                    </w:rPr>
                    <w:t>兴文物函[2022]83号；2022年12月27日</w:t>
                  </w:r>
                </w:p>
              </w:tc>
              <w:tc>
                <w:tcPr>
                  <w:tcW w:w="800" w:type="pct"/>
                  <w:vAlign w:val="center"/>
                </w:tcPr>
                <w:p w14:paraId="6C6761A6">
                  <w:pPr>
                    <w:pStyle w:val="94"/>
                    <w:rPr>
                      <w:color w:val="auto"/>
                    </w:rPr>
                  </w:pPr>
                  <w:r>
                    <w:rPr>
                      <w:rFonts w:hint="eastAsia"/>
                      <w:color w:val="auto"/>
                    </w:rPr>
                    <w:t>临兴东尚义区内分布有6处县级重点文物保护单位，本项目井场均对文物单位进行了避让</w:t>
                  </w:r>
                </w:p>
              </w:tc>
            </w:tr>
            <w:tr w14:paraId="0A96F9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95" w:type="pct"/>
                  <w:vAlign w:val="center"/>
                </w:tcPr>
                <w:p w14:paraId="61DA44CA">
                  <w:pPr>
                    <w:pStyle w:val="94"/>
                    <w:rPr>
                      <w:color w:val="auto"/>
                    </w:rPr>
                  </w:pPr>
                  <w:r>
                    <w:rPr>
                      <w:rFonts w:hint="eastAsia"/>
                      <w:color w:val="auto"/>
                    </w:rPr>
                    <w:t>兴县自然资源局</w:t>
                  </w:r>
                </w:p>
              </w:tc>
              <w:tc>
                <w:tcPr>
                  <w:tcW w:w="2351" w:type="pct"/>
                  <w:vAlign w:val="center"/>
                </w:tcPr>
                <w:p w14:paraId="0D8DD566">
                  <w:pPr>
                    <w:pStyle w:val="94"/>
                    <w:rPr>
                      <w:color w:val="auto"/>
                    </w:rPr>
                  </w:pPr>
                  <w:r>
                    <w:rPr>
                      <w:rFonts w:hint="eastAsia"/>
                      <w:color w:val="auto"/>
                    </w:rPr>
                    <w:t>临兴东区与我县地质遗迹保护范围不重叠</w:t>
                  </w:r>
                </w:p>
              </w:tc>
              <w:tc>
                <w:tcPr>
                  <w:tcW w:w="955" w:type="pct"/>
                  <w:vAlign w:val="center"/>
                </w:tcPr>
                <w:p w14:paraId="15405FA2">
                  <w:pPr>
                    <w:pStyle w:val="94"/>
                    <w:rPr>
                      <w:color w:val="auto"/>
                    </w:rPr>
                  </w:pPr>
                  <w:r>
                    <w:rPr>
                      <w:rFonts w:hint="eastAsia"/>
                      <w:color w:val="auto"/>
                    </w:rPr>
                    <w:t>兴自然资函[2023]5号；2023年1月8日</w:t>
                  </w:r>
                </w:p>
              </w:tc>
              <w:tc>
                <w:tcPr>
                  <w:tcW w:w="800" w:type="pct"/>
                  <w:vAlign w:val="center"/>
                </w:tcPr>
                <w:p w14:paraId="61A17875">
                  <w:pPr>
                    <w:pStyle w:val="94"/>
                    <w:rPr>
                      <w:color w:val="auto"/>
                    </w:rPr>
                  </w:pPr>
                  <w:r>
                    <w:rPr>
                      <w:rFonts w:hint="eastAsia"/>
                      <w:color w:val="auto"/>
                    </w:rPr>
                    <w:t>临兴东尚义区无地质遗迹保护区分布</w:t>
                  </w:r>
                </w:p>
              </w:tc>
            </w:tr>
            <w:tr w14:paraId="36CBBB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95" w:type="pct"/>
                  <w:vAlign w:val="center"/>
                </w:tcPr>
                <w:p w14:paraId="5CF214EF">
                  <w:pPr>
                    <w:pStyle w:val="94"/>
                    <w:rPr>
                      <w:color w:val="auto"/>
                    </w:rPr>
                  </w:pPr>
                  <w:r>
                    <w:rPr>
                      <w:rFonts w:hint="eastAsia"/>
                      <w:color w:val="auto"/>
                    </w:rPr>
                    <w:t>兴县自然资源局</w:t>
                  </w:r>
                </w:p>
              </w:tc>
              <w:tc>
                <w:tcPr>
                  <w:tcW w:w="2351" w:type="pct"/>
                  <w:vAlign w:val="center"/>
                </w:tcPr>
                <w:p w14:paraId="4E19F10F">
                  <w:pPr>
                    <w:pStyle w:val="94"/>
                    <w:rPr>
                      <w:color w:val="auto"/>
                    </w:rPr>
                  </w:pPr>
                  <w:r>
                    <w:rPr>
                      <w:rFonts w:hint="eastAsia"/>
                      <w:color w:val="auto"/>
                    </w:rPr>
                    <w:t>临兴东区与城镇开发边界重叠面积1670.545公顷，与基本农田保护区重叠面积为14139.57268公顷，与生态保护红线重叠面积为13654.4397公顷</w:t>
                  </w:r>
                </w:p>
              </w:tc>
              <w:tc>
                <w:tcPr>
                  <w:tcW w:w="955" w:type="pct"/>
                  <w:vAlign w:val="center"/>
                </w:tcPr>
                <w:p w14:paraId="5441BD4A">
                  <w:pPr>
                    <w:pStyle w:val="94"/>
                    <w:rPr>
                      <w:color w:val="auto"/>
                    </w:rPr>
                  </w:pPr>
                  <w:r>
                    <w:rPr>
                      <w:rFonts w:hint="eastAsia"/>
                      <w:color w:val="auto"/>
                    </w:rPr>
                    <w:t>兴自然资字[2023]9号</w:t>
                  </w:r>
                </w:p>
              </w:tc>
              <w:tc>
                <w:tcPr>
                  <w:tcW w:w="800" w:type="pct"/>
                  <w:vAlign w:val="center"/>
                </w:tcPr>
                <w:p w14:paraId="7907AED9">
                  <w:pPr>
                    <w:pStyle w:val="94"/>
                    <w:rPr>
                      <w:color w:val="auto"/>
                    </w:rPr>
                  </w:pPr>
                  <w:r>
                    <w:rPr>
                      <w:rFonts w:hint="eastAsia"/>
                      <w:color w:val="auto"/>
                    </w:rPr>
                    <w:t>临兴东尚义区井场不涉及基本农田及生态保护红线</w:t>
                  </w:r>
                </w:p>
              </w:tc>
            </w:tr>
          </w:tbl>
          <w:p w14:paraId="0AB8E1E3">
            <w:pPr>
              <w:autoSpaceDE w:val="0"/>
              <w:autoSpaceDN w:val="0"/>
              <w:adjustRightInd w:val="0"/>
              <w:snapToGrid w:val="0"/>
              <w:spacing w:line="360" w:lineRule="auto"/>
              <w:ind w:firstLine="480" w:firstLineChars="200"/>
              <w:rPr>
                <w:rFonts w:ascii="宋体" w:hAnsi="宋体" w:eastAsia="宋体"/>
                <w:kern w:val="0"/>
                <w:sz w:val="24"/>
              </w:rPr>
            </w:pPr>
          </w:p>
          <w:p w14:paraId="71BE7B88">
            <w:pPr>
              <w:autoSpaceDE w:val="0"/>
              <w:autoSpaceDN w:val="0"/>
              <w:adjustRightInd w:val="0"/>
              <w:snapToGrid w:val="0"/>
              <w:spacing w:line="360" w:lineRule="auto"/>
              <w:ind w:firstLine="480" w:firstLineChars="200"/>
              <w:rPr>
                <w:rFonts w:ascii="宋体" w:hAnsi="宋体" w:eastAsia="宋体"/>
                <w:kern w:val="0"/>
                <w:sz w:val="24"/>
              </w:rPr>
            </w:pPr>
          </w:p>
          <w:p w14:paraId="339607D8">
            <w:pPr>
              <w:autoSpaceDE w:val="0"/>
              <w:autoSpaceDN w:val="0"/>
              <w:adjustRightInd w:val="0"/>
              <w:snapToGrid w:val="0"/>
              <w:spacing w:line="360" w:lineRule="auto"/>
              <w:ind w:firstLine="480" w:firstLineChars="200"/>
              <w:rPr>
                <w:rFonts w:ascii="宋体" w:hAnsi="宋体" w:eastAsia="宋体"/>
                <w:kern w:val="0"/>
                <w:sz w:val="24"/>
              </w:rPr>
            </w:pPr>
          </w:p>
        </w:tc>
      </w:tr>
    </w:tbl>
    <w:p w14:paraId="3A75DD51">
      <w:pPr>
        <w:spacing w:line="360" w:lineRule="auto"/>
        <w:outlineLvl w:val="0"/>
        <w:rPr>
          <w:rFonts w:eastAsia="黑体"/>
          <w:sz w:val="30"/>
        </w:rPr>
        <w:sectPr>
          <w:footerReference r:id="rId9" w:type="default"/>
          <w:pgSz w:w="11906" w:h="16838"/>
          <w:pgMar w:top="1701" w:right="1531" w:bottom="1701" w:left="1531" w:header="851" w:footer="1077" w:gutter="0"/>
          <w:pgNumType w:start="1"/>
          <w:cols w:space="720" w:num="1"/>
          <w:docGrid w:linePitch="312" w:charSpace="0"/>
        </w:sectPr>
      </w:pPr>
    </w:p>
    <w:p w14:paraId="70559AB4">
      <w:pPr>
        <w:jc w:val="center"/>
        <w:outlineLvl w:val="0"/>
        <w:rPr>
          <w:rStyle w:val="404"/>
        </w:rPr>
      </w:pPr>
      <w:bookmarkStart w:id="16" w:name="_Toc165211506"/>
      <w:bookmarkStart w:id="17" w:name="_Toc164890568"/>
      <w:bookmarkStart w:id="18" w:name="_Toc165209992"/>
      <w:bookmarkStart w:id="19" w:name="_Toc168031005"/>
      <w:bookmarkStart w:id="20" w:name="_Toc169765987"/>
      <w:bookmarkStart w:id="21" w:name="_Toc171579798"/>
      <w:r>
        <w:rPr>
          <w:rStyle w:val="404"/>
        </w:rPr>
        <w:t>二、建设内容</w:t>
      </w:r>
      <w:bookmarkEnd w:id="16"/>
      <w:bookmarkEnd w:id="17"/>
      <w:bookmarkEnd w:id="18"/>
      <w:bookmarkEnd w:id="19"/>
      <w:bookmarkEnd w:id="20"/>
      <w:bookmarkEnd w:id="21"/>
    </w:p>
    <w:tbl>
      <w:tblPr>
        <w:tblStyle w:val="72"/>
        <w:tblW w:w="893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 w:type="dxa"/>
          <w:bottom w:w="0" w:type="dxa"/>
          <w:right w:w="10" w:type="dxa"/>
        </w:tblCellMar>
      </w:tblPr>
      <w:tblGrid>
        <w:gridCol w:w="415"/>
        <w:gridCol w:w="8516"/>
      </w:tblGrid>
      <w:tr w14:paraId="64561B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1497" w:hRule="atLeast"/>
          <w:jc w:val="center"/>
        </w:trPr>
        <w:tc>
          <w:tcPr>
            <w:tcW w:w="415" w:type="dxa"/>
            <w:vAlign w:val="center"/>
          </w:tcPr>
          <w:p w14:paraId="1F1CD44B">
            <w:pPr>
              <w:adjustRightInd w:val="0"/>
              <w:snapToGrid w:val="0"/>
              <w:jc w:val="center"/>
              <w:rPr>
                <w:rFonts w:ascii="宋体" w:hAnsi="宋体" w:eastAsia="宋体"/>
                <w:kern w:val="0"/>
                <w:sz w:val="24"/>
              </w:rPr>
            </w:pPr>
            <w:r>
              <w:rPr>
                <w:rFonts w:ascii="宋体" w:hAnsi="宋体" w:eastAsia="宋体"/>
                <w:kern w:val="0"/>
                <w:sz w:val="24"/>
              </w:rPr>
              <w:t>地理位置</w:t>
            </w:r>
          </w:p>
        </w:tc>
        <w:tc>
          <w:tcPr>
            <w:tcW w:w="8516" w:type="dxa"/>
            <w:vAlign w:val="center"/>
          </w:tcPr>
          <w:p w14:paraId="3009001D">
            <w:pPr>
              <w:pStyle w:val="96"/>
              <w:ind w:firstLine="480"/>
            </w:pPr>
            <w:r>
              <w:rPr>
                <w:rFonts w:hint="eastAsia"/>
              </w:rPr>
              <w:t>本项目</w:t>
            </w:r>
            <w:r>
              <w:t>共新建</w:t>
            </w:r>
            <w:r>
              <w:rPr>
                <w:rFonts w:hint="eastAsia"/>
              </w:rPr>
              <w:t>21</w:t>
            </w:r>
            <w:r>
              <w:t>座</w:t>
            </w:r>
            <w:r>
              <w:rPr>
                <w:rFonts w:hint="eastAsia"/>
              </w:rPr>
              <w:t>井场21口</w:t>
            </w:r>
            <w:r>
              <w:t>井均位于</w:t>
            </w:r>
            <w:r>
              <w:rPr>
                <w:rFonts w:hint="eastAsia"/>
              </w:rPr>
              <w:t>兴县罗峪口镇、孟家坪乡、高家村镇、赵家坪乡。</w:t>
            </w:r>
          </w:p>
        </w:tc>
      </w:tr>
      <w:tr w14:paraId="4C2EE4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3119" w:hRule="atLeast"/>
          <w:jc w:val="center"/>
        </w:trPr>
        <w:tc>
          <w:tcPr>
            <w:tcW w:w="415" w:type="dxa"/>
            <w:vAlign w:val="center"/>
          </w:tcPr>
          <w:p w14:paraId="565F2682">
            <w:pPr>
              <w:adjustRightInd w:val="0"/>
              <w:snapToGrid w:val="0"/>
              <w:jc w:val="center"/>
              <w:rPr>
                <w:rFonts w:ascii="宋体" w:hAnsi="宋体" w:eastAsia="宋体"/>
                <w:kern w:val="0"/>
                <w:sz w:val="24"/>
              </w:rPr>
            </w:pPr>
            <w:r>
              <w:rPr>
                <w:rFonts w:ascii="宋体" w:hAnsi="宋体" w:eastAsia="宋体"/>
                <w:kern w:val="0"/>
                <w:sz w:val="24"/>
              </w:rPr>
              <w:t>项目组成及规模</w:t>
            </w:r>
          </w:p>
        </w:tc>
        <w:tc>
          <w:tcPr>
            <w:tcW w:w="8516" w:type="dxa"/>
            <w:vAlign w:val="center"/>
          </w:tcPr>
          <w:p w14:paraId="1B552A09">
            <w:pPr>
              <w:pStyle w:val="96"/>
              <w:ind w:firstLine="0" w:firstLineChars="0"/>
              <w:rPr>
                <w:b/>
                <w:bCs/>
              </w:rPr>
            </w:pPr>
            <w:r>
              <w:rPr>
                <w:rFonts w:hint="eastAsia"/>
                <w:b/>
                <w:bCs/>
              </w:rPr>
              <w:t>一</w:t>
            </w:r>
            <w:r>
              <w:rPr>
                <w:b/>
                <w:bCs/>
              </w:rPr>
              <w:t>、建设项目工程概况</w:t>
            </w:r>
          </w:p>
          <w:p w14:paraId="2D3A68D2">
            <w:pPr>
              <w:pStyle w:val="96"/>
              <w:ind w:firstLine="482"/>
              <w:rPr>
                <w:b/>
                <w:bCs/>
              </w:rPr>
            </w:pPr>
            <w:r>
              <w:rPr>
                <w:rFonts w:hint="eastAsia"/>
                <w:b/>
                <w:bCs/>
              </w:rPr>
              <w:t>1、</w:t>
            </w:r>
            <w:r>
              <w:rPr>
                <w:b/>
                <w:bCs/>
              </w:rPr>
              <w:t>建设项目基本情况</w:t>
            </w:r>
          </w:p>
          <w:p w14:paraId="34D41A0E">
            <w:pPr>
              <w:pStyle w:val="96"/>
              <w:ind w:firstLine="480"/>
            </w:pPr>
            <w:r>
              <w:rPr>
                <w:rFonts w:hint="eastAsia"/>
              </w:rPr>
              <w:t>本项目拟建设21</w:t>
            </w:r>
            <w:r>
              <w:t>座</w:t>
            </w:r>
            <w:r>
              <w:rPr>
                <w:rFonts w:hint="eastAsia"/>
              </w:rPr>
              <w:t>井场21口勘探井全部位于兴县罗峪口镇、孟家坪乡、高家村镇、赵家坪乡。探矿权</w:t>
            </w:r>
            <w:r>
              <w:t>勘查</w:t>
            </w:r>
            <w:r>
              <w:rPr>
                <w:rFonts w:hint="eastAsia"/>
              </w:rPr>
              <w:t>面积</w:t>
            </w:r>
            <w:r>
              <w:t>为</w:t>
            </w:r>
            <w:r>
              <w:rPr>
                <w:rFonts w:hint="eastAsia"/>
              </w:rPr>
              <w:t>1065.917</w:t>
            </w:r>
            <w:r>
              <w:t>km</w:t>
            </w:r>
            <w:r>
              <w:rPr>
                <w:vertAlign w:val="superscript"/>
              </w:rPr>
              <w:t>2</w:t>
            </w:r>
            <w:r>
              <w:rPr>
                <w:rFonts w:hint="eastAsia"/>
              </w:rPr>
              <w:t>，</w:t>
            </w:r>
            <w:r>
              <w:t>本次</w:t>
            </w:r>
            <w:r>
              <w:rPr>
                <w:rFonts w:hint="eastAsia"/>
              </w:rPr>
              <w:t>勘查面积为149.26</w:t>
            </w:r>
            <w:r>
              <w:t>km</w:t>
            </w:r>
            <w:r>
              <w:rPr>
                <w:vertAlign w:val="superscript"/>
              </w:rPr>
              <w:t>2</w:t>
            </w:r>
            <w:r>
              <w:rPr>
                <w:rFonts w:hint="eastAsia"/>
              </w:rPr>
              <w:t>，主要勘查千</w:t>
            </w:r>
            <w:r>
              <w:t>5段、盒2段、盒3段、盒6段、盒7段、山2段和太原组等7个层段</w:t>
            </w:r>
            <w:r>
              <w:rPr>
                <w:rFonts w:hint="eastAsia"/>
              </w:rPr>
              <w:t>气层，储层岩性</w:t>
            </w:r>
            <w:r>
              <w:t>主要为岩屑砂岩、石英砂岩。</w:t>
            </w:r>
          </w:p>
          <w:p w14:paraId="47F855CA">
            <w:pPr>
              <w:pStyle w:val="96"/>
              <w:ind w:firstLine="480"/>
            </w:pPr>
            <w:r>
              <w:t>2019年7月9日，自然资源部对中联煤层气有限责任公司核发了山西临兴东区块煤层气勘查证，证号0200001920252，有效期2018年12月16日至2020年12月16日；于2023年10月8日办理了矿权延续，山西省自然资源厅对中联煤层气有限责任公司核发了山西临兴东区块煤层气勘查证，证号T1400002023101010057571，有效期限为2020 年12 月17 日至2025 年12 月17 日。</w:t>
            </w:r>
          </w:p>
          <w:p w14:paraId="6440308A">
            <w:pPr>
              <w:pStyle w:val="96"/>
              <w:ind w:firstLine="480"/>
            </w:pPr>
            <w:r>
              <w:rPr>
                <w:rFonts w:hint="eastAsia"/>
              </w:rPr>
              <w:t>临兴东尚义区位于临兴东区的东部，临兴东区块煤层气勘查项目对临兴东勘查区除尚义区块以外的部分进行了勘查，</w:t>
            </w:r>
            <w:r>
              <w:t>临兴东尚义区气田开发项目</w:t>
            </w:r>
            <w:r>
              <w:rPr>
                <w:rFonts w:hint="eastAsia"/>
              </w:rPr>
              <w:t>为本区块内开发项目，区块范围与本项目相同。</w:t>
            </w:r>
          </w:p>
          <w:p w14:paraId="1D0003E5">
            <w:pPr>
              <w:pStyle w:val="96"/>
              <w:ind w:firstLine="482"/>
              <w:rPr>
                <w:b/>
                <w:bCs/>
              </w:rPr>
            </w:pPr>
            <w:r>
              <w:rPr>
                <w:rFonts w:hint="eastAsia"/>
                <w:b/>
                <w:bCs/>
              </w:rPr>
              <w:t>2、</w:t>
            </w:r>
            <w:r>
              <w:rPr>
                <w:b/>
                <w:bCs/>
              </w:rPr>
              <w:t>建设规模及主要建设内容</w:t>
            </w:r>
          </w:p>
          <w:p w14:paraId="24A2360B">
            <w:pPr>
              <w:pStyle w:val="96"/>
              <w:ind w:firstLine="480"/>
            </w:pPr>
            <w:r>
              <w:rPr>
                <w:rFonts w:hint="eastAsia"/>
              </w:rPr>
              <w:t>（1）建设</w:t>
            </w:r>
            <w:r>
              <w:t>规模</w:t>
            </w:r>
          </w:p>
          <w:p w14:paraId="7E001344">
            <w:pPr>
              <w:pStyle w:val="96"/>
              <w:ind w:firstLine="480"/>
            </w:pPr>
            <w:r>
              <w:rPr>
                <w:rFonts w:hint="eastAsia"/>
              </w:rPr>
              <w:t>本项目</w:t>
            </w:r>
            <w:r>
              <w:t>计划建设</w:t>
            </w:r>
            <w:r>
              <w:rPr>
                <w:rFonts w:hint="eastAsia"/>
              </w:rPr>
              <w:t>21</w:t>
            </w:r>
            <w:r>
              <w:t>座井场</w:t>
            </w:r>
            <w:r>
              <w:rPr>
                <w:rFonts w:hint="eastAsia"/>
              </w:rPr>
              <w:t>21</w:t>
            </w:r>
            <w:r>
              <w:t>口勘探井场，全部位于勘探范围内，共</w:t>
            </w:r>
            <w:r>
              <w:rPr>
                <w:rFonts w:hint="eastAsia"/>
              </w:rPr>
              <w:t>21口勘探井</w:t>
            </w:r>
            <w:r>
              <w:t>，其中</w:t>
            </w:r>
            <w:r>
              <w:rPr>
                <w:rFonts w:hint="eastAsia"/>
              </w:rPr>
              <w:t>2口</w:t>
            </w:r>
            <w:r>
              <w:t>直井，</w:t>
            </w:r>
            <w:r>
              <w:rPr>
                <w:rFonts w:hint="eastAsia"/>
              </w:rPr>
              <w:t>19口</w:t>
            </w:r>
            <w:r>
              <w:t>定向井，</w:t>
            </w:r>
            <w:r>
              <w:rPr>
                <w:rFonts w:hint="eastAsia"/>
              </w:rPr>
              <w:t>各</w:t>
            </w:r>
            <w:r>
              <w:t>勘探井位置、坐标见</w:t>
            </w:r>
            <w:r>
              <w:rPr>
                <w:rFonts w:hint="eastAsia"/>
              </w:rPr>
              <w:t>下表。</w:t>
            </w:r>
          </w:p>
          <w:p w14:paraId="63F01EA6">
            <w:pPr>
              <w:pStyle w:val="19"/>
              <w:keepNext/>
            </w:pPr>
            <w:bookmarkStart w:id="22" w:name="_Ref169209210"/>
            <w:bookmarkStart w:id="23" w:name="_Ref169209205"/>
            <w:r>
              <w:t xml:space="preserve">表 </w:t>
            </w:r>
            <w:r>
              <w:fldChar w:fldCharType="begin"/>
            </w:r>
            <w:r>
              <w:instrText xml:space="preserve"> SEQ 表 \* ARABIC </w:instrText>
            </w:r>
            <w:r>
              <w:fldChar w:fldCharType="separate"/>
            </w:r>
            <w:r>
              <w:t>9</w:t>
            </w:r>
            <w:r>
              <w:fldChar w:fldCharType="end"/>
            </w:r>
            <w:bookmarkEnd w:id="22"/>
            <w:r>
              <w:rPr>
                <w:rFonts w:hint="eastAsia"/>
              </w:rPr>
              <w:t>项目勘探井参数一览表</w:t>
            </w:r>
            <w:bookmarkEnd w:id="23"/>
          </w:p>
          <w:tbl>
            <w:tblPr>
              <w:tblStyle w:val="114"/>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84"/>
              <w:gridCol w:w="1164"/>
              <w:gridCol w:w="1609"/>
              <w:gridCol w:w="1726"/>
              <w:gridCol w:w="1116"/>
              <w:gridCol w:w="999"/>
              <w:gridCol w:w="1161"/>
            </w:tblGrid>
            <w:tr w14:paraId="1E9A46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684" w:type="dxa"/>
                  <w:vMerge w:val="restart"/>
                  <w:noWrap/>
                  <w:vAlign w:val="center"/>
                </w:tcPr>
                <w:p w14:paraId="0DD4A564">
                  <w:pPr>
                    <w:pStyle w:val="94"/>
                    <w:rPr>
                      <w:color w:val="auto"/>
                    </w:rPr>
                  </w:pPr>
                  <w:r>
                    <w:rPr>
                      <w:rFonts w:hint="eastAsia"/>
                      <w:color w:val="auto"/>
                    </w:rPr>
                    <w:t>序号</w:t>
                  </w:r>
                </w:p>
              </w:tc>
              <w:tc>
                <w:tcPr>
                  <w:tcW w:w="1164" w:type="dxa"/>
                  <w:vMerge w:val="restart"/>
                  <w:noWrap/>
                  <w:vAlign w:val="center"/>
                </w:tcPr>
                <w:p w14:paraId="31D9B410">
                  <w:pPr>
                    <w:pStyle w:val="94"/>
                    <w:rPr>
                      <w:color w:val="auto"/>
                    </w:rPr>
                  </w:pPr>
                  <w:r>
                    <w:rPr>
                      <w:rFonts w:hint="eastAsia"/>
                      <w:color w:val="auto"/>
                    </w:rPr>
                    <w:t>井场名称</w:t>
                  </w:r>
                </w:p>
              </w:tc>
              <w:tc>
                <w:tcPr>
                  <w:tcW w:w="3335" w:type="dxa"/>
                  <w:gridSpan w:val="2"/>
                  <w:noWrap/>
                  <w:vAlign w:val="center"/>
                </w:tcPr>
                <w:p w14:paraId="07DD8F46">
                  <w:pPr>
                    <w:pStyle w:val="94"/>
                    <w:rPr>
                      <w:color w:val="auto"/>
                    </w:rPr>
                  </w:pPr>
                  <w:r>
                    <w:rPr>
                      <w:rFonts w:hint="eastAsia"/>
                      <w:color w:val="auto"/>
                    </w:rPr>
                    <w:t>井场坐标</w:t>
                  </w:r>
                </w:p>
              </w:tc>
              <w:tc>
                <w:tcPr>
                  <w:tcW w:w="1116" w:type="dxa"/>
                  <w:vMerge w:val="restart"/>
                  <w:noWrap/>
                  <w:vAlign w:val="center"/>
                </w:tcPr>
                <w:p w14:paraId="59CE3284">
                  <w:pPr>
                    <w:pStyle w:val="94"/>
                    <w:rPr>
                      <w:color w:val="auto"/>
                    </w:rPr>
                  </w:pPr>
                  <w:r>
                    <w:rPr>
                      <w:rFonts w:hint="eastAsia"/>
                      <w:color w:val="auto"/>
                    </w:rPr>
                    <w:t>井型</w:t>
                  </w:r>
                </w:p>
              </w:tc>
              <w:tc>
                <w:tcPr>
                  <w:tcW w:w="999" w:type="dxa"/>
                  <w:vMerge w:val="restart"/>
                  <w:noWrap/>
                  <w:vAlign w:val="center"/>
                </w:tcPr>
                <w:p w14:paraId="5674D3BC">
                  <w:pPr>
                    <w:pStyle w:val="94"/>
                    <w:rPr>
                      <w:color w:val="auto"/>
                    </w:rPr>
                  </w:pPr>
                  <w:r>
                    <w:rPr>
                      <w:rFonts w:hint="eastAsia"/>
                      <w:color w:val="auto"/>
                    </w:rPr>
                    <w:t>垂深m</w:t>
                  </w:r>
                </w:p>
              </w:tc>
              <w:tc>
                <w:tcPr>
                  <w:tcW w:w="1161" w:type="dxa"/>
                  <w:vMerge w:val="restart"/>
                  <w:vAlign w:val="center"/>
                </w:tcPr>
                <w:p w14:paraId="5AEBAEB5">
                  <w:pPr>
                    <w:pStyle w:val="94"/>
                    <w:rPr>
                      <w:color w:val="auto"/>
                    </w:rPr>
                  </w:pPr>
                  <w:r>
                    <w:rPr>
                      <w:rFonts w:hint="eastAsia"/>
                      <w:color w:val="auto"/>
                    </w:rPr>
                    <w:t>完钻目的层</w:t>
                  </w:r>
                </w:p>
              </w:tc>
            </w:tr>
            <w:tr w14:paraId="08CA4C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684" w:type="dxa"/>
                  <w:vMerge w:val="continue"/>
                  <w:vAlign w:val="center"/>
                </w:tcPr>
                <w:p w14:paraId="1F96040F">
                  <w:pPr>
                    <w:pStyle w:val="94"/>
                    <w:rPr>
                      <w:color w:val="auto"/>
                    </w:rPr>
                  </w:pPr>
                </w:p>
              </w:tc>
              <w:tc>
                <w:tcPr>
                  <w:tcW w:w="1164" w:type="dxa"/>
                  <w:vMerge w:val="continue"/>
                  <w:vAlign w:val="center"/>
                </w:tcPr>
                <w:p w14:paraId="5926898A">
                  <w:pPr>
                    <w:pStyle w:val="94"/>
                    <w:rPr>
                      <w:color w:val="auto"/>
                    </w:rPr>
                  </w:pPr>
                </w:p>
              </w:tc>
              <w:tc>
                <w:tcPr>
                  <w:tcW w:w="1609" w:type="dxa"/>
                  <w:noWrap/>
                  <w:vAlign w:val="center"/>
                </w:tcPr>
                <w:p w14:paraId="36776806">
                  <w:pPr>
                    <w:pStyle w:val="94"/>
                    <w:rPr>
                      <w:color w:val="auto"/>
                    </w:rPr>
                  </w:pPr>
                  <w:r>
                    <w:rPr>
                      <w:rFonts w:hint="eastAsia"/>
                      <w:color w:val="auto"/>
                    </w:rPr>
                    <w:t>X</w:t>
                  </w:r>
                </w:p>
              </w:tc>
              <w:tc>
                <w:tcPr>
                  <w:tcW w:w="1725" w:type="dxa"/>
                  <w:noWrap/>
                  <w:vAlign w:val="center"/>
                </w:tcPr>
                <w:p w14:paraId="1DDE6F72">
                  <w:pPr>
                    <w:pStyle w:val="94"/>
                    <w:rPr>
                      <w:color w:val="auto"/>
                    </w:rPr>
                  </w:pPr>
                  <w:r>
                    <w:rPr>
                      <w:rFonts w:hint="eastAsia"/>
                      <w:color w:val="auto"/>
                    </w:rPr>
                    <w:t>Y</w:t>
                  </w:r>
                </w:p>
              </w:tc>
              <w:tc>
                <w:tcPr>
                  <w:tcW w:w="1116" w:type="dxa"/>
                  <w:vMerge w:val="continue"/>
                  <w:vAlign w:val="center"/>
                </w:tcPr>
                <w:p w14:paraId="796623E7">
                  <w:pPr>
                    <w:pStyle w:val="94"/>
                    <w:rPr>
                      <w:color w:val="auto"/>
                    </w:rPr>
                  </w:pPr>
                </w:p>
              </w:tc>
              <w:tc>
                <w:tcPr>
                  <w:tcW w:w="999" w:type="dxa"/>
                  <w:vMerge w:val="continue"/>
                  <w:vAlign w:val="center"/>
                </w:tcPr>
                <w:p w14:paraId="5E7C5DA9">
                  <w:pPr>
                    <w:pStyle w:val="94"/>
                    <w:rPr>
                      <w:color w:val="auto"/>
                    </w:rPr>
                  </w:pPr>
                </w:p>
              </w:tc>
              <w:tc>
                <w:tcPr>
                  <w:tcW w:w="1161" w:type="dxa"/>
                  <w:vMerge w:val="continue"/>
                  <w:vAlign w:val="center"/>
                </w:tcPr>
                <w:p w14:paraId="64220943">
                  <w:pPr>
                    <w:pStyle w:val="94"/>
                    <w:rPr>
                      <w:color w:val="auto"/>
                    </w:rPr>
                  </w:pPr>
                </w:p>
              </w:tc>
            </w:tr>
            <w:tr w14:paraId="5CD67A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684" w:type="dxa"/>
                  <w:noWrap/>
                  <w:vAlign w:val="center"/>
                </w:tcPr>
                <w:p w14:paraId="53EA3E36">
                  <w:pPr>
                    <w:pStyle w:val="94"/>
                    <w:rPr>
                      <w:color w:val="auto"/>
                    </w:rPr>
                  </w:pPr>
                  <w:r>
                    <w:rPr>
                      <w:rFonts w:hint="eastAsia"/>
                      <w:color w:val="auto"/>
                    </w:rPr>
                    <w:t>1</w:t>
                  </w:r>
                </w:p>
              </w:tc>
              <w:tc>
                <w:tcPr>
                  <w:tcW w:w="1164" w:type="dxa"/>
                  <w:noWrap/>
                  <w:vAlign w:val="center"/>
                </w:tcPr>
                <w:p w14:paraId="5C617E46">
                  <w:pPr>
                    <w:pStyle w:val="94"/>
                    <w:rPr>
                      <w:color w:val="auto"/>
                    </w:rPr>
                  </w:pPr>
                  <w:r>
                    <w:rPr>
                      <w:rFonts w:hint="eastAsia"/>
                      <w:color w:val="auto"/>
                    </w:rPr>
                    <w:t>LXD11-25</w:t>
                  </w:r>
                </w:p>
              </w:tc>
              <w:tc>
                <w:tcPr>
                  <w:tcW w:w="1609" w:type="dxa"/>
                  <w:noWrap/>
                  <w:vAlign w:val="center"/>
                </w:tcPr>
                <w:p w14:paraId="23362969">
                  <w:pPr>
                    <w:pStyle w:val="94"/>
                    <w:rPr>
                      <w:color w:val="auto"/>
                    </w:rPr>
                  </w:pPr>
                  <w:r>
                    <w:rPr>
                      <w:rFonts w:hint="eastAsia"/>
                      <w:color w:val="auto"/>
                    </w:rPr>
                    <w:t>4254739.481</w:t>
                  </w:r>
                </w:p>
              </w:tc>
              <w:tc>
                <w:tcPr>
                  <w:tcW w:w="1725" w:type="dxa"/>
                  <w:noWrap/>
                  <w:vAlign w:val="center"/>
                </w:tcPr>
                <w:p w14:paraId="6FDF5CC9">
                  <w:pPr>
                    <w:pStyle w:val="94"/>
                    <w:rPr>
                      <w:color w:val="auto"/>
                    </w:rPr>
                  </w:pPr>
                  <w:r>
                    <w:rPr>
                      <w:rFonts w:hint="eastAsia"/>
                      <w:color w:val="auto"/>
                    </w:rPr>
                    <w:t>19491337.18</w:t>
                  </w:r>
                </w:p>
              </w:tc>
              <w:tc>
                <w:tcPr>
                  <w:tcW w:w="1116" w:type="dxa"/>
                  <w:noWrap/>
                  <w:vAlign w:val="center"/>
                </w:tcPr>
                <w:p w14:paraId="66F77B56">
                  <w:pPr>
                    <w:pStyle w:val="94"/>
                    <w:rPr>
                      <w:color w:val="auto"/>
                    </w:rPr>
                  </w:pPr>
                  <w:r>
                    <w:rPr>
                      <w:rFonts w:hint="eastAsia"/>
                      <w:color w:val="auto"/>
                    </w:rPr>
                    <w:t>定向井</w:t>
                  </w:r>
                </w:p>
              </w:tc>
              <w:tc>
                <w:tcPr>
                  <w:tcW w:w="999" w:type="dxa"/>
                  <w:noWrap/>
                  <w:vAlign w:val="center"/>
                </w:tcPr>
                <w:p w14:paraId="3F4376DF">
                  <w:pPr>
                    <w:pStyle w:val="94"/>
                    <w:rPr>
                      <w:color w:val="auto"/>
                    </w:rPr>
                  </w:pPr>
                  <w:r>
                    <w:rPr>
                      <w:rFonts w:hint="eastAsia"/>
                      <w:color w:val="auto"/>
                    </w:rPr>
                    <w:t>1947</w:t>
                  </w:r>
                </w:p>
              </w:tc>
              <w:tc>
                <w:tcPr>
                  <w:tcW w:w="1161" w:type="dxa"/>
                  <w:vAlign w:val="center"/>
                </w:tcPr>
                <w:p w14:paraId="1A3420AE">
                  <w:pPr>
                    <w:pStyle w:val="94"/>
                    <w:rPr>
                      <w:color w:val="auto"/>
                    </w:rPr>
                  </w:pPr>
                  <w:r>
                    <w:rPr>
                      <w:rFonts w:hint="eastAsia"/>
                      <w:color w:val="auto"/>
                    </w:rPr>
                    <w:t>马家沟组</w:t>
                  </w:r>
                </w:p>
              </w:tc>
            </w:tr>
            <w:tr w14:paraId="0E88EF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684" w:type="dxa"/>
                  <w:noWrap/>
                  <w:vAlign w:val="center"/>
                </w:tcPr>
                <w:p w14:paraId="2B2ADD36">
                  <w:pPr>
                    <w:pStyle w:val="94"/>
                    <w:rPr>
                      <w:color w:val="auto"/>
                    </w:rPr>
                  </w:pPr>
                  <w:r>
                    <w:rPr>
                      <w:rFonts w:hint="eastAsia"/>
                      <w:color w:val="auto"/>
                    </w:rPr>
                    <w:t>2</w:t>
                  </w:r>
                </w:p>
              </w:tc>
              <w:tc>
                <w:tcPr>
                  <w:tcW w:w="1164" w:type="dxa"/>
                  <w:noWrap/>
                  <w:vAlign w:val="center"/>
                </w:tcPr>
                <w:p w14:paraId="267523FB">
                  <w:pPr>
                    <w:pStyle w:val="94"/>
                    <w:rPr>
                      <w:color w:val="auto"/>
                    </w:rPr>
                  </w:pPr>
                  <w:r>
                    <w:rPr>
                      <w:rFonts w:hint="eastAsia"/>
                      <w:color w:val="auto"/>
                    </w:rPr>
                    <w:t>LXD5-26</w:t>
                  </w:r>
                </w:p>
              </w:tc>
              <w:tc>
                <w:tcPr>
                  <w:tcW w:w="1609" w:type="dxa"/>
                  <w:noWrap/>
                  <w:vAlign w:val="center"/>
                </w:tcPr>
                <w:p w14:paraId="76F212F8">
                  <w:pPr>
                    <w:pStyle w:val="94"/>
                    <w:rPr>
                      <w:color w:val="auto"/>
                    </w:rPr>
                  </w:pPr>
                  <w:r>
                    <w:rPr>
                      <w:rFonts w:hint="eastAsia"/>
                      <w:color w:val="auto"/>
                    </w:rPr>
                    <w:t>4250549.36</w:t>
                  </w:r>
                </w:p>
              </w:tc>
              <w:tc>
                <w:tcPr>
                  <w:tcW w:w="1725" w:type="dxa"/>
                  <w:noWrap/>
                  <w:vAlign w:val="center"/>
                </w:tcPr>
                <w:p w14:paraId="3FCEBC8A">
                  <w:pPr>
                    <w:pStyle w:val="94"/>
                    <w:rPr>
                      <w:color w:val="auto"/>
                    </w:rPr>
                  </w:pPr>
                  <w:r>
                    <w:rPr>
                      <w:rFonts w:hint="eastAsia"/>
                      <w:color w:val="auto"/>
                    </w:rPr>
                    <w:t>19493179.88</w:t>
                  </w:r>
                </w:p>
              </w:tc>
              <w:tc>
                <w:tcPr>
                  <w:tcW w:w="1116" w:type="dxa"/>
                  <w:noWrap/>
                  <w:vAlign w:val="center"/>
                </w:tcPr>
                <w:p w14:paraId="7923CB21">
                  <w:pPr>
                    <w:pStyle w:val="94"/>
                    <w:rPr>
                      <w:color w:val="auto"/>
                    </w:rPr>
                  </w:pPr>
                  <w:r>
                    <w:rPr>
                      <w:rFonts w:hint="eastAsia"/>
                      <w:color w:val="auto"/>
                    </w:rPr>
                    <w:t>定向井</w:t>
                  </w:r>
                </w:p>
              </w:tc>
              <w:tc>
                <w:tcPr>
                  <w:tcW w:w="999" w:type="dxa"/>
                  <w:noWrap/>
                  <w:vAlign w:val="center"/>
                </w:tcPr>
                <w:p w14:paraId="6D349863">
                  <w:pPr>
                    <w:pStyle w:val="94"/>
                    <w:rPr>
                      <w:color w:val="auto"/>
                    </w:rPr>
                  </w:pPr>
                  <w:r>
                    <w:rPr>
                      <w:rFonts w:hint="eastAsia"/>
                      <w:color w:val="auto"/>
                    </w:rPr>
                    <w:t>2043</w:t>
                  </w:r>
                </w:p>
              </w:tc>
              <w:tc>
                <w:tcPr>
                  <w:tcW w:w="1161" w:type="dxa"/>
                  <w:vAlign w:val="center"/>
                </w:tcPr>
                <w:p w14:paraId="15C70148">
                  <w:pPr>
                    <w:pStyle w:val="94"/>
                    <w:rPr>
                      <w:color w:val="auto"/>
                    </w:rPr>
                  </w:pPr>
                  <w:r>
                    <w:rPr>
                      <w:rFonts w:hint="eastAsia"/>
                      <w:color w:val="auto"/>
                    </w:rPr>
                    <w:t>马家沟组</w:t>
                  </w:r>
                </w:p>
              </w:tc>
            </w:tr>
            <w:tr w14:paraId="53CE9B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684" w:type="dxa"/>
                  <w:noWrap/>
                  <w:vAlign w:val="center"/>
                </w:tcPr>
                <w:p w14:paraId="365D2650">
                  <w:pPr>
                    <w:pStyle w:val="94"/>
                    <w:rPr>
                      <w:color w:val="auto"/>
                    </w:rPr>
                  </w:pPr>
                  <w:r>
                    <w:rPr>
                      <w:rFonts w:hint="eastAsia"/>
                      <w:color w:val="auto"/>
                    </w:rPr>
                    <w:t>3</w:t>
                  </w:r>
                </w:p>
              </w:tc>
              <w:tc>
                <w:tcPr>
                  <w:tcW w:w="1164" w:type="dxa"/>
                  <w:noWrap/>
                  <w:vAlign w:val="center"/>
                </w:tcPr>
                <w:p w14:paraId="2E93A175">
                  <w:pPr>
                    <w:pStyle w:val="94"/>
                    <w:rPr>
                      <w:color w:val="auto"/>
                    </w:rPr>
                  </w:pPr>
                  <w:r>
                    <w:rPr>
                      <w:rFonts w:hint="eastAsia"/>
                      <w:color w:val="auto"/>
                    </w:rPr>
                    <w:t>LXDG-05</w:t>
                  </w:r>
                </w:p>
              </w:tc>
              <w:tc>
                <w:tcPr>
                  <w:tcW w:w="1609" w:type="dxa"/>
                  <w:noWrap/>
                  <w:vAlign w:val="center"/>
                </w:tcPr>
                <w:p w14:paraId="70A5C989">
                  <w:pPr>
                    <w:pStyle w:val="94"/>
                    <w:rPr>
                      <w:color w:val="auto"/>
                    </w:rPr>
                  </w:pPr>
                  <w:r>
                    <w:rPr>
                      <w:rFonts w:hint="eastAsia"/>
                      <w:color w:val="auto"/>
                    </w:rPr>
                    <w:t>4250783.3</w:t>
                  </w:r>
                </w:p>
              </w:tc>
              <w:tc>
                <w:tcPr>
                  <w:tcW w:w="1725" w:type="dxa"/>
                  <w:noWrap/>
                  <w:vAlign w:val="center"/>
                </w:tcPr>
                <w:p w14:paraId="23318A47">
                  <w:pPr>
                    <w:pStyle w:val="94"/>
                    <w:rPr>
                      <w:color w:val="auto"/>
                    </w:rPr>
                  </w:pPr>
                  <w:r>
                    <w:rPr>
                      <w:rFonts w:hint="eastAsia"/>
                      <w:color w:val="auto"/>
                    </w:rPr>
                    <w:t>19490900.9</w:t>
                  </w:r>
                </w:p>
              </w:tc>
              <w:tc>
                <w:tcPr>
                  <w:tcW w:w="1116" w:type="dxa"/>
                  <w:noWrap/>
                  <w:vAlign w:val="center"/>
                </w:tcPr>
                <w:p w14:paraId="3E9282DC">
                  <w:pPr>
                    <w:pStyle w:val="94"/>
                    <w:rPr>
                      <w:color w:val="auto"/>
                    </w:rPr>
                  </w:pPr>
                  <w:r>
                    <w:rPr>
                      <w:rFonts w:hint="eastAsia"/>
                      <w:color w:val="auto"/>
                    </w:rPr>
                    <w:t>直井</w:t>
                  </w:r>
                </w:p>
              </w:tc>
              <w:tc>
                <w:tcPr>
                  <w:tcW w:w="999" w:type="dxa"/>
                  <w:noWrap/>
                  <w:vAlign w:val="center"/>
                </w:tcPr>
                <w:p w14:paraId="15B30D30">
                  <w:pPr>
                    <w:pStyle w:val="94"/>
                    <w:rPr>
                      <w:color w:val="auto"/>
                    </w:rPr>
                  </w:pPr>
                  <w:r>
                    <w:rPr>
                      <w:rFonts w:hint="eastAsia"/>
                      <w:color w:val="auto"/>
                    </w:rPr>
                    <w:t>2044</w:t>
                  </w:r>
                </w:p>
              </w:tc>
              <w:tc>
                <w:tcPr>
                  <w:tcW w:w="1161" w:type="dxa"/>
                  <w:vAlign w:val="center"/>
                </w:tcPr>
                <w:p w14:paraId="110DA70F">
                  <w:pPr>
                    <w:pStyle w:val="94"/>
                    <w:rPr>
                      <w:color w:val="auto"/>
                    </w:rPr>
                  </w:pPr>
                  <w:r>
                    <w:rPr>
                      <w:rFonts w:hint="eastAsia"/>
                      <w:color w:val="auto"/>
                    </w:rPr>
                    <w:t>马家沟组</w:t>
                  </w:r>
                </w:p>
              </w:tc>
            </w:tr>
            <w:tr w14:paraId="7970C0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684" w:type="dxa"/>
                  <w:noWrap/>
                  <w:vAlign w:val="center"/>
                </w:tcPr>
                <w:p w14:paraId="383FC243">
                  <w:pPr>
                    <w:pStyle w:val="94"/>
                    <w:rPr>
                      <w:color w:val="auto"/>
                    </w:rPr>
                  </w:pPr>
                  <w:r>
                    <w:rPr>
                      <w:rFonts w:hint="eastAsia"/>
                      <w:color w:val="auto"/>
                    </w:rPr>
                    <w:t>4</w:t>
                  </w:r>
                </w:p>
              </w:tc>
              <w:tc>
                <w:tcPr>
                  <w:tcW w:w="1164" w:type="dxa"/>
                  <w:noWrap/>
                  <w:vAlign w:val="center"/>
                </w:tcPr>
                <w:p w14:paraId="010C59EA">
                  <w:pPr>
                    <w:pStyle w:val="94"/>
                    <w:rPr>
                      <w:color w:val="auto"/>
                    </w:rPr>
                  </w:pPr>
                  <w:r>
                    <w:rPr>
                      <w:rFonts w:hint="eastAsia"/>
                      <w:color w:val="auto"/>
                    </w:rPr>
                    <w:t>LXDG-13</w:t>
                  </w:r>
                </w:p>
              </w:tc>
              <w:tc>
                <w:tcPr>
                  <w:tcW w:w="1609" w:type="dxa"/>
                  <w:noWrap/>
                  <w:vAlign w:val="center"/>
                </w:tcPr>
                <w:p w14:paraId="51E203C1">
                  <w:pPr>
                    <w:pStyle w:val="94"/>
                    <w:rPr>
                      <w:color w:val="auto"/>
                      <w:sz w:val="20"/>
                      <w:szCs w:val="20"/>
                    </w:rPr>
                  </w:pPr>
                  <w:r>
                    <w:rPr>
                      <w:rFonts w:hint="eastAsia"/>
                      <w:color w:val="auto"/>
                      <w:sz w:val="20"/>
                      <w:szCs w:val="20"/>
                    </w:rPr>
                    <w:t xml:space="preserve">4258901.37 </w:t>
                  </w:r>
                </w:p>
              </w:tc>
              <w:tc>
                <w:tcPr>
                  <w:tcW w:w="1725" w:type="dxa"/>
                  <w:noWrap/>
                  <w:vAlign w:val="center"/>
                </w:tcPr>
                <w:p w14:paraId="66B6E139">
                  <w:pPr>
                    <w:pStyle w:val="94"/>
                    <w:rPr>
                      <w:color w:val="auto"/>
                      <w:sz w:val="20"/>
                      <w:szCs w:val="20"/>
                    </w:rPr>
                  </w:pPr>
                  <w:r>
                    <w:rPr>
                      <w:rFonts w:hint="eastAsia"/>
                      <w:color w:val="auto"/>
                      <w:sz w:val="20"/>
                      <w:szCs w:val="20"/>
                    </w:rPr>
                    <w:t xml:space="preserve">19492134.60 </w:t>
                  </w:r>
                </w:p>
              </w:tc>
              <w:tc>
                <w:tcPr>
                  <w:tcW w:w="1116" w:type="dxa"/>
                  <w:noWrap/>
                  <w:vAlign w:val="center"/>
                </w:tcPr>
                <w:p w14:paraId="10EB3268">
                  <w:pPr>
                    <w:pStyle w:val="94"/>
                    <w:rPr>
                      <w:color w:val="auto"/>
                    </w:rPr>
                  </w:pPr>
                  <w:r>
                    <w:rPr>
                      <w:rFonts w:hint="eastAsia"/>
                      <w:color w:val="auto"/>
                    </w:rPr>
                    <w:t>直井</w:t>
                  </w:r>
                </w:p>
              </w:tc>
              <w:tc>
                <w:tcPr>
                  <w:tcW w:w="999" w:type="dxa"/>
                  <w:noWrap/>
                  <w:vAlign w:val="center"/>
                </w:tcPr>
                <w:p w14:paraId="29F98C6F">
                  <w:pPr>
                    <w:pStyle w:val="94"/>
                    <w:rPr>
                      <w:color w:val="auto"/>
                    </w:rPr>
                  </w:pPr>
                  <w:r>
                    <w:rPr>
                      <w:rFonts w:hint="eastAsia"/>
                      <w:color w:val="auto"/>
                    </w:rPr>
                    <w:t>1946</w:t>
                  </w:r>
                </w:p>
              </w:tc>
              <w:tc>
                <w:tcPr>
                  <w:tcW w:w="1161" w:type="dxa"/>
                  <w:vAlign w:val="center"/>
                </w:tcPr>
                <w:p w14:paraId="658D5131">
                  <w:pPr>
                    <w:pStyle w:val="94"/>
                    <w:rPr>
                      <w:color w:val="auto"/>
                    </w:rPr>
                  </w:pPr>
                  <w:r>
                    <w:rPr>
                      <w:rFonts w:hint="eastAsia"/>
                      <w:color w:val="auto"/>
                    </w:rPr>
                    <w:t>马家沟组</w:t>
                  </w:r>
                </w:p>
              </w:tc>
            </w:tr>
            <w:tr w14:paraId="239F95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684" w:type="dxa"/>
                  <w:noWrap/>
                  <w:vAlign w:val="center"/>
                </w:tcPr>
                <w:p w14:paraId="75A75004">
                  <w:pPr>
                    <w:pStyle w:val="94"/>
                    <w:rPr>
                      <w:color w:val="auto"/>
                    </w:rPr>
                  </w:pPr>
                  <w:r>
                    <w:rPr>
                      <w:rFonts w:hint="eastAsia"/>
                      <w:color w:val="auto"/>
                    </w:rPr>
                    <w:t>5</w:t>
                  </w:r>
                </w:p>
              </w:tc>
              <w:tc>
                <w:tcPr>
                  <w:tcW w:w="1164" w:type="dxa"/>
                  <w:noWrap/>
                  <w:vAlign w:val="center"/>
                </w:tcPr>
                <w:p w14:paraId="2EB5A191">
                  <w:pPr>
                    <w:pStyle w:val="94"/>
                    <w:rPr>
                      <w:color w:val="auto"/>
                    </w:rPr>
                  </w:pPr>
                  <w:r>
                    <w:rPr>
                      <w:rFonts w:hint="eastAsia"/>
                      <w:color w:val="auto"/>
                    </w:rPr>
                    <w:t>LXDG-14</w:t>
                  </w:r>
                </w:p>
              </w:tc>
              <w:tc>
                <w:tcPr>
                  <w:tcW w:w="1609" w:type="dxa"/>
                  <w:noWrap/>
                  <w:vAlign w:val="center"/>
                </w:tcPr>
                <w:p w14:paraId="0903F1C0">
                  <w:pPr>
                    <w:pStyle w:val="94"/>
                    <w:rPr>
                      <w:color w:val="auto"/>
                      <w:sz w:val="20"/>
                      <w:szCs w:val="20"/>
                    </w:rPr>
                  </w:pPr>
                  <w:r>
                    <w:rPr>
                      <w:rFonts w:hint="eastAsia"/>
                      <w:color w:val="auto"/>
                      <w:sz w:val="20"/>
                      <w:szCs w:val="20"/>
                    </w:rPr>
                    <w:t xml:space="preserve">4255992.4129 </w:t>
                  </w:r>
                </w:p>
              </w:tc>
              <w:tc>
                <w:tcPr>
                  <w:tcW w:w="1725" w:type="dxa"/>
                  <w:noWrap/>
                  <w:vAlign w:val="center"/>
                </w:tcPr>
                <w:p w14:paraId="775DFD75">
                  <w:pPr>
                    <w:pStyle w:val="94"/>
                    <w:rPr>
                      <w:color w:val="auto"/>
                      <w:sz w:val="20"/>
                      <w:szCs w:val="20"/>
                    </w:rPr>
                  </w:pPr>
                  <w:r>
                    <w:rPr>
                      <w:rFonts w:hint="eastAsia"/>
                      <w:color w:val="auto"/>
                      <w:sz w:val="20"/>
                      <w:szCs w:val="20"/>
                    </w:rPr>
                    <w:t xml:space="preserve">19488905.21 </w:t>
                  </w:r>
                </w:p>
              </w:tc>
              <w:tc>
                <w:tcPr>
                  <w:tcW w:w="1116" w:type="dxa"/>
                  <w:noWrap/>
                  <w:vAlign w:val="center"/>
                </w:tcPr>
                <w:p w14:paraId="6BD15FDF">
                  <w:pPr>
                    <w:pStyle w:val="94"/>
                    <w:rPr>
                      <w:color w:val="auto"/>
                    </w:rPr>
                  </w:pPr>
                  <w:r>
                    <w:rPr>
                      <w:rFonts w:hint="eastAsia"/>
                      <w:color w:val="auto"/>
                    </w:rPr>
                    <w:t>定向井</w:t>
                  </w:r>
                </w:p>
              </w:tc>
              <w:tc>
                <w:tcPr>
                  <w:tcW w:w="999" w:type="dxa"/>
                  <w:noWrap/>
                  <w:vAlign w:val="center"/>
                </w:tcPr>
                <w:p w14:paraId="5A57DD47">
                  <w:pPr>
                    <w:pStyle w:val="94"/>
                    <w:rPr>
                      <w:color w:val="auto"/>
                    </w:rPr>
                  </w:pPr>
                  <w:r>
                    <w:rPr>
                      <w:rFonts w:hint="eastAsia"/>
                      <w:color w:val="auto"/>
                    </w:rPr>
                    <w:t>1916</w:t>
                  </w:r>
                </w:p>
              </w:tc>
              <w:tc>
                <w:tcPr>
                  <w:tcW w:w="1161" w:type="dxa"/>
                  <w:vAlign w:val="center"/>
                </w:tcPr>
                <w:p w14:paraId="77D0E2F4">
                  <w:pPr>
                    <w:pStyle w:val="94"/>
                    <w:rPr>
                      <w:color w:val="auto"/>
                    </w:rPr>
                  </w:pPr>
                  <w:r>
                    <w:rPr>
                      <w:rFonts w:hint="eastAsia"/>
                      <w:color w:val="auto"/>
                    </w:rPr>
                    <w:t>马家沟组</w:t>
                  </w:r>
                </w:p>
              </w:tc>
            </w:tr>
            <w:tr w14:paraId="32A244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684" w:type="dxa"/>
                  <w:noWrap/>
                  <w:vAlign w:val="center"/>
                </w:tcPr>
                <w:p w14:paraId="3C3C76BE">
                  <w:pPr>
                    <w:pStyle w:val="94"/>
                    <w:rPr>
                      <w:color w:val="auto"/>
                    </w:rPr>
                  </w:pPr>
                  <w:r>
                    <w:rPr>
                      <w:rFonts w:hint="eastAsia"/>
                      <w:color w:val="auto"/>
                    </w:rPr>
                    <w:t>6</w:t>
                  </w:r>
                </w:p>
              </w:tc>
              <w:tc>
                <w:tcPr>
                  <w:tcW w:w="1164" w:type="dxa"/>
                  <w:noWrap/>
                  <w:vAlign w:val="center"/>
                </w:tcPr>
                <w:p w14:paraId="76A41968">
                  <w:pPr>
                    <w:pStyle w:val="94"/>
                    <w:rPr>
                      <w:color w:val="auto"/>
                    </w:rPr>
                  </w:pPr>
                  <w:r>
                    <w:rPr>
                      <w:rFonts w:hint="eastAsia"/>
                      <w:color w:val="auto"/>
                    </w:rPr>
                    <w:t>LXDG-15</w:t>
                  </w:r>
                </w:p>
              </w:tc>
              <w:tc>
                <w:tcPr>
                  <w:tcW w:w="1609" w:type="dxa"/>
                  <w:noWrap/>
                  <w:vAlign w:val="center"/>
                </w:tcPr>
                <w:p w14:paraId="106FA870">
                  <w:pPr>
                    <w:pStyle w:val="94"/>
                    <w:rPr>
                      <w:color w:val="auto"/>
                    </w:rPr>
                  </w:pPr>
                  <w:r>
                    <w:rPr>
                      <w:rFonts w:hint="eastAsia"/>
                      <w:color w:val="auto"/>
                    </w:rPr>
                    <w:t>4257438.55</w:t>
                  </w:r>
                </w:p>
              </w:tc>
              <w:tc>
                <w:tcPr>
                  <w:tcW w:w="1725" w:type="dxa"/>
                  <w:noWrap/>
                  <w:vAlign w:val="center"/>
                </w:tcPr>
                <w:p w14:paraId="269D9BB1">
                  <w:pPr>
                    <w:pStyle w:val="94"/>
                    <w:rPr>
                      <w:color w:val="auto"/>
                    </w:rPr>
                  </w:pPr>
                  <w:r>
                    <w:rPr>
                      <w:rFonts w:hint="eastAsia"/>
                      <w:color w:val="auto"/>
                    </w:rPr>
                    <w:t>19490006.08</w:t>
                  </w:r>
                </w:p>
              </w:tc>
              <w:tc>
                <w:tcPr>
                  <w:tcW w:w="1116" w:type="dxa"/>
                  <w:noWrap/>
                  <w:vAlign w:val="center"/>
                </w:tcPr>
                <w:p w14:paraId="076AA853">
                  <w:pPr>
                    <w:pStyle w:val="94"/>
                    <w:rPr>
                      <w:color w:val="auto"/>
                    </w:rPr>
                  </w:pPr>
                  <w:r>
                    <w:rPr>
                      <w:rFonts w:hint="eastAsia"/>
                      <w:color w:val="auto"/>
                    </w:rPr>
                    <w:t>定向井</w:t>
                  </w:r>
                </w:p>
              </w:tc>
              <w:tc>
                <w:tcPr>
                  <w:tcW w:w="999" w:type="dxa"/>
                  <w:noWrap/>
                  <w:vAlign w:val="center"/>
                </w:tcPr>
                <w:p w14:paraId="21C83585">
                  <w:pPr>
                    <w:pStyle w:val="94"/>
                    <w:rPr>
                      <w:color w:val="auto"/>
                    </w:rPr>
                  </w:pPr>
                  <w:r>
                    <w:rPr>
                      <w:rFonts w:hint="eastAsia"/>
                      <w:color w:val="auto"/>
                    </w:rPr>
                    <w:t>1896</w:t>
                  </w:r>
                </w:p>
              </w:tc>
              <w:tc>
                <w:tcPr>
                  <w:tcW w:w="1161" w:type="dxa"/>
                  <w:vAlign w:val="center"/>
                </w:tcPr>
                <w:p w14:paraId="18BA0018">
                  <w:pPr>
                    <w:pStyle w:val="94"/>
                    <w:rPr>
                      <w:color w:val="auto"/>
                    </w:rPr>
                  </w:pPr>
                  <w:r>
                    <w:rPr>
                      <w:rFonts w:hint="eastAsia"/>
                      <w:color w:val="auto"/>
                    </w:rPr>
                    <w:t>马家沟组</w:t>
                  </w:r>
                </w:p>
              </w:tc>
            </w:tr>
            <w:tr w14:paraId="0D7165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684" w:type="dxa"/>
                  <w:noWrap/>
                  <w:vAlign w:val="center"/>
                </w:tcPr>
                <w:p w14:paraId="16383883">
                  <w:pPr>
                    <w:pStyle w:val="94"/>
                    <w:rPr>
                      <w:color w:val="auto"/>
                    </w:rPr>
                  </w:pPr>
                  <w:r>
                    <w:rPr>
                      <w:rFonts w:hint="eastAsia"/>
                      <w:color w:val="auto"/>
                    </w:rPr>
                    <w:t>7</w:t>
                  </w:r>
                </w:p>
              </w:tc>
              <w:tc>
                <w:tcPr>
                  <w:tcW w:w="1164" w:type="dxa"/>
                  <w:noWrap/>
                  <w:vAlign w:val="center"/>
                </w:tcPr>
                <w:p w14:paraId="05DCC0DA">
                  <w:pPr>
                    <w:pStyle w:val="94"/>
                    <w:rPr>
                      <w:color w:val="auto"/>
                    </w:rPr>
                  </w:pPr>
                  <w:r>
                    <w:rPr>
                      <w:rFonts w:hint="eastAsia"/>
                      <w:color w:val="auto"/>
                    </w:rPr>
                    <w:t>LXDG-16</w:t>
                  </w:r>
                </w:p>
              </w:tc>
              <w:tc>
                <w:tcPr>
                  <w:tcW w:w="1609" w:type="dxa"/>
                  <w:noWrap/>
                  <w:vAlign w:val="center"/>
                </w:tcPr>
                <w:p w14:paraId="00DF14B6">
                  <w:pPr>
                    <w:pStyle w:val="94"/>
                    <w:rPr>
                      <w:color w:val="auto"/>
                      <w:sz w:val="20"/>
                      <w:szCs w:val="20"/>
                    </w:rPr>
                  </w:pPr>
                  <w:r>
                    <w:rPr>
                      <w:rFonts w:hint="eastAsia"/>
                      <w:color w:val="auto"/>
                      <w:sz w:val="20"/>
                      <w:szCs w:val="20"/>
                    </w:rPr>
                    <w:t xml:space="preserve">4256987.9971 </w:t>
                  </w:r>
                </w:p>
              </w:tc>
              <w:tc>
                <w:tcPr>
                  <w:tcW w:w="1725" w:type="dxa"/>
                  <w:noWrap/>
                  <w:vAlign w:val="center"/>
                </w:tcPr>
                <w:p w14:paraId="092A2F5C">
                  <w:pPr>
                    <w:pStyle w:val="94"/>
                    <w:rPr>
                      <w:color w:val="auto"/>
                      <w:sz w:val="20"/>
                      <w:szCs w:val="20"/>
                    </w:rPr>
                  </w:pPr>
                  <w:r>
                    <w:rPr>
                      <w:rFonts w:hint="eastAsia"/>
                      <w:color w:val="auto"/>
                      <w:sz w:val="20"/>
                      <w:szCs w:val="20"/>
                    </w:rPr>
                    <w:t xml:space="preserve">19492401.46 </w:t>
                  </w:r>
                </w:p>
              </w:tc>
              <w:tc>
                <w:tcPr>
                  <w:tcW w:w="1116" w:type="dxa"/>
                  <w:noWrap/>
                  <w:vAlign w:val="center"/>
                </w:tcPr>
                <w:p w14:paraId="32679A77">
                  <w:pPr>
                    <w:pStyle w:val="94"/>
                    <w:rPr>
                      <w:color w:val="auto"/>
                    </w:rPr>
                  </w:pPr>
                  <w:r>
                    <w:rPr>
                      <w:rFonts w:hint="eastAsia"/>
                      <w:color w:val="auto"/>
                    </w:rPr>
                    <w:t>定向井</w:t>
                  </w:r>
                </w:p>
              </w:tc>
              <w:tc>
                <w:tcPr>
                  <w:tcW w:w="999" w:type="dxa"/>
                  <w:noWrap/>
                  <w:vAlign w:val="center"/>
                </w:tcPr>
                <w:p w14:paraId="4B9D957E">
                  <w:pPr>
                    <w:pStyle w:val="94"/>
                    <w:rPr>
                      <w:color w:val="auto"/>
                    </w:rPr>
                  </w:pPr>
                  <w:r>
                    <w:rPr>
                      <w:rFonts w:hint="eastAsia"/>
                      <w:color w:val="auto"/>
                    </w:rPr>
                    <w:t>1906</w:t>
                  </w:r>
                </w:p>
              </w:tc>
              <w:tc>
                <w:tcPr>
                  <w:tcW w:w="1161" w:type="dxa"/>
                  <w:vAlign w:val="center"/>
                </w:tcPr>
                <w:p w14:paraId="777CE530">
                  <w:pPr>
                    <w:pStyle w:val="94"/>
                    <w:rPr>
                      <w:color w:val="auto"/>
                    </w:rPr>
                  </w:pPr>
                  <w:r>
                    <w:rPr>
                      <w:rFonts w:hint="eastAsia"/>
                      <w:color w:val="auto"/>
                    </w:rPr>
                    <w:t>马家沟组</w:t>
                  </w:r>
                </w:p>
              </w:tc>
            </w:tr>
            <w:tr w14:paraId="68F5D7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684" w:type="dxa"/>
                  <w:noWrap/>
                  <w:vAlign w:val="center"/>
                </w:tcPr>
                <w:p w14:paraId="525D99D7">
                  <w:pPr>
                    <w:pStyle w:val="94"/>
                    <w:rPr>
                      <w:color w:val="auto"/>
                    </w:rPr>
                  </w:pPr>
                  <w:r>
                    <w:rPr>
                      <w:rFonts w:hint="eastAsia"/>
                      <w:color w:val="auto"/>
                    </w:rPr>
                    <w:t>8</w:t>
                  </w:r>
                </w:p>
              </w:tc>
              <w:tc>
                <w:tcPr>
                  <w:tcW w:w="1164" w:type="dxa"/>
                  <w:noWrap/>
                  <w:vAlign w:val="center"/>
                </w:tcPr>
                <w:p w14:paraId="6BE39CAD">
                  <w:pPr>
                    <w:pStyle w:val="94"/>
                    <w:rPr>
                      <w:color w:val="auto"/>
                    </w:rPr>
                  </w:pPr>
                  <w:r>
                    <w:rPr>
                      <w:rFonts w:hint="eastAsia"/>
                      <w:color w:val="auto"/>
                    </w:rPr>
                    <w:t>LXDG-17</w:t>
                  </w:r>
                </w:p>
              </w:tc>
              <w:tc>
                <w:tcPr>
                  <w:tcW w:w="1609" w:type="dxa"/>
                  <w:noWrap/>
                  <w:vAlign w:val="center"/>
                </w:tcPr>
                <w:p w14:paraId="15FE954E">
                  <w:pPr>
                    <w:pStyle w:val="94"/>
                    <w:rPr>
                      <w:color w:val="auto"/>
                      <w:sz w:val="20"/>
                      <w:szCs w:val="20"/>
                    </w:rPr>
                  </w:pPr>
                  <w:r>
                    <w:rPr>
                      <w:rFonts w:hint="eastAsia"/>
                      <w:color w:val="auto"/>
                      <w:sz w:val="20"/>
                      <w:szCs w:val="20"/>
                    </w:rPr>
                    <w:t xml:space="preserve">4253191.3689 </w:t>
                  </w:r>
                </w:p>
              </w:tc>
              <w:tc>
                <w:tcPr>
                  <w:tcW w:w="1725" w:type="dxa"/>
                  <w:noWrap/>
                  <w:vAlign w:val="center"/>
                </w:tcPr>
                <w:p w14:paraId="62B29FEF">
                  <w:pPr>
                    <w:pStyle w:val="94"/>
                    <w:rPr>
                      <w:color w:val="auto"/>
                      <w:sz w:val="20"/>
                      <w:szCs w:val="20"/>
                    </w:rPr>
                  </w:pPr>
                  <w:r>
                    <w:rPr>
                      <w:rFonts w:hint="eastAsia"/>
                      <w:color w:val="auto"/>
                      <w:sz w:val="20"/>
                      <w:szCs w:val="20"/>
                    </w:rPr>
                    <w:t xml:space="preserve">19493171.89 </w:t>
                  </w:r>
                </w:p>
              </w:tc>
              <w:tc>
                <w:tcPr>
                  <w:tcW w:w="1116" w:type="dxa"/>
                  <w:noWrap/>
                  <w:vAlign w:val="center"/>
                </w:tcPr>
                <w:p w14:paraId="79AE826A">
                  <w:pPr>
                    <w:pStyle w:val="94"/>
                    <w:rPr>
                      <w:color w:val="auto"/>
                    </w:rPr>
                  </w:pPr>
                  <w:r>
                    <w:rPr>
                      <w:rFonts w:hint="eastAsia"/>
                      <w:color w:val="auto"/>
                    </w:rPr>
                    <w:t>定向井</w:t>
                  </w:r>
                </w:p>
              </w:tc>
              <w:tc>
                <w:tcPr>
                  <w:tcW w:w="999" w:type="dxa"/>
                  <w:noWrap/>
                  <w:vAlign w:val="center"/>
                </w:tcPr>
                <w:p w14:paraId="36CE209B">
                  <w:pPr>
                    <w:pStyle w:val="94"/>
                    <w:rPr>
                      <w:color w:val="auto"/>
                    </w:rPr>
                  </w:pPr>
                  <w:r>
                    <w:rPr>
                      <w:rFonts w:hint="eastAsia"/>
                      <w:color w:val="auto"/>
                    </w:rPr>
                    <w:t>1906</w:t>
                  </w:r>
                </w:p>
              </w:tc>
              <w:tc>
                <w:tcPr>
                  <w:tcW w:w="1161" w:type="dxa"/>
                  <w:vAlign w:val="center"/>
                </w:tcPr>
                <w:p w14:paraId="1CC5BD24">
                  <w:pPr>
                    <w:pStyle w:val="94"/>
                    <w:rPr>
                      <w:color w:val="auto"/>
                    </w:rPr>
                  </w:pPr>
                  <w:r>
                    <w:rPr>
                      <w:rFonts w:hint="eastAsia"/>
                      <w:color w:val="auto"/>
                    </w:rPr>
                    <w:t>马家沟组</w:t>
                  </w:r>
                </w:p>
              </w:tc>
            </w:tr>
            <w:tr w14:paraId="436054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684" w:type="dxa"/>
                  <w:noWrap/>
                  <w:vAlign w:val="center"/>
                </w:tcPr>
                <w:p w14:paraId="3A6AAF97">
                  <w:pPr>
                    <w:pStyle w:val="94"/>
                    <w:rPr>
                      <w:color w:val="auto"/>
                    </w:rPr>
                  </w:pPr>
                  <w:r>
                    <w:rPr>
                      <w:rFonts w:hint="eastAsia"/>
                      <w:color w:val="auto"/>
                    </w:rPr>
                    <w:t>9</w:t>
                  </w:r>
                </w:p>
              </w:tc>
              <w:tc>
                <w:tcPr>
                  <w:tcW w:w="1164" w:type="dxa"/>
                  <w:noWrap/>
                  <w:vAlign w:val="center"/>
                </w:tcPr>
                <w:p w14:paraId="29DF08AD">
                  <w:pPr>
                    <w:pStyle w:val="94"/>
                    <w:rPr>
                      <w:color w:val="auto"/>
                    </w:rPr>
                  </w:pPr>
                  <w:r>
                    <w:rPr>
                      <w:rFonts w:hint="eastAsia"/>
                      <w:color w:val="auto"/>
                    </w:rPr>
                    <w:t>LXD12-7</w:t>
                  </w:r>
                </w:p>
              </w:tc>
              <w:tc>
                <w:tcPr>
                  <w:tcW w:w="1609" w:type="dxa"/>
                  <w:noWrap/>
                  <w:vAlign w:val="center"/>
                </w:tcPr>
                <w:p w14:paraId="6C5CA000">
                  <w:pPr>
                    <w:pStyle w:val="94"/>
                    <w:rPr>
                      <w:color w:val="auto"/>
                    </w:rPr>
                  </w:pPr>
                  <w:r>
                    <w:rPr>
                      <w:rFonts w:hint="eastAsia"/>
                      <w:color w:val="auto"/>
                    </w:rPr>
                    <w:t>4256188.047</w:t>
                  </w:r>
                </w:p>
              </w:tc>
              <w:tc>
                <w:tcPr>
                  <w:tcW w:w="1725" w:type="dxa"/>
                  <w:noWrap/>
                  <w:vAlign w:val="center"/>
                </w:tcPr>
                <w:p w14:paraId="387300F5">
                  <w:pPr>
                    <w:pStyle w:val="94"/>
                    <w:rPr>
                      <w:color w:val="auto"/>
                    </w:rPr>
                  </w:pPr>
                  <w:r>
                    <w:rPr>
                      <w:rFonts w:hint="eastAsia"/>
                      <w:color w:val="auto"/>
                    </w:rPr>
                    <w:t>19482623.33</w:t>
                  </w:r>
                </w:p>
              </w:tc>
              <w:tc>
                <w:tcPr>
                  <w:tcW w:w="1116" w:type="dxa"/>
                  <w:noWrap/>
                  <w:vAlign w:val="center"/>
                </w:tcPr>
                <w:p w14:paraId="2EF892A4">
                  <w:pPr>
                    <w:pStyle w:val="94"/>
                    <w:rPr>
                      <w:color w:val="auto"/>
                    </w:rPr>
                  </w:pPr>
                  <w:r>
                    <w:rPr>
                      <w:rFonts w:hint="eastAsia"/>
                      <w:color w:val="auto"/>
                    </w:rPr>
                    <w:t>定向井</w:t>
                  </w:r>
                </w:p>
              </w:tc>
              <w:tc>
                <w:tcPr>
                  <w:tcW w:w="999" w:type="dxa"/>
                  <w:noWrap/>
                  <w:vAlign w:val="center"/>
                </w:tcPr>
                <w:p w14:paraId="111E7D0A">
                  <w:pPr>
                    <w:pStyle w:val="94"/>
                    <w:rPr>
                      <w:color w:val="auto"/>
                    </w:rPr>
                  </w:pPr>
                  <w:r>
                    <w:rPr>
                      <w:rFonts w:hint="eastAsia"/>
                      <w:color w:val="auto"/>
                    </w:rPr>
                    <w:t>1950</w:t>
                  </w:r>
                </w:p>
              </w:tc>
              <w:tc>
                <w:tcPr>
                  <w:tcW w:w="1161" w:type="dxa"/>
                  <w:vAlign w:val="center"/>
                </w:tcPr>
                <w:p w14:paraId="59AFABD8">
                  <w:pPr>
                    <w:pStyle w:val="94"/>
                    <w:rPr>
                      <w:color w:val="auto"/>
                    </w:rPr>
                  </w:pPr>
                  <w:r>
                    <w:rPr>
                      <w:rFonts w:hint="eastAsia"/>
                      <w:color w:val="auto"/>
                    </w:rPr>
                    <w:t>马家沟组</w:t>
                  </w:r>
                </w:p>
              </w:tc>
            </w:tr>
            <w:tr w14:paraId="34B3A1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684" w:type="dxa"/>
                  <w:noWrap/>
                  <w:vAlign w:val="center"/>
                </w:tcPr>
                <w:p w14:paraId="619DA7E5">
                  <w:pPr>
                    <w:pStyle w:val="94"/>
                    <w:rPr>
                      <w:color w:val="auto"/>
                    </w:rPr>
                  </w:pPr>
                  <w:r>
                    <w:rPr>
                      <w:rFonts w:hint="eastAsia"/>
                      <w:color w:val="auto"/>
                    </w:rPr>
                    <w:t>10</w:t>
                  </w:r>
                </w:p>
              </w:tc>
              <w:tc>
                <w:tcPr>
                  <w:tcW w:w="1164" w:type="dxa"/>
                  <w:noWrap/>
                  <w:vAlign w:val="center"/>
                </w:tcPr>
                <w:p w14:paraId="783EF2BA">
                  <w:pPr>
                    <w:pStyle w:val="94"/>
                    <w:rPr>
                      <w:color w:val="auto"/>
                    </w:rPr>
                  </w:pPr>
                  <w:r>
                    <w:rPr>
                      <w:rFonts w:hint="eastAsia"/>
                      <w:color w:val="auto"/>
                    </w:rPr>
                    <w:t>LXD12-8</w:t>
                  </w:r>
                </w:p>
              </w:tc>
              <w:tc>
                <w:tcPr>
                  <w:tcW w:w="1609" w:type="dxa"/>
                  <w:noWrap/>
                  <w:vAlign w:val="center"/>
                </w:tcPr>
                <w:p w14:paraId="21F2B10C">
                  <w:pPr>
                    <w:pStyle w:val="94"/>
                    <w:rPr>
                      <w:color w:val="auto"/>
                    </w:rPr>
                  </w:pPr>
                  <w:r>
                    <w:rPr>
                      <w:rFonts w:hint="eastAsia"/>
                      <w:color w:val="auto"/>
                    </w:rPr>
                    <w:t>4255836.089</w:t>
                  </w:r>
                </w:p>
              </w:tc>
              <w:tc>
                <w:tcPr>
                  <w:tcW w:w="1725" w:type="dxa"/>
                  <w:noWrap/>
                  <w:vAlign w:val="center"/>
                </w:tcPr>
                <w:p w14:paraId="767EED5A">
                  <w:pPr>
                    <w:pStyle w:val="94"/>
                    <w:rPr>
                      <w:color w:val="auto"/>
                    </w:rPr>
                  </w:pPr>
                  <w:r>
                    <w:rPr>
                      <w:rFonts w:hint="eastAsia"/>
                      <w:color w:val="auto"/>
                    </w:rPr>
                    <w:t>19487852.51</w:t>
                  </w:r>
                </w:p>
              </w:tc>
              <w:tc>
                <w:tcPr>
                  <w:tcW w:w="1116" w:type="dxa"/>
                  <w:noWrap/>
                  <w:vAlign w:val="center"/>
                </w:tcPr>
                <w:p w14:paraId="7E648748">
                  <w:pPr>
                    <w:pStyle w:val="94"/>
                    <w:rPr>
                      <w:color w:val="auto"/>
                    </w:rPr>
                  </w:pPr>
                  <w:r>
                    <w:rPr>
                      <w:rFonts w:hint="eastAsia"/>
                      <w:color w:val="auto"/>
                    </w:rPr>
                    <w:t>定向井</w:t>
                  </w:r>
                </w:p>
              </w:tc>
              <w:tc>
                <w:tcPr>
                  <w:tcW w:w="999" w:type="dxa"/>
                  <w:noWrap/>
                  <w:vAlign w:val="center"/>
                </w:tcPr>
                <w:p w14:paraId="71A6E371">
                  <w:pPr>
                    <w:pStyle w:val="94"/>
                    <w:rPr>
                      <w:color w:val="auto"/>
                    </w:rPr>
                  </w:pPr>
                  <w:r>
                    <w:rPr>
                      <w:rFonts w:hint="eastAsia"/>
                      <w:color w:val="auto"/>
                    </w:rPr>
                    <w:t>1937.3</w:t>
                  </w:r>
                </w:p>
              </w:tc>
              <w:tc>
                <w:tcPr>
                  <w:tcW w:w="1161" w:type="dxa"/>
                  <w:vAlign w:val="center"/>
                </w:tcPr>
                <w:p w14:paraId="2A7063DB">
                  <w:pPr>
                    <w:pStyle w:val="94"/>
                    <w:rPr>
                      <w:color w:val="auto"/>
                    </w:rPr>
                  </w:pPr>
                  <w:r>
                    <w:rPr>
                      <w:rFonts w:hint="eastAsia"/>
                      <w:color w:val="auto"/>
                    </w:rPr>
                    <w:t>马家沟组</w:t>
                  </w:r>
                </w:p>
              </w:tc>
            </w:tr>
            <w:tr w14:paraId="4F2810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684" w:type="dxa"/>
                  <w:noWrap/>
                  <w:vAlign w:val="center"/>
                </w:tcPr>
                <w:p w14:paraId="6A477647">
                  <w:pPr>
                    <w:pStyle w:val="94"/>
                    <w:rPr>
                      <w:color w:val="auto"/>
                    </w:rPr>
                  </w:pPr>
                  <w:r>
                    <w:rPr>
                      <w:rFonts w:hint="eastAsia"/>
                      <w:color w:val="auto"/>
                    </w:rPr>
                    <w:t>11</w:t>
                  </w:r>
                </w:p>
              </w:tc>
              <w:tc>
                <w:tcPr>
                  <w:tcW w:w="1164" w:type="dxa"/>
                  <w:noWrap/>
                  <w:vAlign w:val="center"/>
                </w:tcPr>
                <w:p w14:paraId="52916645">
                  <w:pPr>
                    <w:pStyle w:val="94"/>
                    <w:rPr>
                      <w:color w:val="auto"/>
                    </w:rPr>
                  </w:pPr>
                  <w:r>
                    <w:rPr>
                      <w:rFonts w:hint="eastAsia"/>
                      <w:color w:val="auto"/>
                    </w:rPr>
                    <w:t>LXD8-11</w:t>
                  </w:r>
                </w:p>
              </w:tc>
              <w:tc>
                <w:tcPr>
                  <w:tcW w:w="1609" w:type="dxa"/>
                  <w:noWrap/>
                  <w:vAlign w:val="center"/>
                </w:tcPr>
                <w:p w14:paraId="2F0D5529">
                  <w:pPr>
                    <w:pStyle w:val="94"/>
                    <w:rPr>
                      <w:color w:val="auto"/>
                    </w:rPr>
                  </w:pPr>
                  <w:r>
                    <w:rPr>
                      <w:rFonts w:hint="eastAsia"/>
                      <w:color w:val="auto"/>
                    </w:rPr>
                    <w:t>4253287.691</w:t>
                  </w:r>
                </w:p>
              </w:tc>
              <w:tc>
                <w:tcPr>
                  <w:tcW w:w="1725" w:type="dxa"/>
                  <w:noWrap/>
                  <w:vAlign w:val="center"/>
                </w:tcPr>
                <w:p w14:paraId="2D88D58B">
                  <w:pPr>
                    <w:pStyle w:val="94"/>
                    <w:rPr>
                      <w:color w:val="auto"/>
                    </w:rPr>
                  </w:pPr>
                  <w:r>
                    <w:rPr>
                      <w:rFonts w:hint="eastAsia"/>
                      <w:color w:val="auto"/>
                    </w:rPr>
                    <w:t>19484635.21</w:t>
                  </w:r>
                </w:p>
              </w:tc>
              <w:tc>
                <w:tcPr>
                  <w:tcW w:w="1116" w:type="dxa"/>
                  <w:noWrap/>
                  <w:vAlign w:val="center"/>
                </w:tcPr>
                <w:p w14:paraId="7575128E">
                  <w:pPr>
                    <w:pStyle w:val="94"/>
                    <w:rPr>
                      <w:color w:val="auto"/>
                    </w:rPr>
                  </w:pPr>
                  <w:r>
                    <w:rPr>
                      <w:rFonts w:hint="eastAsia"/>
                      <w:color w:val="auto"/>
                    </w:rPr>
                    <w:t>定向井</w:t>
                  </w:r>
                </w:p>
              </w:tc>
              <w:tc>
                <w:tcPr>
                  <w:tcW w:w="999" w:type="dxa"/>
                  <w:noWrap/>
                  <w:vAlign w:val="center"/>
                </w:tcPr>
                <w:p w14:paraId="2755C25B">
                  <w:pPr>
                    <w:pStyle w:val="94"/>
                    <w:rPr>
                      <w:color w:val="auto"/>
                    </w:rPr>
                  </w:pPr>
                  <w:r>
                    <w:rPr>
                      <w:rFonts w:hint="eastAsia"/>
                      <w:color w:val="auto"/>
                    </w:rPr>
                    <w:t>1901</w:t>
                  </w:r>
                </w:p>
              </w:tc>
              <w:tc>
                <w:tcPr>
                  <w:tcW w:w="1161" w:type="dxa"/>
                  <w:vAlign w:val="center"/>
                </w:tcPr>
                <w:p w14:paraId="200DDEC6">
                  <w:pPr>
                    <w:pStyle w:val="94"/>
                    <w:rPr>
                      <w:color w:val="auto"/>
                    </w:rPr>
                  </w:pPr>
                  <w:r>
                    <w:rPr>
                      <w:rFonts w:hint="eastAsia"/>
                      <w:color w:val="auto"/>
                    </w:rPr>
                    <w:t>马家沟组</w:t>
                  </w:r>
                </w:p>
              </w:tc>
            </w:tr>
            <w:tr w14:paraId="6DA1EB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684" w:type="dxa"/>
                  <w:noWrap/>
                  <w:vAlign w:val="center"/>
                </w:tcPr>
                <w:p w14:paraId="4F1C04AA">
                  <w:pPr>
                    <w:pStyle w:val="94"/>
                    <w:rPr>
                      <w:color w:val="auto"/>
                    </w:rPr>
                  </w:pPr>
                  <w:r>
                    <w:rPr>
                      <w:rFonts w:hint="eastAsia"/>
                      <w:color w:val="auto"/>
                    </w:rPr>
                    <w:t>12</w:t>
                  </w:r>
                </w:p>
              </w:tc>
              <w:tc>
                <w:tcPr>
                  <w:tcW w:w="1164" w:type="dxa"/>
                  <w:noWrap/>
                  <w:vAlign w:val="center"/>
                </w:tcPr>
                <w:p w14:paraId="00EBDCCE">
                  <w:pPr>
                    <w:pStyle w:val="94"/>
                    <w:rPr>
                      <w:color w:val="auto"/>
                    </w:rPr>
                  </w:pPr>
                  <w:r>
                    <w:rPr>
                      <w:rFonts w:hint="eastAsia"/>
                      <w:color w:val="auto"/>
                    </w:rPr>
                    <w:t>LXD3-14</w:t>
                  </w:r>
                </w:p>
              </w:tc>
              <w:tc>
                <w:tcPr>
                  <w:tcW w:w="1609" w:type="dxa"/>
                  <w:noWrap/>
                  <w:vAlign w:val="center"/>
                </w:tcPr>
                <w:p w14:paraId="738285A7">
                  <w:pPr>
                    <w:pStyle w:val="94"/>
                    <w:rPr>
                      <w:color w:val="auto"/>
                    </w:rPr>
                  </w:pPr>
                  <w:r>
                    <w:rPr>
                      <w:rFonts w:hint="eastAsia"/>
                      <w:color w:val="auto"/>
                    </w:rPr>
                    <w:t>4250056.989</w:t>
                  </w:r>
                </w:p>
              </w:tc>
              <w:tc>
                <w:tcPr>
                  <w:tcW w:w="1725" w:type="dxa"/>
                  <w:noWrap/>
                  <w:vAlign w:val="center"/>
                </w:tcPr>
                <w:p w14:paraId="714E480F">
                  <w:pPr>
                    <w:pStyle w:val="94"/>
                    <w:rPr>
                      <w:color w:val="auto"/>
                    </w:rPr>
                  </w:pPr>
                  <w:r>
                    <w:rPr>
                      <w:rFonts w:hint="eastAsia"/>
                      <w:color w:val="auto"/>
                    </w:rPr>
                    <w:t>19486703.68</w:t>
                  </w:r>
                </w:p>
              </w:tc>
              <w:tc>
                <w:tcPr>
                  <w:tcW w:w="1116" w:type="dxa"/>
                  <w:noWrap/>
                  <w:vAlign w:val="center"/>
                </w:tcPr>
                <w:p w14:paraId="632F5E82">
                  <w:pPr>
                    <w:pStyle w:val="94"/>
                    <w:rPr>
                      <w:color w:val="auto"/>
                    </w:rPr>
                  </w:pPr>
                  <w:r>
                    <w:rPr>
                      <w:rFonts w:hint="eastAsia"/>
                      <w:color w:val="auto"/>
                    </w:rPr>
                    <w:t>定向井</w:t>
                  </w:r>
                </w:p>
              </w:tc>
              <w:tc>
                <w:tcPr>
                  <w:tcW w:w="999" w:type="dxa"/>
                  <w:noWrap/>
                  <w:vAlign w:val="center"/>
                </w:tcPr>
                <w:p w14:paraId="2B499332">
                  <w:pPr>
                    <w:pStyle w:val="94"/>
                    <w:rPr>
                      <w:color w:val="auto"/>
                    </w:rPr>
                  </w:pPr>
                  <w:r>
                    <w:rPr>
                      <w:rFonts w:hint="eastAsia"/>
                      <w:color w:val="auto"/>
                    </w:rPr>
                    <w:t>1652</w:t>
                  </w:r>
                </w:p>
              </w:tc>
              <w:tc>
                <w:tcPr>
                  <w:tcW w:w="1161" w:type="dxa"/>
                  <w:vAlign w:val="center"/>
                </w:tcPr>
                <w:p w14:paraId="40A0A334">
                  <w:pPr>
                    <w:pStyle w:val="94"/>
                    <w:rPr>
                      <w:color w:val="auto"/>
                    </w:rPr>
                  </w:pPr>
                  <w:r>
                    <w:rPr>
                      <w:rFonts w:hint="eastAsia"/>
                      <w:color w:val="auto"/>
                    </w:rPr>
                    <w:t>马家沟组</w:t>
                  </w:r>
                </w:p>
              </w:tc>
            </w:tr>
            <w:tr w14:paraId="2A6E3F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684" w:type="dxa"/>
                  <w:noWrap/>
                  <w:vAlign w:val="center"/>
                </w:tcPr>
                <w:p w14:paraId="77C1CC38">
                  <w:pPr>
                    <w:pStyle w:val="94"/>
                    <w:rPr>
                      <w:color w:val="auto"/>
                    </w:rPr>
                  </w:pPr>
                  <w:r>
                    <w:rPr>
                      <w:rFonts w:hint="eastAsia"/>
                      <w:color w:val="auto"/>
                    </w:rPr>
                    <w:t>13</w:t>
                  </w:r>
                </w:p>
              </w:tc>
              <w:tc>
                <w:tcPr>
                  <w:tcW w:w="1164" w:type="dxa"/>
                  <w:noWrap/>
                  <w:vAlign w:val="center"/>
                </w:tcPr>
                <w:p w14:paraId="60C4838B">
                  <w:pPr>
                    <w:pStyle w:val="94"/>
                    <w:rPr>
                      <w:color w:val="auto"/>
                    </w:rPr>
                  </w:pPr>
                  <w:r>
                    <w:rPr>
                      <w:rFonts w:hint="eastAsia"/>
                      <w:color w:val="auto"/>
                    </w:rPr>
                    <w:t>LXD9-23</w:t>
                  </w:r>
                </w:p>
              </w:tc>
              <w:tc>
                <w:tcPr>
                  <w:tcW w:w="1609" w:type="dxa"/>
                  <w:noWrap/>
                  <w:vAlign w:val="center"/>
                </w:tcPr>
                <w:p w14:paraId="6DF7476E">
                  <w:pPr>
                    <w:pStyle w:val="94"/>
                    <w:rPr>
                      <w:color w:val="auto"/>
                    </w:rPr>
                  </w:pPr>
                  <w:r>
                    <w:rPr>
                      <w:rFonts w:hint="eastAsia"/>
                      <w:color w:val="auto"/>
                    </w:rPr>
                    <w:t>4253748.913</w:t>
                  </w:r>
                </w:p>
              </w:tc>
              <w:tc>
                <w:tcPr>
                  <w:tcW w:w="1725" w:type="dxa"/>
                  <w:noWrap/>
                  <w:vAlign w:val="center"/>
                </w:tcPr>
                <w:p w14:paraId="427C424B">
                  <w:pPr>
                    <w:pStyle w:val="94"/>
                    <w:rPr>
                      <w:color w:val="auto"/>
                    </w:rPr>
                  </w:pPr>
                  <w:r>
                    <w:rPr>
                      <w:rFonts w:hint="eastAsia"/>
                      <w:color w:val="auto"/>
                    </w:rPr>
                    <w:t>19490757.81</w:t>
                  </w:r>
                </w:p>
              </w:tc>
              <w:tc>
                <w:tcPr>
                  <w:tcW w:w="1116" w:type="dxa"/>
                  <w:noWrap/>
                  <w:vAlign w:val="center"/>
                </w:tcPr>
                <w:p w14:paraId="3408107D">
                  <w:pPr>
                    <w:pStyle w:val="94"/>
                    <w:rPr>
                      <w:color w:val="auto"/>
                    </w:rPr>
                  </w:pPr>
                  <w:r>
                    <w:rPr>
                      <w:rFonts w:hint="eastAsia"/>
                      <w:color w:val="auto"/>
                    </w:rPr>
                    <w:t>定向井</w:t>
                  </w:r>
                </w:p>
              </w:tc>
              <w:tc>
                <w:tcPr>
                  <w:tcW w:w="999" w:type="dxa"/>
                  <w:noWrap/>
                  <w:vAlign w:val="center"/>
                </w:tcPr>
                <w:p w14:paraId="346D4BB3">
                  <w:pPr>
                    <w:pStyle w:val="94"/>
                    <w:rPr>
                      <w:color w:val="auto"/>
                    </w:rPr>
                  </w:pPr>
                  <w:r>
                    <w:rPr>
                      <w:rFonts w:hint="eastAsia"/>
                      <w:color w:val="auto"/>
                    </w:rPr>
                    <w:t>1980</w:t>
                  </w:r>
                </w:p>
              </w:tc>
              <w:tc>
                <w:tcPr>
                  <w:tcW w:w="1161" w:type="dxa"/>
                  <w:vAlign w:val="center"/>
                </w:tcPr>
                <w:p w14:paraId="5FFDE605">
                  <w:pPr>
                    <w:pStyle w:val="94"/>
                    <w:rPr>
                      <w:color w:val="auto"/>
                    </w:rPr>
                  </w:pPr>
                  <w:r>
                    <w:rPr>
                      <w:rFonts w:hint="eastAsia"/>
                      <w:color w:val="auto"/>
                    </w:rPr>
                    <w:t>山1</w:t>
                  </w:r>
                </w:p>
              </w:tc>
            </w:tr>
            <w:tr w14:paraId="5B3802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684" w:type="dxa"/>
                  <w:noWrap/>
                  <w:vAlign w:val="center"/>
                </w:tcPr>
                <w:p w14:paraId="628360B4">
                  <w:pPr>
                    <w:pStyle w:val="94"/>
                    <w:rPr>
                      <w:color w:val="auto"/>
                    </w:rPr>
                  </w:pPr>
                  <w:r>
                    <w:rPr>
                      <w:rFonts w:hint="eastAsia"/>
                      <w:color w:val="auto"/>
                    </w:rPr>
                    <w:t>14</w:t>
                  </w:r>
                </w:p>
              </w:tc>
              <w:tc>
                <w:tcPr>
                  <w:tcW w:w="1164" w:type="dxa"/>
                  <w:noWrap/>
                  <w:vAlign w:val="center"/>
                </w:tcPr>
                <w:p w14:paraId="6521D71E">
                  <w:pPr>
                    <w:pStyle w:val="94"/>
                    <w:rPr>
                      <w:color w:val="auto"/>
                    </w:rPr>
                  </w:pPr>
                  <w:r>
                    <w:rPr>
                      <w:rFonts w:hint="eastAsia"/>
                      <w:color w:val="auto"/>
                    </w:rPr>
                    <w:t>LXD12-21</w:t>
                  </w:r>
                </w:p>
              </w:tc>
              <w:tc>
                <w:tcPr>
                  <w:tcW w:w="1609" w:type="dxa"/>
                  <w:noWrap/>
                  <w:vAlign w:val="center"/>
                </w:tcPr>
                <w:p w14:paraId="5E469228">
                  <w:pPr>
                    <w:pStyle w:val="94"/>
                    <w:rPr>
                      <w:color w:val="auto"/>
                    </w:rPr>
                  </w:pPr>
                  <w:r>
                    <w:rPr>
                      <w:rFonts w:hint="eastAsia"/>
                      <w:color w:val="auto"/>
                    </w:rPr>
                    <w:t>4256060.824</w:t>
                  </w:r>
                </w:p>
              </w:tc>
              <w:tc>
                <w:tcPr>
                  <w:tcW w:w="1725" w:type="dxa"/>
                  <w:noWrap/>
                  <w:vAlign w:val="center"/>
                </w:tcPr>
                <w:p w14:paraId="5461F6D3">
                  <w:pPr>
                    <w:pStyle w:val="94"/>
                    <w:rPr>
                      <w:color w:val="auto"/>
                    </w:rPr>
                  </w:pPr>
                  <w:r>
                    <w:rPr>
                      <w:rFonts w:hint="eastAsia"/>
                      <w:color w:val="auto"/>
                    </w:rPr>
                    <w:t>19489968.06</w:t>
                  </w:r>
                </w:p>
              </w:tc>
              <w:tc>
                <w:tcPr>
                  <w:tcW w:w="1116" w:type="dxa"/>
                  <w:noWrap/>
                  <w:vAlign w:val="center"/>
                </w:tcPr>
                <w:p w14:paraId="4D46E4E1">
                  <w:pPr>
                    <w:pStyle w:val="94"/>
                    <w:rPr>
                      <w:color w:val="auto"/>
                    </w:rPr>
                  </w:pPr>
                  <w:r>
                    <w:rPr>
                      <w:rFonts w:hint="eastAsia"/>
                      <w:color w:val="auto"/>
                    </w:rPr>
                    <w:t>定向井</w:t>
                  </w:r>
                </w:p>
              </w:tc>
              <w:tc>
                <w:tcPr>
                  <w:tcW w:w="999" w:type="dxa"/>
                  <w:noWrap/>
                  <w:vAlign w:val="center"/>
                </w:tcPr>
                <w:p w14:paraId="33C7589E">
                  <w:pPr>
                    <w:pStyle w:val="94"/>
                    <w:rPr>
                      <w:color w:val="auto"/>
                    </w:rPr>
                  </w:pPr>
                  <w:r>
                    <w:rPr>
                      <w:rFonts w:hint="eastAsia"/>
                      <w:color w:val="auto"/>
                    </w:rPr>
                    <w:t>1999</w:t>
                  </w:r>
                </w:p>
              </w:tc>
              <w:tc>
                <w:tcPr>
                  <w:tcW w:w="1161" w:type="dxa"/>
                  <w:vAlign w:val="center"/>
                </w:tcPr>
                <w:p w14:paraId="019F66D1">
                  <w:pPr>
                    <w:pStyle w:val="94"/>
                    <w:rPr>
                      <w:color w:val="auto"/>
                    </w:rPr>
                  </w:pPr>
                  <w:r>
                    <w:rPr>
                      <w:rFonts w:hint="eastAsia"/>
                      <w:color w:val="auto"/>
                    </w:rPr>
                    <w:t>山1</w:t>
                  </w:r>
                </w:p>
              </w:tc>
            </w:tr>
            <w:tr w14:paraId="00EF50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684" w:type="dxa"/>
                  <w:noWrap/>
                  <w:vAlign w:val="center"/>
                </w:tcPr>
                <w:p w14:paraId="0ED7A46B">
                  <w:pPr>
                    <w:pStyle w:val="94"/>
                    <w:rPr>
                      <w:color w:val="auto"/>
                    </w:rPr>
                  </w:pPr>
                  <w:r>
                    <w:rPr>
                      <w:rFonts w:hint="eastAsia"/>
                      <w:color w:val="auto"/>
                    </w:rPr>
                    <w:t>15</w:t>
                  </w:r>
                </w:p>
              </w:tc>
              <w:tc>
                <w:tcPr>
                  <w:tcW w:w="1164" w:type="dxa"/>
                  <w:noWrap/>
                  <w:vAlign w:val="center"/>
                </w:tcPr>
                <w:p w14:paraId="01CB4928">
                  <w:pPr>
                    <w:pStyle w:val="94"/>
                    <w:rPr>
                      <w:color w:val="auto"/>
                    </w:rPr>
                  </w:pPr>
                  <w:r>
                    <w:rPr>
                      <w:rFonts w:hint="eastAsia"/>
                      <w:color w:val="auto"/>
                    </w:rPr>
                    <w:t>LXD3-9</w:t>
                  </w:r>
                </w:p>
              </w:tc>
              <w:tc>
                <w:tcPr>
                  <w:tcW w:w="1609" w:type="dxa"/>
                  <w:noWrap/>
                  <w:vAlign w:val="center"/>
                </w:tcPr>
                <w:p w14:paraId="6EC2446B">
                  <w:pPr>
                    <w:pStyle w:val="94"/>
                    <w:rPr>
                      <w:color w:val="auto"/>
                    </w:rPr>
                  </w:pPr>
                  <w:r>
                    <w:rPr>
                      <w:rFonts w:hint="eastAsia"/>
                      <w:color w:val="auto"/>
                    </w:rPr>
                    <w:t>4249902.652</w:t>
                  </w:r>
                </w:p>
              </w:tc>
              <w:tc>
                <w:tcPr>
                  <w:tcW w:w="1725" w:type="dxa"/>
                  <w:noWrap/>
                  <w:vAlign w:val="center"/>
                </w:tcPr>
                <w:p w14:paraId="2DC7A241">
                  <w:pPr>
                    <w:pStyle w:val="94"/>
                    <w:rPr>
                      <w:color w:val="auto"/>
                    </w:rPr>
                  </w:pPr>
                  <w:r>
                    <w:rPr>
                      <w:rFonts w:hint="eastAsia"/>
                      <w:color w:val="auto"/>
                    </w:rPr>
                    <w:t>19483309.4</w:t>
                  </w:r>
                </w:p>
              </w:tc>
              <w:tc>
                <w:tcPr>
                  <w:tcW w:w="1116" w:type="dxa"/>
                  <w:noWrap/>
                  <w:vAlign w:val="center"/>
                </w:tcPr>
                <w:p w14:paraId="5EA858E0">
                  <w:pPr>
                    <w:pStyle w:val="94"/>
                    <w:rPr>
                      <w:color w:val="auto"/>
                    </w:rPr>
                  </w:pPr>
                  <w:r>
                    <w:rPr>
                      <w:rFonts w:hint="eastAsia"/>
                      <w:color w:val="auto"/>
                    </w:rPr>
                    <w:t>定向井</w:t>
                  </w:r>
                </w:p>
              </w:tc>
              <w:tc>
                <w:tcPr>
                  <w:tcW w:w="999" w:type="dxa"/>
                  <w:noWrap/>
                  <w:vAlign w:val="center"/>
                </w:tcPr>
                <w:p w14:paraId="7B666B3A">
                  <w:pPr>
                    <w:pStyle w:val="94"/>
                    <w:rPr>
                      <w:color w:val="auto"/>
                    </w:rPr>
                  </w:pPr>
                  <w:r>
                    <w:rPr>
                      <w:rFonts w:hint="eastAsia"/>
                      <w:color w:val="auto"/>
                    </w:rPr>
                    <w:t>1880</w:t>
                  </w:r>
                </w:p>
              </w:tc>
              <w:tc>
                <w:tcPr>
                  <w:tcW w:w="1161" w:type="dxa"/>
                  <w:vAlign w:val="center"/>
                </w:tcPr>
                <w:p w14:paraId="232C98D1">
                  <w:pPr>
                    <w:pStyle w:val="94"/>
                    <w:rPr>
                      <w:color w:val="auto"/>
                    </w:rPr>
                  </w:pPr>
                  <w:r>
                    <w:rPr>
                      <w:rFonts w:hint="eastAsia"/>
                      <w:color w:val="auto"/>
                    </w:rPr>
                    <w:t>山1</w:t>
                  </w:r>
                </w:p>
              </w:tc>
            </w:tr>
            <w:tr w14:paraId="3E21F4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684" w:type="dxa"/>
                  <w:noWrap/>
                  <w:vAlign w:val="center"/>
                </w:tcPr>
                <w:p w14:paraId="77ED893D">
                  <w:pPr>
                    <w:pStyle w:val="94"/>
                    <w:rPr>
                      <w:color w:val="auto"/>
                    </w:rPr>
                  </w:pPr>
                  <w:r>
                    <w:rPr>
                      <w:rFonts w:hint="eastAsia"/>
                      <w:color w:val="auto"/>
                    </w:rPr>
                    <w:t>16</w:t>
                  </w:r>
                </w:p>
              </w:tc>
              <w:tc>
                <w:tcPr>
                  <w:tcW w:w="1164" w:type="dxa"/>
                  <w:noWrap/>
                  <w:vAlign w:val="center"/>
                </w:tcPr>
                <w:p w14:paraId="6EB6DDF9">
                  <w:pPr>
                    <w:pStyle w:val="94"/>
                    <w:rPr>
                      <w:color w:val="auto"/>
                    </w:rPr>
                  </w:pPr>
                  <w:r>
                    <w:rPr>
                      <w:rFonts w:hint="eastAsia"/>
                      <w:color w:val="auto"/>
                    </w:rPr>
                    <w:t>LXD2-25</w:t>
                  </w:r>
                </w:p>
              </w:tc>
              <w:tc>
                <w:tcPr>
                  <w:tcW w:w="1609" w:type="dxa"/>
                  <w:noWrap/>
                  <w:vAlign w:val="center"/>
                </w:tcPr>
                <w:p w14:paraId="786E85BA">
                  <w:pPr>
                    <w:pStyle w:val="94"/>
                    <w:rPr>
                      <w:color w:val="auto"/>
                    </w:rPr>
                  </w:pPr>
                  <w:r>
                    <w:rPr>
                      <w:rFonts w:hint="eastAsia"/>
                      <w:color w:val="auto"/>
                    </w:rPr>
                    <w:t>4249159.235</w:t>
                  </w:r>
                </w:p>
              </w:tc>
              <w:tc>
                <w:tcPr>
                  <w:tcW w:w="1725" w:type="dxa"/>
                  <w:noWrap/>
                  <w:vAlign w:val="center"/>
                </w:tcPr>
                <w:p w14:paraId="430D1C8B">
                  <w:pPr>
                    <w:pStyle w:val="94"/>
                    <w:rPr>
                      <w:color w:val="auto"/>
                    </w:rPr>
                  </w:pPr>
                  <w:r>
                    <w:rPr>
                      <w:rFonts w:hint="eastAsia"/>
                      <w:color w:val="auto"/>
                    </w:rPr>
                    <w:t>19493029.11</w:t>
                  </w:r>
                </w:p>
              </w:tc>
              <w:tc>
                <w:tcPr>
                  <w:tcW w:w="1116" w:type="dxa"/>
                  <w:noWrap/>
                  <w:vAlign w:val="center"/>
                </w:tcPr>
                <w:p w14:paraId="690CD098">
                  <w:pPr>
                    <w:pStyle w:val="94"/>
                    <w:rPr>
                      <w:color w:val="auto"/>
                    </w:rPr>
                  </w:pPr>
                  <w:r>
                    <w:rPr>
                      <w:rFonts w:hint="eastAsia"/>
                      <w:color w:val="auto"/>
                    </w:rPr>
                    <w:t>定向井</w:t>
                  </w:r>
                </w:p>
              </w:tc>
              <w:tc>
                <w:tcPr>
                  <w:tcW w:w="999" w:type="dxa"/>
                  <w:noWrap/>
                  <w:vAlign w:val="center"/>
                </w:tcPr>
                <w:p w14:paraId="2BAB37BA">
                  <w:pPr>
                    <w:pStyle w:val="94"/>
                    <w:rPr>
                      <w:color w:val="auto"/>
                    </w:rPr>
                  </w:pPr>
                  <w:r>
                    <w:rPr>
                      <w:rFonts w:hint="eastAsia"/>
                      <w:color w:val="auto"/>
                    </w:rPr>
                    <w:t>1960</w:t>
                  </w:r>
                </w:p>
              </w:tc>
              <w:tc>
                <w:tcPr>
                  <w:tcW w:w="1161" w:type="dxa"/>
                  <w:vAlign w:val="center"/>
                </w:tcPr>
                <w:p w14:paraId="6285B29C">
                  <w:pPr>
                    <w:pStyle w:val="94"/>
                    <w:rPr>
                      <w:color w:val="auto"/>
                    </w:rPr>
                  </w:pPr>
                  <w:r>
                    <w:rPr>
                      <w:rFonts w:hint="eastAsia"/>
                      <w:color w:val="auto"/>
                    </w:rPr>
                    <w:t>马家沟组</w:t>
                  </w:r>
                </w:p>
              </w:tc>
            </w:tr>
            <w:tr w14:paraId="402D98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684" w:type="dxa"/>
                  <w:noWrap/>
                  <w:vAlign w:val="center"/>
                </w:tcPr>
                <w:p w14:paraId="37BDCAF1">
                  <w:pPr>
                    <w:pStyle w:val="94"/>
                    <w:rPr>
                      <w:color w:val="auto"/>
                    </w:rPr>
                  </w:pPr>
                  <w:r>
                    <w:rPr>
                      <w:rFonts w:hint="eastAsia"/>
                      <w:color w:val="auto"/>
                    </w:rPr>
                    <w:t>17</w:t>
                  </w:r>
                </w:p>
              </w:tc>
              <w:tc>
                <w:tcPr>
                  <w:tcW w:w="1164" w:type="dxa"/>
                  <w:noWrap/>
                  <w:vAlign w:val="center"/>
                </w:tcPr>
                <w:p w14:paraId="071F44CA">
                  <w:pPr>
                    <w:pStyle w:val="94"/>
                    <w:rPr>
                      <w:color w:val="auto"/>
                    </w:rPr>
                  </w:pPr>
                  <w:r>
                    <w:rPr>
                      <w:rFonts w:hint="eastAsia"/>
                      <w:color w:val="auto"/>
                    </w:rPr>
                    <w:t>LXD12-26</w:t>
                  </w:r>
                </w:p>
              </w:tc>
              <w:tc>
                <w:tcPr>
                  <w:tcW w:w="1609" w:type="dxa"/>
                  <w:noWrap/>
                  <w:vAlign w:val="center"/>
                </w:tcPr>
                <w:p w14:paraId="559EA690">
                  <w:pPr>
                    <w:pStyle w:val="94"/>
                    <w:rPr>
                      <w:color w:val="auto"/>
                    </w:rPr>
                  </w:pPr>
                  <w:r>
                    <w:rPr>
                      <w:rFonts w:hint="eastAsia"/>
                      <w:color w:val="auto"/>
                    </w:rPr>
                    <w:t>4256381.6</w:t>
                  </w:r>
                </w:p>
              </w:tc>
              <w:tc>
                <w:tcPr>
                  <w:tcW w:w="1725" w:type="dxa"/>
                  <w:noWrap/>
                  <w:vAlign w:val="center"/>
                </w:tcPr>
                <w:p w14:paraId="4268D075">
                  <w:pPr>
                    <w:pStyle w:val="94"/>
                    <w:rPr>
                      <w:color w:val="auto"/>
                    </w:rPr>
                  </w:pPr>
                  <w:r>
                    <w:rPr>
                      <w:rFonts w:hint="eastAsia"/>
                      <w:color w:val="auto"/>
                    </w:rPr>
                    <w:t>19493512.6</w:t>
                  </w:r>
                </w:p>
              </w:tc>
              <w:tc>
                <w:tcPr>
                  <w:tcW w:w="1116" w:type="dxa"/>
                  <w:noWrap/>
                  <w:vAlign w:val="center"/>
                </w:tcPr>
                <w:p w14:paraId="4A11F2CB">
                  <w:pPr>
                    <w:pStyle w:val="94"/>
                    <w:rPr>
                      <w:color w:val="auto"/>
                    </w:rPr>
                  </w:pPr>
                  <w:r>
                    <w:rPr>
                      <w:rFonts w:hint="eastAsia"/>
                      <w:color w:val="auto"/>
                    </w:rPr>
                    <w:t>定向井</w:t>
                  </w:r>
                </w:p>
              </w:tc>
              <w:tc>
                <w:tcPr>
                  <w:tcW w:w="999" w:type="dxa"/>
                  <w:noWrap/>
                  <w:vAlign w:val="center"/>
                </w:tcPr>
                <w:p w14:paraId="2D9C2ADE">
                  <w:pPr>
                    <w:pStyle w:val="94"/>
                    <w:rPr>
                      <w:color w:val="auto"/>
                    </w:rPr>
                  </w:pPr>
                  <w:r>
                    <w:rPr>
                      <w:rFonts w:hint="eastAsia"/>
                      <w:color w:val="auto"/>
                    </w:rPr>
                    <w:t>1858</w:t>
                  </w:r>
                </w:p>
              </w:tc>
              <w:tc>
                <w:tcPr>
                  <w:tcW w:w="1161" w:type="dxa"/>
                  <w:vAlign w:val="center"/>
                </w:tcPr>
                <w:p w14:paraId="5B25474F">
                  <w:pPr>
                    <w:pStyle w:val="94"/>
                    <w:rPr>
                      <w:color w:val="auto"/>
                    </w:rPr>
                  </w:pPr>
                  <w:r>
                    <w:rPr>
                      <w:rFonts w:hint="eastAsia"/>
                      <w:color w:val="auto"/>
                    </w:rPr>
                    <w:t>山1</w:t>
                  </w:r>
                </w:p>
              </w:tc>
            </w:tr>
            <w:tr w14:paraId="1691B3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684" w:type="dxa"/>
                  <w:noWrap/>
                  <w:vAlign w:val="center"/>
                </w:tcPr>
                <w:p w14:paraId="30419CC2">
                  <w:pPr>
                    <w:pStyle w:val="94"/>
                    <w:rPr>
                      <w:color w:val="auto"/>
                    </w:rPr>
                  </w:pPr>
                  <w:r>
                    <w:rPr>
                      <w:rFonts w:hint="eastAsia"/>
                      <w:color w:val="auto"/>
                    </w:rPr>
                    <w:t>18</w:t>
                  </w:r>
                </w:p>
              </w:tc>
              <w:tc>
                <w:tcPr>
                  <w:tcW w:w="1164" w:type="dxa"/>
                  <w:noWrap/>
                  <w:vAlign w:val="center"/>
                </w:tcPr>
                <w:p w14:paraId="602781E9">
                  <w:pPr>
                    <w:pStyle w:val="94"/>
                    <w:rPr>
                      <w:color w:val="auto"/>
                    </w:rPr>
                  </w:pPr>
                  <w:r>
                    <w:rPr>
                      <w:rFonts w:hint="eastAsia"/>
                      <w:color w:val="auto"/>
                    </w:rPr>
                    <w:t>LXD8-18</w:t>
                  </w:r>
                </w:p>
              </w:tc>
              <w:tc>
                <w:tcPr>
                  <w:tcW w:w="1609" w:type="dxa"/>
                  <w:noWrap/>
                  <w:vAlign w:val="center"/>
                </w:tcPr>
                <w:p w14:paraId="66AFB3C4">
                  <w:pPr>
                    <w:pStyle w:val="94"/>
                    <w:rPr>
                      <w:color w:val="auto"/>
                    </w:rPr>
                  </w:pPr>
                  <w:r>
                    <w:rPr>
                      <w:rFonts w:hint="eastAsia"/>
                      <w:color w:val="auto"/>
                    </w:rPr>
                    <w:t>4252813.877</w:t>
                  </w:r>
                </w:p>
              </w:tc>
              <w:tc>
                <w:tcPr>
                  <w:tcW w:w="1725" w:type="dxa"/>
                  <w:noWrap/>
                  <w:vAlign w:val="center"/>
                </w:tcPr>
                <w:p w14:paraId="7D904429">
                  <w:pPr>
                    <w:pStyle w:val="94"/>
                    <w:rPr>
                      <w:color w:val="auto"/>
                    </w:rPr>
                  </w:pPr>
                  <w:r>
                    <w:rPr>
                      <w:rFonts w:hint="eastAsia"/>
                      <w:color w:val="auto"/>
                    </w:rPr>
                    <w:t>19488618.2</w:t>
                  </w:r>
                </w:p>
              </w:tc>
              <w:tc>
                <w:tcPr>
                  <w:tcW w:w="1116" w:type="dxa"/>
                  <w:noWrap/>
                  <w:vAlign w:val="center"/>
                </w:tcPr>
                <w:p w14:paraId="2293D08F">
                  <w:pPr>
                    <w:pStyle w:val="94"/>
                    <w:rPr>
                      <w:color w:val="auto"/>
                    </w:rPr>
                  </w:pPr>
                  <w:r>
                    <w:rPr>
                      <w:rFonts w:hint="eastAsia"/>
                      <w:color w:val="auto"/>
                    </w:rPr>
                    <w:t>定向井</w:t>
                  </w:r>
                </w:p>
              </w:tc>
              <w:tc>
                <w:tcPr>
                  <w:tcW w:w="999" w:type="dxa"/>
                  <w:noWrap/>
                  <w:vAlign w:val="center"/>
                </w:tcPr>
                <w:p w14:paraId="1BB4B493">
                  <w:pPr>
                    <w:pStyle w:val="94"/>
                    <w:rPr>
                      <w:color w:val="auto"/>
                    </w:rPr>
                  </w:pPr>
                  <w:r>
                    <w:rPr>
                      <w:rFonts w:hint="eastAsia"/>
                      <w:color w:val="auto"/>
                    </w:rPr>
                    <w:t>1985</w:t>
                  </w:r>
                </w:p>
              </w:tc>
              <w:tc>
                <w:tcPr>
                  <w:tcW w:w="1161" w:type="dxa"/>
                  <w:vAlign w:val="center"/>
                </w:tcPr>
                <w:p w14:paraId="7E802ED6">
                  <w:pPr>
                    <w:pStyle w:val="94"/>
                    <w:rPr>
                      <w:color w:val="auto"/>
                    </w:rPr>
                  </w:pPr>
                  <w:r>
                    <w:rPr>
                      <w:rFonts w:hint="eastAsia"/>
                      <w:color w:val="auto"/>
                    </w:rPr>
                    <w:t>山1</w:t>
                  </w:r>
                </w:p>
              </w:tc>
            </w:tr>
            <w:tr w14:paraId="3A71BE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684" w:type="dxa"/>
                  <w:noWrap/>
                  <w:vAlign w:val="center"/>
                </w:tcPr>
                <w:p w14:paraId="6EAE0351">
                  <w:pPr>
                    <w:pStyle w:val="94"/>
                    <w:rPr>
                      <w:color w:val="auto"/>
                    </w:rPr>
                  </w:pPr>
                  <w:r>
                    <w:rPr>
                      <w:rFonts w:hint="eastAsia"/>
                      <w:color w:val="auto"/>
                    </w:rPr>
                    <w:t>19</w:t>
                  </w:r>
                </w:p>
              </w:tc>
              <w:tc>
                <w:tcPr>
                  <w:tcW w:w="1164" w:type="dxa"/>
                  <w:noWrap/>
                  <w:vAlign w:val="center"/>
                </w:tcPr>
                <w:p w14:paraId="24C2390E">
                  <w:pPr>
                    <w:pStyle w:val="94"/>
                    <w:rPr>
                      <w:color w:val="auto"/>
                    </w:rPr>
                  </w:pPr>
                  <w:r>
                    <w:rPr>
                      <w:rFonts w:hint="eastAsia"/>
                      <w:color w:val="auto"/>
                    </w:rPr>
                    <w:t>LXD1-18</w:t>
                  </w:r>
                </w:p>
              </w:tc>
              <w:tc>
                <w:tcPr>
                  <w:tcW w:w="1609" w:type="dxa"/>
                  <w:noWrap/>
                  <w:vAlign w:val="center"/>
                </w:tcPr>
                <w:p w14:paraId="4A13A707">
                  <w:pPr>
                    <w:pStyle w:val="94"/>
                    <w:rPr>
                      <w:color w:val="auto"/>
                    </w:rPr>
                  </w:pPr>
                  <w:r>
                    <w:rPr>
                      <w:rFonts w:hint="eastAsia"/>
                      <w:color w:val="auto"/>
                    </w:rPr>
                    <w:t>4248632.234</w:t>
                  </w:r>
                </w:p>
              </w:tc>
              <w:tc>
                <w:tcPr>
                  <w:tcW w:w="1725" w:type="dxa"/>
                  <w:noWrap/>
                  <w:vAlign w:val="center"/>
                </w:tcPr>
                <w:p w14:paraId="6EFB8252">
                  <w:pPr>
                    <w:pStyle w:val="94"/>
                    <w:rPr>
                      <w:color w:val="auto"/>
                    </w:rPr>
                  </w:pPr>
                  <w:r>
                    <w:rPr>
                      <w:rFonts w:hint="eastAsia"/>
                      <w:color w:val="auto"/>
                    </w:rPr>
                    <w:t>19488800.56</w:t>
                  </w:r>
                </w:p>
              </w:tc>
              <w:tc>
                <w:tcPr>
                  <w:tcW w:w="1116" w:type="dxa"/>
                  <w:noWrap/>
                  <w:vAlign w:val="center"/>
                </w:tcPr>
                <w:p w14:paraId="41C36845">
                  <w:pPr>
                    <w:pStyle w:val="94"/>
                    <w:rPr>
                      <w:color w:val="auto"/>
                    </w:rPr>
                  </w:pPr>
                  <w:r>
                    <w:rPr>
                      <w:rFonts w:hint="eastAsia"/>
                      <w:color w:val="auto"/>
                    </w:rPr>
                    <w:t>定向井</w:t>
                  </w:r>
                </w:p>
              </w:tc>
              <w:tc>
                <w:tcPr>
                  <w:tcW w:w="999" w:type="dxa"/>
                  <w:noWrap/>
                  <w:vAlign w:val="center"/>
                </w:tcPr>
                <w:p w14:paraId="0083E8E0">
                  <w:pPr>
                    <w:pStyle w:val="94"/>
                    <w:rPr>
                      <w:color w:val="auto"/>
                    </w:rPr>
                  </w:pPr>
                  <w:r>
                    <w:rPr>
                      <w:rFonts w:hint="eastAsia"/>
                      <w:color w:val="auto"/>
                    </w:rPr>
                    <w:t>1950</w:t>
                  </w:r>
                </w:p>
              </w:tc>
              <w:tc>
                <w:tcPr>
                  <w:tcW w:w="1161" w:type="dxa"/>
                  <w:vAlign w:val="center"/>
                </w:tcPr>
                <w:p w14:paraId="5F8989A1">
                  <w:pPr>
                    <w:pStyle w:val="94"/>
                    <w:rPr>
                      <w:color w:val="auto"/>
                    </w:rPr>
                  </w:pPr>
                  <w:r>
                    <w:rPr>
                      <w:rFonts w:hint="eastAsia"/>
                      <w:color w:val="auto"/>
                    </w:rPr>
                    <w:t>山1</w:t>
                  </w:r>
                </w:p>
              </w:tc>
            </w:tr>
            <w:tr w14:paraId="17DE43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684" w:type="dxa"/>
                  <w:noWrap/>
                  <w:vAlign w:val="center"/>
                </w:tcPr>
                <w:p w14:paraId="38A35834">
                  <w:pPr>
                    <w:pStyle w:val="94"/>
                    <w:rPr>
                      <w:color w:val="auto"/>
                    </w:rPr>
                  </w:pPr>
                  <w:r>
                    <w:rPr>
                      <w:rFonts w:hint="eastAsia"/>
                      <w:color w:val="auto"/>
                    </w:rPr>
                    <w:t>20</w:t>
                  </w:r>
                </w:p>
              </w:tc>
              <w:tc>
                <w:tcPr>
                  <w:tcW w:w="1164" w:type="dxa"/>
                  <w:noWrap/>
                  <w:vAlign w:val="center"/>
                </w:tcPr>
                <w:p w14:paraId="6D7B9F5A">
                  <w:pPr>
                    <w:pStyle w:val="94"/>
                    <w:rPr>
                      <w:color w:val="auto"/>
                    </w:rPr>
                  </w:pPr>
                  <w:r>
                    <w:rPr>
                      <w:rFonts w:hint="eastAsia"/>
                      <w:color w:val="auto"/>
                    </w:rPr>
                    <w:t>LXD7-20</w:t>
                  </w:r>
                </w:p>
              </w:tc>
              <w:tc>
                <w:tcPr>
                  <w:tcW w:w="1609" w:type="dxa"/>
                  <w:noWrap/>
                  <w:vAlign w:val="center"/>
                </w:tcPr>
                <w:p w14:paraId="3A9D1F14">
                  <w:pPr>
                    <w:pStyle w:val="94"/>
                    <w:rPr>
                      <w:color w:val="auto"/>
                    </w:rPr>
                  </w:pPr>
                  <w:r>
                    <w:rPr>
                      <w:rFonts w:hint="eastAsia"/>
                      <w:color w:val="auto"/>
                    </w:rPr>
                    <w:t>4252374.22</w:t>
                  </w:r>
                </w:p>
              </w:tc>
              <w:tc>
                <w:tcPr>
                  <w:tcW w:w="1725" w:type="dxa"/>
                  <w:noWrap/>
                  <w:vAlign w:val="center"/>
                </w:tcPr>
                <w:p w14:paraId="38BE24F2">
                  <w:pPr>
                    <w:pStyle w:val="94"/>
                    <w:rPr>
                      <w:color w:val="auto"/>
                    </w:rPr>
                  </w:pPr>
                  <w:r>
                    <w:rPr>
                      <w:rFonts w:hint="eastAsia"/>
                      <w:color w:val="auto"/>
                    </w:rPr>
                    <w:t>19490422.7</w:t>
                  </w:r>
                </w:p>
              </w:tc>
              <w:tc>
                <w:tcPr>
                  <w:tcW w:w="1116" w:type="dxa"/>
                  <w:noWrap/>
                  <w:vAlign w:val="center"/>
                </w:tcPr>
                <w:p w14:paraId="719C3A38">
                  <w:pPr>
                    <w:pStyle w:val="94"/>
                    <w:rPr>
                      <w:color w:val="auto"/>
                    </w:rPr>
                  </w:pPr>
                  <w:r>
                    <w:rPr>
                      <w:rFonts w:hint="eastAsia"/>
                      <w:color w:val="auto"/>
                    </w:rPr>
                    <w:t>定向井</w:t>
                  </w:r>
                </w:p>
              </w:tc>
              <w:tc>
                <w:tcPr>
                  <w:tcW w:w="999" w:type="dxa"/>
                  <w:noWrap/>
                  <w:vAlign w:val="center"/>
                </w:tcPr>
                <w:p w14:paraId="11725C2D">
                  <w:pPr>
                    <w:pStyle w:val="94"/>
                    <w:rPr>
                      <w:color w:val="auto"/>
                    </w:rPr>
                  </w:pPr>
                  <w:r>
                    <w:rPr>
                      <w:rFonts w:hint="eastAsia"/>
                      <w:color w:val="auto"/>
                    </w:rPr>
                    <w:t>1960</w:t>
                  </w:r>
                </w:p>
              </w:tc>
              <w:tc>
                <w:tcPr>
                  <w:tcW w:w="1161" w:type="dxa"/>
                  <w:vAlign w:val="center"/>
                </w:tcPr>
                <w:p w14:paraId="6B46D820">
                  <w:pPr>
                    <w:pStyle w:val="94"/>
                    <w:rPr>
                      <w:color w:val="auto"/>
                    </w:rPr>
                  </w:pPr>
                  <w:r>
                    <w:rPr>
                      <w:rFonts w:hint="eastAsia"/>
                      <w:color w:val="auto"/>
                    </w:rPr>
                    <w:t>山1</w:t>
                  </w:r>
                </w:p>
              </w:tc>
            </w:tr>
            <w:tr w14:paraId="759D92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684" w:type="dxa"/>
                  <w:noWrap/>
                  <w:vAlign w:val="center"/>
                </w:tcPr>
                <w:p w14:paraId="44C30F00">
                  <w:pPr>
                    <w:pStyle w:val="94"/>
                    <w:rPr>
                      <w:color w:val="auto"/>
                    </w:rPr>
                  </w:pPr>
                  <w:r>
                    <w:rPr>
                      <w:rFonts w:hint="eastAsia"/>
                      <w:color w:val="auto"/>
                    </w:rPr>
                    <w:t>21</w:t>
                  </w:r>
                </w:p>
              </w:tc>
              <w:tc>
                <w:tcPr>
                  <w:tcW w:w="1164" w:type="dxa"/>
                  <w:noWrap/>
                  <w:vAlign w:val="center"/>
                </w:tcPr>
                <w:p w14:paraId="0A23590E">
                  <w:pPr>
                    <w:pStyle w:val="94"/>
                    <w:rPr>
                      <w:color w:val="auto"/>
                    </w:rPr>
                  </w:pPr>
                  <w:r>
                    <w:rPr>
                      <w:rFonts w:hint="eastAsia"/>
                      <w:color w:val="auto"/>
                    </w:rPr>
                    <w:t>LXD5-22</w:t>
                  </w:r>
                </w:p>
              </w:tc>
              <w:tc>
                <w:tcPr>
                  <w:tcW w:w="1609" w:type="dxa"/>
                  <w:noWrap/>
                  <w:vAlign w:val="center"/>
                </w:tcPr>
                <w:p w14:paraId="091C30B3">
                  <w:pPr>
                    <w:pStyle w:val="94"/>
                    <w:rPr>
                      <w:color w:val="auto"/>
                    </w:rPr>
                  </w:pPr>
                  <w:r>
                    <w:rPr>
                      <w:rFonts w:hint="eastAsia"/>
                      <w:color w:val="auto"/>
                    </w:rPr>
                    <w:t>4251048.09</w:t>
                  </w:r>
                </w:p>
              </w:tc>
              <w:tc>
                <w:tcPr>
                  <w:tcW w:w="1725" w:type="dxa"/>
                  <w:noWrap/>
                  <w:vAlign w:val="center"/>
                </w:tcPr>
                <w:p w14:paraId="198508DD">
                  <w:pPr>
                    <w:pStyle w:val="94"/>
                    <w:rPr>
                      <w:color w:val="auto"/>
                    </w:rPr>
                  </w:pPr>
                  <w:r>
                    <w:rPr>
                      <w:rFonts w:hint="eastAsia"/>
                      <w:color w:val="auto"/>
                    </w:rPr>
                    <w:t>19491488.13</w:t>
                  </w:r>
                </w:p>
              </w:tc>
              <w:tc>
                <w:tcPr>
                  <w:tcW w:w="1116" w:type="dxa"/>
                  <w:noWrap/>
                  <w:vAlign w:val="center"/>
                </w:tcPr>
                <w:p w14:paraId="1FB1C4DA">
                  <w:pPr>
                    <w:pStyle w:val="94"/>
                    <w:rPr>
                      <w:color w:val="auto"/>
                    </w:rPr>
                  </w:pPr>
                  <w:r>
                    <w:rPr>
                      <w:rFonts w:hint="eastAsia"/>
                      <w:color w:val="auto"/>
                    </w:rPr>
                    <w:t>定向井</w:t>
                  </w:r>
                </w:p>
              </w:tc>
              <w:tc>
                <w:tcPr>
                  <w:tcW w:w="999" w:type="dxa"/>
                  <w:noWrap/>
                  <w:vAlign w:val="center"/>
                </w:tcPr>
                <w:p w14:paraId="01D9AC60">
                  <w:pPr>
                    <w:pStyle w:val="94"/>
                    <w:rPr>
                      <w:color w:val="auto"/>
                    </w:rPr>
                  </w:pPr>
                  <w:r>
                    <w:rPr>
                      <w:rFonts w:hint="eastAsia"/>
                      <w:color w:val="auto"/>
                    </w:rPr>
                    <w:t>1968</w:t>
                  </w:r>
                </w:p>
              </w:tc>
              <w:tc>
                <w:tcPr>
                  <w:tcW w:w="1161" w:type="dxa"/>
                  <w:vAlign w:val="center"/>
                </w:tcPr>
                <w:p w14:paraId="16B695CD">
                  <w:pPr>
                    <w:pStyle w:val="94"/>
                    <w:rPr>
                      <w:color w:val="auto"/>
                    </w:rPr>
                  </w:pPr>
                  <w:r>
                    <w:rPr>
                      <w:rFonts w:hint="eastAsia"/>
                      <w:color w:val="auto"/>
                    </w:rPr>
                    <w:t>马家沟组</w:t>
                  </w:r>
                </w:p>
              </w:tc>
            </w:tr>
          </w:tbl>
          <w:p w14:paraId="39070583">
            <w:pPr>
              <w:adjustRightInd w:val="0"/>
              <w:snapToGrid w:val="0"/>
              <w:rPr>
                <w:b/>
                <w:kern w:val="0"/>
                <w:szCs w:val="21"/>
              </w:rPr>
            </w:pPr>
            <w:r>
              <w:rPr>
                <w:rFonts w:hint="eastAsia"/>
                <w:b/>
                <w:kern w:val="0"/>
                <w:szCs w:val="21"/>
              </w:rPr>
              <w:t>（备注：直井是指设计轨道是一条铅垂线的井，地面井口位置与钻达目的层的井底位置的地理坐标一致。定向井是按照事先设计的具有井斜和方位变化的轨道钻进的井，井位坐标含井口坐标与靶点坐标。井型示意图见下图）</w:t>
            </w:r>
          </w:p>
          <w:p w14:paraId="7F02C3E4">
            <w:pPr>
              <w:pStyle w:val="406"/>
              <w:ind w:left="1320" w:hanging="480"/>
            </w:pPr>
            <w:r>
              <w:drawing>
                <wp:inline distT="0" distB="0" distL="0" distR="0">
                  <wp:extent cx="3434080" cy="2243455"/>
                  <wp:effectExtent l="0" t="0" r="0" b="444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3434080" cy="2243455"/>
                          </a:xfrm>
                          <a:prstGeom prst="rect">
                            <a:avLst/>
                          </a:prstGeom>
                          <a:noFill/>
                          <a:ln>
                            <a:noFill/>
                          </a:ln>
                        </pic:spPr>
                      </pic:pic>
                    </a:graphicData>
                  </a:graphic>
                </wp:inline>
              </w:drawing>
            </w:r>
          </w:p>
          <w:p w14:paraId="77E16F52">
            <w:pPr>
              <w:pStyle w:val="19"/>
            </w:pPr>
            <w:r>
              <w:t xml:space="preserve">图 </w:t>
            </w:r>
            <w:r>
              <w:fldChar w:fldCharType="begin"/>
            </w:r>
            <w:r>
              <w:instrText xml:space="preserve"> SEQ 图 \* ARABIC </w:instrText>
            </w:r>
            <w:r>
              <w:fldChar w:fldCharType="separate"/>
            </w:r>
            <w:r>
              <w:t>1</w:t>
            </w:r>
            <w:r>
              <w:fldChar w:fldCharType="end"/>
            </w:r>
            <w:r>
              <w:t xml:space="preserve"> LXDG-05直井示意图</w:t>
            </w:r>
          </w:p>
          <w:p w14:paraId="0D9E351A">
            <w:pPr>
              <w:jc w:val="center"/>
              <w:rPr>
                <w:szCs w:val="21"/>
                <w14:ligatures w14:val="none"/>
              </w:rPr>
            </w:pPr>
            <w:r>
              <w:drawing>
                <wp:inline distT="0" distB="0" distL="0" distR="0">
                  <wp:extent cx="2891790" cy="2158365"/>
                  <wp:effectExtent l="0" t="0" r="381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2891790" cy="2158365"/>
                          </a:xfrm>
                          <a:prstGeom prst="rect">
                            <a:avLst/>
                          </a:prstGeom>
                          <a:noFill/>
                          <a:ln>
                            <a:noFill/>
                          </a:ln>
                        </pic:spPr>
                      </pic:pic>
                    </a:graphicData>
                  </a:graphic>
                </wp:inline>
              </w:drawing>
            </w:r>
          </w:p>
          <w:p w14:paraId="433C86CC">
            <w:pPr>
              <w:keepNext/>
              <w:adjustRightInd w:val="0"/>
              <w:snapToGrid w:val="0"/>
              <w:jc w:val="center"/>
            </w:pPr>
          </w:p>
          <w:p w14:paraId="040C1D19">
            <w:pPr>
              <w:pStyle w:val="19"/>
              <w:ind w:firstLine="480"/>
            </w:pPr>
            <w:r>
              <w:t xml:space="preserve">图 </w:t>
            </w:r>
            <w:r>
              <w:fldChar w:fldCharType="begin"/>
            </w:r>
            <w:r>
              <w:instrText xml:space="preserve"> SEQ 图 \* ARABIC </w:instrText>
            </w:r>
            <w:r>
              <w:fldChar w:fldCharType="separate"/>
            </w:r>
            <w:r>
              <w:t>2</w:t>
            </w:r>
            <w:r>
              <w:fldChar w:fldCharType="end"/>
            </w:r>
            <w:r>
              <w:t xml:space="preserve"> LXD12-26定向井示意图</w:t>
            </w:r>
          </w:p>
          <w:p w14:paraId="1287E0E8">
            <w:pPr>
              <w:pStyle w:val="96"/>
              <w:ind w:firstLine="480"/>
            </w:pPr>
            <w:r>
              <w:rPr>
                <w:rFonts w:hint="eastAsia"/>
              </w:rPr>
              <w:t>（2）工程</w:t>
            </w:r>
            <w:r>
              <w:t>内容</w:t>
            </w:r>
          </w:p>
          <w:p w14:paraId="01CBD224">
            <w:pPr>
              <w:pStyle w:val="96"/>
              <w:ind w:firstLine="480"/>
            </w:pPr>
            <w:r>
              <w:rPr>
                <w:rFonts w:hint="eastAsia"/>
              </w:rPr>
              <w:t>各井场的施工建设内容大致相同，分为钻井期、完井期、试气期。钻井期主要为井场平整、井场区建造、营房区建造、钻井及</w:t>
            </w:r>
            <w:r>
              <w:t>取岩心</w:t>
            </w:r>
            <w:r>
              <w:rPr>
                <w:rFonts w:hint="eastAsia"/>
              </w:rPr>
              <w:t>、固井；完井期主要为压准、压裂；试气期对各井致密气进行试采。</w:t>
            </w:r>
          </w:p>
          <w:p w14:paraId="034968DA">
            <w:pPr>
              <w:pStyle w:val="96"/>
              <w:ind w:firstLine="480"/>
            </w:pPr>
            <w:r>
              <w:rPr>
                <w:rFonts w:hint="eastAsia"/>
              </w:rPr>
              <w:t>试气期结束后，经过经济评价，如果探井有经济利用价值，则作为开发井之一，进行下一步开发；如果钻井没有经济利用价值，则进行关井，将试采设备进行拆卸和搬迁后，将建井初期推土机推出的表土回填场地，恢复原状或进行生态恢复。井口设置围栏保护。</w:t>
            </w:r>
          </w:p>
          <w:p w14:paraId="32482866">
            <w:pPr>
              <w:pStyle w:val="96"/>
              <w:ind w:firstLine="480"/>
            </w:pPr>
            <w:r>
              <w:rPr>
                <w:rFonts w:hint="eastAsia"/>
              </w:rPr>
              <w:t>项目主要工程内容见下表。</w:t>
            </w:r>
          </w:p>
          <w:p w14:paraId="15429A2F">
            <w:pPr>
              <w:pStyle w:val="19"/>
              <w:keepNext/>
            </w:pPr>
            <w:bookmarkStart w:id="24" w:name="_Ref169209045"/>
            <w:bookmarkStart w:id="25" w:name="_Ref169209090"/>
            <w:r>
              <w:t xml:space="preserve">表 </w:t>
            </w:r>
            <w:r>
              <w:fldChar w:fldCharType="begin"/>
            </w:r>
            <w:r>
              <w:instrText xml:space="preserve"> SEQ 表 \* ARABIC </w:instrText>
            </w:r>
            <w:r>
              <w:fldChar w:fldCharType="separate"/>
            </w:r>
            <w:r>
              <w:t>10</w:t>
            </w:r>
            <w:r>
              <w:fldChar w:fldCharType="end"/>
            </w:r>
            <w:bookmarkEnd w:id="24"/>
            <w:r>
              <w:rPr>
                <w:rFonts w:hint="eastAsia"/>
              </w:rPr>
              <w:t>项目主要建设内容一览表</w:t>
            </w:r>
            <w:bookmarkEnd w:id="25"/>
          </w:p>
          <w:tbl>
            <w:tblPr>
              <w:tblStyle w:val="7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 w:type="dxa"/>
                <w:bottom w:w="0" w:type="dxa"/>
                <w:right w:w="10" w:type="dxa"/>
              </w:tblCellMar>
            </w:tblPr>
            <w:tblGrid>
              <w:gridCol w:w="728"/>
              <w:gridCol w:w="501"/>
              <w:gridCol w:w="1419"/>
              <w:gridCol w:w="5818"/>
            </w:tblGrid>
            <w:tr w14:paraId="576182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Align w:val="center"/>
                </w:tcPr>
                <w:p w14:paraId="3721B3B3">
                  <w:pPr>
                    <w:pStyle w:val="94"/>
                    <w:rPr>
                      <w:color w:val="auto"/>
                    </w:rPr>
                  </w:pPr>
                  <w:r>
                    <w:rPr>
                      <w:color w:val="auto"/>
                    </w:rPr>
                    <w:t>工程</w:t>
                  </w:r>
                </w:p>
                <w:p w14:paraId="22F79D77">
                  <w:pPr>
                    <w:pStyle w:val="94"/>
                    <w:rPr>
                      <w:color w:val="auto"/>
                    </w:rPr>
                  </w:pPr>
                  <w:r>
                    <w:rPr>
                      <w:color w:val="auto"/>
                    </w:rPr>
                    <w:t>类别</w:t>
                  </w:r>
                </w:p>
              </w:tc>
              <w:tc>
                <w:tcPr>
                  <w:tcW w:w="1134" w:type="pct"/>
                  <w:gridSpan w:val="2"/>
                  <w:vAlign w:val="center"/>
                </w:tcPr>
                <w:p w14:paraId="1060A3FE">
                  <w:pPr>
                    <w:pStyle w:val="94"/>
                    <w:rPr>
                      <w:color w:val="auto"/>
                    </w:rPr>
                  </w:pPr>
                  <w:r>
                    <w:rPr>
                      <w:rFonts w:hint="eastAsia"/>
                      <w:color w:val="auto"/>
                    </w:rPr>
                    <w:t>项目</w:t>
                  </w:r>
                  <w:r>
                    <w:rPr>
                      <w:color w:val="auto"/>
                    </w:rPr>
                    <w:t>名称</w:t>
                  </w:r>
                </w:p>
              </w:tc>
              <w:tc>
                <w:tcPr>
                  <w:tcW w:w="3436" w:type="pct"/>
                  <w:vAlign w:val="center"/>
                </w:tcPr>
                <w:p w14:paraId="667FFEDE">
                  <w:pPr>
                    <w:pStyle w:val="94"/>
                    <w:rPr>
                      <w:color w:val="auto"/>
                    </w:rPr>
                  </w:pPr>
                  <w:r>
                    <w:rPr>
                      <w:color w:val="auto"/>
                    </w:rPr>
                    <w:t>工程内容</w:t>
                  </w:r>
                </w:p>
              </w:tc>
            </w:tr>
            <w:tr w14:paraId="6143CD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restart"/>
                  <w:vAlign w:val="center"/>
                </w:tcPr>
                <w:p w14:paraId="52D0ED9C">
                  <w:pPr>
                    <w:pStyle w:val="94"/>
                    <w:rPr>
                      <w:color w:val="auto"/>
                    </w:rPr>
                  </w:pPr>
                  <w:r>
                    <w:rPr>
                      <w:color w:val="auto"/>
                    </w:rPr>
                    <w:t>主体</w:t>
                  </w:r>
                </w:p>
                <w:p w14:paraId="34385C81">
                  <w:pPr>
                    <w:pStyle w:val="94"/>
                    <w:rPr>
                      <w:color w:val="auto"/>
                    </w:rPr>
                  </w:pPr>
                  <w:r>
                    <w:rPr>
                      <w:color w:val="auto"/>
                    </w:rPr>
                    <w:t>工程</w:t>
                  </w:r>
                </w:p>
              </w:tc>
              <w:tc>
                <w:tcPr>
                  <w:tcW w:w="1134" w:type="pct"/>
                  <w:gridSpan w:val="2"/>
                  <w:vAlign w:val="center"/>
                </w:tcPr>
                <w:p w14:paraId="71418ABD">
                  <w:pPr>
                    <w:pStyle w:val="94"/>
                    <w:rPr>
                      <w:color w:val="auto"/>
                    </w:rPr>
                  </w:pPr>
                  <w:r>
                    <w:rPr>
                      <w:rFonts w:hint="eastAsia"/>
                      <w:color w:val="auto"/>
                    </w:rPr>
                    <w:t>井场</w:t>
                  </w:r>
                </w:p>
              </w:tc>
              <w:tc>
                <w:tcPr>
                  <w:tcW w:w="3436" w:type="pct"/>
                  <w:vAlign w:val="center"/>
                </w:tcPr>
                <w:p w14:paraId="7A74789B">
                  <w:pPr>
                    <w:pStyle w:val="94"/>
                    <w:jc w:val="left"/>
                    <w:rPr>
                      <w:color w:val="auto"/>
                    </w:rPr>
                  </w:pPr>
                  <w:r>
                    <w:rPr>
                      <w:rFonts w:hint="eastAsia"/>
                      <w:color w:val="auto"/>
                    </w:rPr>
                    <w:t>21座井场，21口井。井场布置临时生活区和临时生产区，生产区包括管材区、泥浆材料区、发电房、油罐区、录井房、钻具区、消防区、废料区、泥浆池、清水池、钻机。</w:t>
                  </w:r>
                </w:p>
              </w:tc>
            </w:tr>
            <w:tr w14:paraId="57F01F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continue"/>
                  <w:vAlign w:val="center"/>
                </w:tcPr>
                <w:p w14:paraId="013205E0">
                  <w:pPr>
                    <w:pStyle w:val="94"/>
                    <w:rPr>
                      <w:color w:val="auto"/>
                    </w:rPr>
                  </w:pPr>
                </w:p>
              </w:tc>
              <w:tc>
                <w:tcPr>
                  <w:tcW w:w="1134" w:type="pct"/>
                  <w:gridSpan w:val="2"/>
                  <w:vAlign w:val="center"/>
                </w:tcPr>
                <w:p w14:paraId="77181FD0">
                  <w:pPr>
                    <w:pStyle w:val="94"/>
                    <w:rPr>
                      <w:color w:val="auto"/>
                    </w:rPr>
                  </w:pPr>
                  <w:r>
                    <w:rPr>
                      <w:rFonts w:hint="eastAsia"/>
                      <w:color w:val="auto"/>
                    </w:rPr>
                    <w:t>钻井、固井</w:t>
                  </w:r>
                </w:p>
              </w:tc>
              <w:tc>
                <w:tcPr>
                  <w:tcW w:w="3436" w:type="pct"/>
                  <w:vAlign w:val="center"/>
                </w:tcPr>
                <w:p w14:paraId="73896CAA">
                  <w:pPr>
                    <w:pStyle w:val="94"/>
                    <w:jc w:val="left"/>
                    <w:rPr>
                      <w:color w:val="auto"/>
                    </w:rPr>
                  </w:pPr>
                  <w:r>
                    <w:rPr>
                      <w:rFonts w:hint="eastAsia"/>
                      <w:color w:val="auto"/>
                    </w:rPr>
                    <w:t>包括钻前准备和钻井。</w:t>
                  </w:r>
                </w:p>
                <w:p w14:paraId="7A1AB61B">
                  <w:pPr>
                    <w:pStyle w:val="94"/>
                    <w:jc w:val="left"/>
                    <w:rPr>
                      <w:color w:val="auto"/>
                    </w:rPr>
                  </w:pPr>
                  <w:r>
                    <w:rPr>
                      <w:rFonts w:hint="eastAsia"/>
                      <w:color w:val="auto"/>
                    </w:rPr>
                    <w:t>钻前准备：包括定井位、道路修建、平整井场、开挖泥浆池、清水池、设备搬迁、设备安装、井口准备等。</w:t>
                  </w:r>
                </w:p>
                <w:p w14:paraId="6DC92FDA">
                  <w:pPr>
                    <w:pStyle w:val="94"/>
                    <w:jc w:val="left"/>
                    <w:rPr>
                      <w:color w:val="auto"/>
                    </w:rPr>
                  </w:pPr>
                  <w:r>
                    <w:rPr>
                      <w:rFonts w:hint="eastAsia"/>
                      <w:color w:val="auto"/>
                    </w:rPr>
                    <w:t>钻井：包括开钻、钻进、录井、固井、测井以及井口安装等。</w:t>
                  </w:r>
                </w:p>
                <w:p w14:paraId="0D7EE3A6">
                  <w:pPr>
                    <w:pStyle w:val="94"/>
                    <w:jc w:val="left"/>
                    <w:rPr>
                      <w:color w:val="auto"/>
                    </w:rPr>
                  </w:pPr>
                  <w:r>
                    <w:rPr>
                      <w:rFonts w:hint="eastAsia"/>
                      <w:color w:val="auto"/>
                    </w:rPr>
                    <w:t>固井：在井眼内下入套管，在套管与井壁环形空间，注入水泥浆，进行封固。</w:t>
                  </w:r>
                </w:p>
              </w:tc>
            </w:tr>
            <w:tr w14:paraId="0E293F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continue"/>
                  <w:vAlign w:val="center"/>
                </w:tcPr>
                <w:p w14:paraId="31EB2906">
                  <w:pPr>
                    <w:pStyle w:val="94"/>
                    <w:rPr>
                      <w:color w:val="auto"/>
                    </w:rPr>
                  </w:pPr>
                </w:p>
              </w:tc>
              <w:tc>
                <w:tcPr>
                  <w:tcW w:w="1134" w:type="pct"/>
                  <w:gridSpan w:val="2"/>
                  <w:vAlign w:val="center"/>
                </w:tcPr>
                <w:p w14:paraId="2591980F">
                  <w:pPr>
                    <w:pStyle w:val="94"/>
                    <w:rPr>
                      <w:color w:val="auto"/>
                    </w:rPr>
                  </w:pPr>
                  <w:r>
                    <w:rPr>
                      <w:rFonts w:hint="eastAsia"/>
                      <w:color w:val="auto"/>
                    </w:rPr>
                    <w:t>压裂、测试</w:t>
                  </w:r>
                </w:p>
              </w:tc>
              <w:tc>
                <w:tcPr>
                  <w:tcW w:w="3436" w:type="pct"/>
                  <w:vAlign w:val="center"/>
                </w:tcPr>
                <w:p w14:paraId="5D8338DC">
                  <w:pPr>
                    <w:pStyle w:val="94"/>
                    <w:jc w:val="left"/>
                    <w:rPr>
                      <w:color w:val="auto"/>
                    </w:rPr>
                  </w:pPr>
                  <w:r>
                    <w:rPr>
                      <w:rFonts w:hint="eastAsia"/>
                      <w:color w:val="auto"/>
                    </w:rPr>
                    <w:t>包括设备搬迁、开工准备、通井、洗井、试压、射孔、配液、储层改造即压裂、排液、测试、完井。压裂结束后所有临时压裂设备转移至下一井场。</w:t>
                  </w:r>
                </w:p>
              </w:tc>
            </w:tr>
            <w:tr w14:paraId="37B35B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430" w:type="pct"/>
                  <w:vMerge w:val="continue"/>
                  <w:vAlign w:val="center"/>
                </w:tcPr>
                <w:p w14:paraId="5F7E299E">
                  <w:pPr>
                    <w:pStyle w:val="94"/>
                    <w:rPr>
                      <w:color w:val="auto"/>
                    </w:rPr>
                  </w:pPr>
                </w:p>
              </w:tc>
              <w:tc>
                <w:tcPr>
                  <w:tcW w:w="1134" w:type="pct"/>
                  <w:gridSpan w:val="2"/>
                  <w:vAlign w:val="center"/>
                </w:tcPr>
                <w:p w14:paraId="060F7FF3">
                  <w:pPr>
                    <w:pStyle w:val="94"/>
                    <w:rPr>
                      <w:color w:val="auto"/>
                    </w:rPr>
                  </w:pPr>
                  <w:r>
                    <w:rPr>
                      <w:rFonts w:hint="eastAsia"/>
                      <w:color w:val="auto"/>
                    </w:rPr>
                    <w:t>试气</w:t>
                  </w:r>
                </w:p>
              </w:tc>
              <w:tc>
                <w:tcPr>
                  <w:tcW w:w="3436" w:type="pct"/>
                  <w:vAlign w:val="center"/>
                </w:tcPr>
                <w:p w14:paraId="1BAC2FD2">
                  <w:pPr>
                    <w:pStyle w:val="94"/>
                    <w:jc w:val="left"/>
                    <w:rPr>
                      <w:color w:val="auto"/>
                    </w:rPr>
                  </w:pPr>
                  <w:r>
                    <w:rPr>
                      <w:rFonts w:hint="eastAsia"/>
                      <w:color w:val="auto"/>
                    </w:rPr>
                    <w:t>每个井场设置</w:t>
                  </w:r>
                  <w:r>
                    <w:rPr>
                      <w:color w:val="auto"/>
                    </w:rPr>
                    <w:t>蓄液</w:t>
                  </w:r>
                  <w:r>
                    <w:rPr>
                      <w:rFonts w:hint="eastAsia"/>
                      <w:color w:val="auto"/>
                    </w:rPr>
                    <w:t>罐、致密气经点火方箱燃烧后排放。试气期结束后，井场地面除井口外的其他设备、设施均搬迁和拆除。</w:t>
                  </w:r>
                </w:p>
              </w:tc>
            </w:tr>
            <w:tr w14:paraId="78C53B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continue"/>
                  <w:vAlign w:val="center"/>
                </w:tcPr>
                <w:p w14:paraId="76B7661E">
                  <w:pPr>
                    <w:pStyle w:val="94"/>
                    <w:rPr>
                      <w:color w:val="auto"/>
                    </w:rPr>
                  </w:pPr>
                </w:p>
              </w:tc>
              <w:tc>
                <w:tcPr>
                  <w:tcW w:w="1134" w:type="pct"/>
                  <w:gridSpan w:val="2"/>
                  <w:vAlign w:val="center"/>
                </w:tcPr>
                <w:p w14:paraId="74D5798B">
                  <w:pPr>
                    <w:pStyle w:val="94"/>
                    <w:rPr>
                      <w:color w:val="auto"/>
                    </w:rPr>
                  </w:pPr>
                  <w:r>
                    <w:rPr>
                      <w:rFonts w:hint="eastAsia"/>
                      <w:color w:val="auto"/>
                    </w:rPr>
                    <w:t>封场</w:t>
                  </w:r>
                </w:p>
              </w:tc>
              <w:tc>
                <w:tcPr>
                  <w:tcW w:w="3436" w:type="pct"/>
                  <w:vAlign w:val="center"/>
                </w:tcPr>
                <w:p w14:paraId="3CA4B206">
                  <w:pPr>
                    <w:pStyle w:val="94"/>
                    <w:jc w:val="left"/>
                    <w:rPr>
                      <w:color w:val="auto"/>
                    </w:rPr>
                  </w:pPr>
                  <w:r>
                    <w:rPr>
                      <w:rFonts w:hint="eastAsia"/>
                      <w:color w:val="auto"/>
                    </w:rPr>
                    <w:t>试采结束后，关井。井口四周设通透网围栏。根据测试结果及后续开发需求决定是否再利用。</w:t>
                  </w:r>
                </w:p>
                <w:p w14:paraId="154E52A5">
                  <w:pPr>
                    <w:pStyle w:val="94"/>
                    <w:jc w:val="left"/>
                    <w:rPr>
                      <w:color w:val="auto"/>
                    </w:rPr>
                  </w:pPr>
                  <w:r>
                    <w:rPr>
                      <w:rFonts w:hint="eastAsia"/>
                      <w:color w:val="auto"/>
                    </w:rPr>
                    <w:t>试采相关设备和设施拆除并搬迁，清理井场，对井场占地进行生态</w:t>
                  </w:r>
                  <w:r>
                    <w:rPr>
                      <w:color w:val="auto"/>
                    </w:rPr>
                    <w:t>恢复</w:t>
                  </w:r>
                  <w:r>
                    <w:rPr>
                      <w:rFonts w:hint="eastAsia"/>
                      <w:color w:val="auto"/>
                    </w:rPr>
                    <w:t>。</w:t>
                  </w:r>
                </w:p>
              </w:tc>
            </w:tr>
            <w:tr w14:paraId="32DAA6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restart"/>
                  <w:vAlign w:val="center"/>
                </w:tcPr>
                <w:p w14:paraId="41956DEA">
                  <w:pPr>
                    <w:pStyle w:val="94"/>
                    <w:rPr>
                      <w:color w:val="auto"/>
                    </w:rPr>
                  </w:pPr>
                  <w:r>
                    <w:rPr>
                      <w:color w:val="auto"/>
                    </w:rPr>
                    <w:t>辅助工程</w:t>
                  </w:r>
                </w:p>
              </w:tc>
              <w:tc>
                <w:tcPr>
                  <w:tcW w:w="1134" w:type="pct"/>
                  <w:gridSpan w:val="2"/>
                  <w:vAlign w:val="center"/>
                </w:tcPr>
                <w:p w14:paraId="1CA67683">
                  <w:pPr>
                    <w:pStyle w:val="94"/>
                    <w:rPr>
                      <w:color w:val="auto"/>
                    </w:rPr>
                  </w:pPr>
                  <w:r>
                    <w:rPr>
                      <w:rFonts w:hint="eastAsia"/>
                      <w:color w:val="auto"/>
                    </w:rPr>
                    <w:t>录井房</w:t>
                  </w:r>
                </w:p>
              </w:tc>
              <w:tc>
                <w:tcPr>
                  <w:tcW w:w="3436" w:type="pct"/>
                  <w:vAlign w:val="center"/>
                </w:tcPr>
                <w:p w14:paraId="391D4486">
                  <w:pPr>
                    <w:pStyle w:val="94"/>
                    <w:jc w:val="left"/>
                    <w:rPr>
                      <w:color w:val="auto"/>
                    </w:rPr>
                  </w:pPr>
                  <w:r>
                    <w:rPr>
                      <w:rFonts w:hint="eastAsia"/>
                      <w:color w:val="auto"/>
                    </w:rPr>
                    <w:t>每个井场设1座，面积约为20m</w:t>
                  </w:r>
                  <w:r>
                    <w:rPr>
                      <w:rFonts w:hint="eastAsia"/>
                      <w:color w:val="auto"/>
                      <w:vertAlign w:val="superscript"/>
                    </w:rPr>
                    <w:t>2</w:t>
                  </w:r>
                  <w:r>
                    <w:rPr>
                      <w:rFonts w:hint="eastAsia"/>
                      <w:color w:val="auto"/>
                    </w:rPr>
                    <w:t>，采用集装箱式房。钻井期结束后箱式房搬出井场，转移至其他待钻井场。</w:t>
                  </w:r>
                </w:p>
              </w:tc>
            </w:tr>
            <w:tr w14:paraId="1A859C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continue"/>
                  <w:vAlign w:val="center"/>
                </w:tcPr>
                <w:p w14:paraId="093A92C0">
                  <w:pPr>
                    <w:pStyle w:val="94"/>
                    <w:rPr>
                      <w:color w:val="auto"/>
                    </w:rPr>
                  </w:pPr>
                </w:p>
              </w:tc>
              <w:tc>
                <w:tcPr>
                  <w:tcW w:w="1134" w:type="pct"/>
                  <w:gridSpan w:val="2"/>
                  <w:vAlign w:val="center"/>
                </w:tcPr>
                <w:p w14:paraId="271C822E">
                  <w:pPr>
                    <w:pStyle w:val="94"/>
                    <w:rPr>
                      <w:color w:val="auto"/>
                    </w:rPr>
                  </w:pPr>
                  <w:r>
                    <w:rPr>
                      <w:rFonts w:hint="eastAsia"/>
                      <w:color w:val="auto"/>
                    </w:rPr>
                    <w:t>进场道路</w:t>
                  </w:r>
                </w:p>
              </w:tc>
              <w:tc>
                <w:tcPr>
                  <w:tcW w:w="3436" w:type="pct"/>
                  <w:vAlign w:val="center"/>
                </w:tcPr>
                <w:p w14:paraId="0BBADB8E">
                  <w:pPr>
                    <w:pStyle w:val="94"/>
                    <w:jc w:val="left"/>
                    <w:rPr>
                      <w:color w:val="auto"/>
                    </w:rPr>
                  </w:pPr>
                  <w:r>
                    <w:rPr>
                      <w:rFonts w:hint="eastAsia"/>
                      <w:color w:val="auto"/>
                    </w:rPr>
                    <w:t>井场进场</w:t>
                  </w:r>
                  <w:r>
                    <w:rPr>
                      <w:color w:val="auto"/>
                    </w:rPr>
                    <w:t>道路</w:t>
                  </w:r>
                  <w:r>
                    <w:rPr>
                      <w:rFonts w:hint="eastAsia"/>
                      <w:color w:val="auto"/>
                    </w:rPr>
                    <w:t>利用现有乡村道路，部分井场需建设井场道路，新建井场道路总长为3</w:t>
                  </w:r>
                  <w:r>
                    <w:rPr>
                      <w:color w:val="auto"/>
                    </w:rPr>
                    <w:t>.51</w:t>
                  </w:r>
                  <w:r>
                    <w:rPr>
                      <w:rFonts w:hint="eastAsia"/>
                      <w:color w:val="auto"/>
                    </w:rPr>
                    <w:t>km，路面宽3.5m。</w:t>
                  </w:r>
                </w:p>
              </w:tc>
            </w:tr>
            <w:tr w14:paraId="523A76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continue"/>
                  <w:vAlign w:val="center"/>
                </w:tcPr>
                <w:p w14:paraId="12E2B8E6">
                  <w:pPr>
                    <w:pStyle w:val="94"/>
                    <w:rPr>
                      <w:color w:val="auto"/>
                    </w:rPr>
                  </w:pPr>
                </w:p>
              </w:tc>
              <w:tc>
                <w:tcPr>
                  <w:tcW w:w="1134" w:type="pct"/>
                  <w:gridSpan w:val="2"/>
                  <w:vAlign w:val="center"/>
                </w:tcPr>
                <w:p w14:paraId="1EDBFFE3">
                  <w:pPr>
                    <w:pStyle w:val="94"/>
                    <w:rPr>
                      <w:color w:val="auto"/>
                    </w:rPr>
                  </w:pPr>
                  <w:r>
                    <w:rPr>
                      <w:rFonts w:hint="eastAsia"/>
                      <w:color w:val="auto"/>
                    </w:rPr>
                    <w:t>场内地面</w:t>
                  </w:r>
                </w:p>
              </w:tc>
              <w:tc>
                <w:tcPr>
                  <w:tcW w:w="3436" w:type="pct"/>
                  <w:vAlign w:val="center"/>
                </w:tcPr>
                <w:p w14:paraId="78F46102">
                  <w:pPr>
                    <w:pStyle w:val="94"/>
                    <w:jc w:val="left"/>
                    <w:rPr>
                      <w:color w:val="auto"/>
                    </w:rPr>
                  </w:pPr>
                  <w:r>
                    <w:rPr>
                      <w:rFonts w:hint="eastAsia"/>
                      <w:color w:val="auto"/>
                    </w:rPr>
                    <w:t>井场平整后进行压实，不做硬化。油罐区、撬装式危险废物贮存点、泥浆池以及设备区铺三层防渗膜。</w:t>
                  </w:r>
                </w:p>
              </w:tc>
            </w:tr>
            <w:tr w14:paraId="36D29D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continue"/>
                  <w:vAlign w:val="center"/>
                </w:tcPr>
                <w:p w14:paraId="27EA6251">
                  <w:pPr>
                    <w:pStyle w:val="94"/>
                    <w:rPr>
                      <w:color w:val="auto"/>
                    </w:rPr>
                  </w:pPr>
                </w:p>
              </w:tc>
              <w:tc>
                <w:tcPr>
                  <w:tcW w:w="1134" w:type="pct"/>
                  <w:gridSpan w:val="2"/>
                  <w:vAlign w:val="center"/>
                </w:tcPr>
                <w:p w14:paraId="65CA8A9A">
                  <w:pPr>
                    <w:pStyle w:val="94"/>
                    <w:rPr>
                      <w:color w:val="auto"/>
                    </w:rPr>
                  </w:pPr>
                  <w:r>
                    <w:rPr>
                      <w:rFonts w:hint="eastAsia"/>
                      <w:color w:val="auto"/>
                    </w:rPr>
                    <w:t>生活区</w:t>
                  </w:r>
                </w:p>
              </w:tc>
              <w:tc>
                <w:tcPr>
                  <w:tcW w:w="3436" w:type="pct"/>
                  <w:vAlign w:val="center"/>
                </w:tcPr>
                <w:p w14:paraId="2634133C">
                  <w:pPr>
                    <w:pStyle w:val="94"/>
                    <w:jc w:val="left"/>
                    <w:rPr>
                      <w:color w:val="auto"/>
                    </w:rPr>
                  </w:pPr>
                  <w:r>
                    <w:rPr>
                      <w:rFonts w:hint="eastAsia"/>
                      <w:color w:val="auto"/>
                    </w:rPr>
                    <w:t>钻井期各井场生活区设集装箱式房作为职工宿舍。</w:t>
                  </w:r>
                </w:p>
              </w:tc>
            </w:tr>
            <w:tr w14:paraId="3D2433C9">
              <w:tblPrEx>
                <w:tblCellMar>
                  <w:top w:w="0" w:type="dxa"/>
                  <w:left w:w="10" w:type="dxa"/>
                  <w:bottom w:w="0" w:type="dxa"/>
                  <w:right w:w="10" w:type="dxa"/>
                </w:tblCellMar>
              </w:tblPrEx>
              <w:tc>
                <w:tcPr>
                  <w:tcW w:w="430" w:type="pct"/>
                  <w:vMerge w:val="restart"/>
                  <w:vAlign w:val="center"/>
                </w:tcPr>
                <w:p w14:paraId="48FA5DA9">
                  <w:pPr>
                    <w:pStyle w:val="94"/>
                    <w:rPr>
                      <w:color w:val="auto"/>
                    </w:rPr>
                  </w:pPr>
                  <w:r>
                    <w:rPr>
                      <w:color w:val="auto"/>
                    </w:rPr>
                    <w:t>公用工程</w:t>
                  </w:r>
                </w:p>
              </w:tc>
              <w:tc>
                <w:tcPr>
                  <w:tcW w:w="1134" w:type="pct"/>
                  <w:gridSpan w:val="2"/>
                  <w:vAlign w:val="center"/>
                </w:tcPr>
                <w:p w14:paraId="47E7FBDA">
                  <w:pPr>
                    <w:pStyle w:val="94"/>
                    <w:rPr>
                      <w:color w:val="auto"/>
                    </w:rPr>
                  </w:pPr>
                  <w:r>
                    <w:rPr>
                      <w:rFonts w:hint="eastAsia"/>
                      <w:color w:val="auto"/>
                    </w:rPr>
                    <w:t>供水</w:t>
                  </w:r>
                </w:p>
              </w:tc>
              <w:tc>
                <w:tcPr>
                  <w:tcW w:w="3436" w:type="pct"/>
                  <w:vAlign w:val="center"/>
                </w:tcPr>
                <w:p w14:paraId="29B5C3C5">
                  <w:pPr>
                    <w:pStyle w:val="94"/>
                    <w:jc w:val="left"/>
                    <w:rPr>
                      <w:color w:val="auto"/>
                    </w:rPr>
                  </w:pPr>
                  <w:r>
                    <w:rPr>
                      <w:rFonts w:hint="eastAsia"/>
                      <w:color w:val="auto"/>
                    </w:rPr>
                    <w:t>各井场用水取自附近村庄，由罐车拉入。每个井场设有清水池300m</w:t>
                  </w:r>
                  <w:r>
                    <w:rPr>
                      <w:rFonts w:hint="eastAsia"/>
                      <w:color w:val="auto"/>
                      <w:vertAlign w:val="superscript"/>
                    </w:rPr>
                    <w:t>3</w:t>
                  </w:r>
                  <w:r>
                    <w:rPr>
                      <w:rFonts w:hint="eastAsia"/>
                      <w:color w:val="auto"/>
                    </w:rPr>
                    <w:t>（10m×5.5m×5.5m）。</w:t>
                  </w:r>
                </w:p>
              </w:tc>
            </w:tr>
            <w:tr w14:paraId="75CB1F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continue"/>
                  <w:vAlign w:val="center"/>
                </w:tcPr>
                <w:p w14:paraId="30E369FB">
                  <w:pPr>
                    <w:pStyle w:val="94"/>
                    <w:rPr>
                      <w:color w:val="auto"/>
                    </w:rPr>
                  </w:pPr>
                </w:p>
              </w:tc>
              <w:tc>
                <w:tcPr>
                  <w:tcW w:w="1134" w:type="pct"/>
                  <w:gridSpan w:val="2"/>
                  <w:vAlign w:val="center"/>
                </w:tcPr>
                <w:p w14:paraId="1F65925C">
                  <w:pPr>
                    <w:pStyle w:val="94"/>
                    <w:rPr>
                      <w:color w:val="auto"/>
                    </w:rPr>
                  </w:pPr>
                  <w:r>
                    <w:rPr>
                      <w:rFonts w:hint="eastAsia"/>
                      <w:color w:val="auto"/>
                    </w:rPr>
                    <w:t>供电</w:t>
                  </w:r>
                </w:p>
              </w:tc>
              <w:tc>
                <w:tcPr>
                  <w:tcW w:w="3436" w:type="pct"/>
                  <w:vAlign w:val="center"/>
                </w:tcPr>
                <w:p w14:paraId="16AC948A">
                  <w:pPr>
                    <w:pStyle w:val="94"/>
                    <w:jc w:val="left"/>
                    <w:rPr>
                      <w:color w:val="auto"/>
                    </w:rPr>
                  </w:pPr>
                  <w:r>
                    <w:rPr>
                      <w:rFonts w:hint="eastAsia"/>
                      <w:color w:val="auto"/>
                    </w:rPr>
                    <w:t>井场钻井、完井期、试气期钻机及各类泵用电采用自备柴油机发电。</w:t>
                  </w:r>
                </w:p>
              </w:tc>
            </w:tr>
            <w:tr w14:paraId="0B73BA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continue"/>
                  <w:vAlign w:val="center"/>
                </w:tcPr>
                <w:p w14:paraId="0C8B8D90">
                  <w:pPr>
                    <w:pStyle w:val="94"/>
                    <w:rPr>
                      <w:color w:val="auto"/>
                    </w:rPr>
                  </w:pPr>
                </w:p>
              </w:tc>
              <w:tc>
                <w:tcPr>
                  <w:tcW w:w="1134" w:type="pct"/>
                  <w:gridSpan w:val="2"/>
                  <w:vAlign w:val="center"/>
                </w:tcPr>
                <w:p w14:paraId="60C29312">
                  <w:pPr>
                    <w:pStyle w:val="94"/>
                    <w:rPr>
                      <w:color w:val="auto"/>
                    </w:rPr>
                  </w:pPr>
                  <w:r>
                    <w:rPr>
                      <w:rFonts w:hint="eastAsia"/>
                      <w:color w:val="auto"/>
                    </w:rPr>
                    <w:t>柴油灌区</w:t>
                  </w:r>
                </w:p>
              </w:tc>
              <w:tc>
                <w:tcPr>
                  <w:tcW w:w="3436" w:type="pct"/>
                  <w:vAlign w:val="center"/>
                </w:tcPr>
                <w:p w14:paraId="2390F780">
                  <w:pPr>
                    <w:pStyle w:val="94"/>
                    <w:jc w:val="left"/>
                    <w:rPr>
                      <w:color w:val="auto"/>
                    </w:rPr>
                  </w:pPr>
                  <w:r>
                    <w:rPr>
                      <w:rFonts w:hint="eastAsia"/>
                      <w:color w:val="auto"/>
                    </w:rPr>
                    <w:t>每个井场设1个柴油罐区，采用三层防渗膜防渗，并设围堰。</w:t>
                  </w:r>
                </w:p>
              </w:tc>
            </w:tr>
            <w:tr w14:paraId="5831C1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continue"/>
                  <w:vAlign w:val="center"/>
                </w:tcPr>
                <w:p w14:paraId="71D20105">
                  <w:pPr>
                    <w:pStyle w:val="94"/>
                    <w:rPr>
                      <w:color w:val="auto"/>
                    </w:rPr>
                  </w:pPr>
                </w:p>
              </w:tc>
              <w:tc>
                <w:tcPr>
                  <w:tcW w:w="1134" w:type="pct"/>
                  <w:gridSpan w:val="2"/>
                  <w:vAlign w:val="center"/>
                </w:tcPr>
                <w:p w14:paraId="207DFFA6">
                  <w:pPr>
                    <w:pStyle w:val="94"/>
                    <w:rPr>
                      <w:color w:val="auto"/>
                    </w:rPr>
                  </w:pPr>
                  <w:r>
                    <w:rPr>
                      <w:rFonts w:hint="eastAsia"/>
                      <w:color w:val="auto"/>
                    </w:rPr>
                    <w:t>消防</w:t>
                  </w:r>
                </w:p>
              </w:tc>
              <w:tc>
                <w:tcPr>
                  <w:tcW w:w="3436" w:type="pct"/>
                  <w:vAlign w:val="center"/>
                </w:tcPr>
                <w:p w14:paraId="1CC54D43">
                  <w:pPr>
                    <w:pStyle w:val="94"/>
                    <w:jc w:val="left"/>
                    <w:rPr>
                      <w:color w:val="auto"/>
                    </w:rPr>
                  </w:pPr>
                  <w:r>
                    <w:rPr>
                      <w:rFonts w:hint="eastAsia"/>
                      <w:color w:val="auto"/>
                    </w:rPr>
                    <w:t>各井场钻井期设有消防区，配置相应的消防器材。试气期井场设有灭火器等消防器材。</w:t>
                  </w:r>
                </w:p>
              </w:tc>
            </w:tr>
            <w:tr w14:paraId="746408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restart"/>
                  <w:vAlign w:val="center"/>
                </w:tcPr>
                <w:p w14:paraId="07DA4F1C">
                  <w:pPr>
                    <w:pStyle w:val="94"/>
                    <w:rPr>
                      <w:color w:val="auto"/>
                    </w:rPr>
                  </w:pPr>
                  <w:r>
                    <w:rPr>
                      <w:color w:val="auto"/>
                    </w:rPr>
                    <w:t>环保</w:t>
                  </w:r>
                </w:p>
                <w:p w14:paraId="5D198A56">
                  <w:pPr>
                    <w:pStyle w:val="94"/>
                    <w:rPr>
                      <w:color w:val="auto"/>
                    </w:rPr>
                  </w:pPr>
                  <w:r>
                    <w:rPr>
                      <w:color w:val="auto"/>
                    </w:rPr>
                    <w:t>工程</w:t>
                  </w:r>
                </w:p>
              </w:tc>
              <w:tc>
                <w:tcPr>
                  <w:tcW w:w="296" w:type="pct"/>
                  <w:vMerge w:val="restart"/>
                  <w:vAlign w:val="center"/>
                </w:tcPr>
                <w:p w14:paraId="37DCE2AE">
                  <w:pPr>
                    <w:pStyle w:val="94"/>
                    <w:rPr>
                      <w:color w:val="auto"/>
                    </w:rPr>
                  </w:pPr>
                  <w:r>
                    <w:rPr>
                      <w:color w:val="auto"/>
                    </w:rPr>
                    <w:t>废气</w:t>
                  </w:r>
                </w:p>
              </w:tc>
              <w:tc>
                <w:tcPr>
                  <w:tcW w:w="838" w:type="pct"/>
                  <w:vAlign w:val="center"/>
                </w:tcPr>
                <w:p w14:paraId="2FF0F418">
                  <w:pPr>
                    <w:pStyle w:val="94"/>
                    <w:rPr>
                      <w:color w:val="auto"/>
                    </w:rPr>
                  </w:pPr>
                  <w:r>
                    <w:rPr>
                      <w:rFonts w:hint="eastAsia"/>
                      <w:color w:val="auto"/>
                    </w:rPr>
                    <w:t>施工扬尘</w:t>
                  </w:r>
                </w:p>
              </w:tc>
              <w:tc>
                <w:tcPr>
                  <w:tcW w:w="3436" w:type="pct"/>
                  <w:vAlign w:val="center"/>
                </w:tcPr>
                <w:p w14:paraId="49D1101D">
                  <w:pPr>
                    <w:pStyle w:val="94"/>
                    <w:jc w:val="left"/>
                    <w:rPr>
                      <w:color w:val="auto"/>
                    </w:rPr>
                  </w:pPr>
                  <w:r>
                    <w:rPr>
                      <w:rFonts w:hint="eastAsia"/>
                      <w:color w:val="auto"/>
                    </w:rPr>
                    <w:t>合理规划运输路线、运输车辆和堆存的土方加盖篷布，定期洒水；避免在大风天气进行土地开挖和回填作业；尽量减少开挖土方的露天堆放时间。</w:t>
                  </w:r>
                </w:p>
              </w:tc>
            </w:tr>
            <w:tr w14:paraId="1A312F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continue"/>
                  <w:vAlign w:val="center"/>
                </w:tcPr>
                <w:p w14:paraId="3CB0438E">
                  <w:pPr>
                    <w:pStyle w:val="94"/>
                    <w:rPr>
                      <w:color w:val="auto"/>
                    </w:rPr>
                  </w:pPr>
                </w:p>
              </w:tc>
              <w:tc>
                <w:tcPr>
                  <w:tcW w:w="296" w:type="pct"/>
                  <w:vMerge w:val="continue"/>
                  <w:vAlign w:val="center"/>
                </w:tcPr>
                <w:p w14:paraId="511C7308">
                  <w:pPr>
                    <w:pStyle w:val="94"/>
                    <w:rPr>
                      <w:color w:val="auto"/>
                    </w:rPr>
                  </w:pPr>
                </w:p>
              </w:tc>
              <w:tc>
                <w:tcPr>
                  <w:tcW w:w="838" w:type="pct"/>
                  <w:vAlign w:val="center"/>
                </w:tcPr>
                <w:p w14:paraId="4B75C895">
                  <w:pPr>
                    <w:pStyle w:val="94"/>
                    <w:rPr>
                      <w:color w:val="auto"/>
                    </w:rPr>
                  </w:pPr>
                  <w:r>
                    <w:rPr>
                      <w:rFonts w:hint="eastAsia"/>
                      <w:color w:val="auto"/>
                    </w:rPr>
                    <w:t>表土堆放</w:t>
                  </w:r>
                </w:p>
              </w:tc>
              <w:tc>
                <w:tcPr>
                  <w:tcW w:w="3436" w:type="pct"/>
                  <w:vAlign w:val="center"/>
                </w:tcPr>
                <w:p w14:paraId="009CCB55">
                  <w:pPr>
                    <w:pStyle w:val="94"/>
                    <w:jc w:val="left"/>
                    <w:rPr>
                      <w:color w:val="auto"/>
                    </w:rPr>
                  </w:pPr>
                  <w:r>
                    <w:rPr>
                      <w:rFonts w:hint="eastAsia"/>
                      <w:color w:val="auto"/>
                    </w:rPr>
                    <w:t>将表层土单独保留，其余用于泥浆池周围构筑土坝建设，剩余土石方堆存于表土堆场，并进行苫盖。待完井后可用于泥浆池土方回填和井场土地复垦。如井场继续利用，表层土在井场范围外荒地均匀摊平，剩余土石方用于基坑的回填及后期道路铺设。</w:t>
                  </w:r>
                </w:p>
              </w:tc>
            </w:tr>
            <w:tr w14:paraId="1EB823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continue"/>
                  <w:vAlign w:val="center"/>
                </w:tcPr>
                <w:p w14:paraId="6BE9E81E">
                  <w:pPr>
                    <w:pStyle w:val="94"/>
                    <w:rPr>
                      <w:color w:val="auto"/>
                    </w:rPr>
                  </w:pPr>
                </w:p>
              </w:tc>
              <w:tc>
                <w:tcPr>
                  <w:tcW w:w="296" w:type="pct"/>
                  <w:vMerge w:val="continue"/>
                  <w:vAlign w:val="center"/>
                </w:tcPr>
                <w:p w14:paraId="077AB828">
                  <w:pPr>
                    <w:pStyle w:val="94"/>
                    <w:rPr>
                      <w:color w:val="auto"/>
                    </w:rPr>
                  </w:pPr>
                </w:p>
              </w:tc>
              <w:tc>
                <w:tcPr>
                  <w:tcW w:w="838" w:type="pct"/>
                  <w:vAlign w:val="center"/>
                </w:tcPr>
                <w:p w14:paraId="09F78BF5">
                  <w:pPr>
                    <w:pStyle w:val="94"/>
                    <w:rPr>
                      <w:color w:val="auto"/>
                    </w:rPr>
                  </w:pPr>
                  <w:r>
                    <w:rPr>
                      <w:rFonts w:hint="eastAsia"/>
                      <w:color w:val="auto"/>
                    </w:rPr>
                    <w:t>试采致密气</w:t>
                  </w:r>
                </w:p>
              </w:tc>
              <w:tc>
                <w:tcPr>
                  <w:tcW w:w="3436" w:type="pct"/>
                  <w:vAlign w:val="center"/>
                </w:tcPr>
                <w:p w14:paraId="78C0FD08">
                  <w:pPr>
                    <w:pStyle w:val="94"/>
                    <w:jc w:val="left"/>
                    <w:rPr>
                      <w:color w:val="auto"/>
                    </w:rPr>
                  </w:pPr>
                  <w:r>
                    <w:rPr>
                      <w:rFonts w:hint="eastAsia"/>
                      <w:color w:val="auto"/>
                    </w:rPr>
                    <w:t>每个井场设置点火方箱，试采阶段致密气经燃烧后排空。</w:t>
                  </w:r>
                </w:p>
              </w:tc>
            </w:tr>
            <w:tr w14:paraId="081064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continue"/>
                  <w:vAlign w:val="center"/>
                </w:tcPr>
                <w:p w14:paraId="193AA2FD">
                  <w:pPr>
                    <w:pStyle w:val="94"/>
                    <w:rPr>
                      <w:color w:val="auto"/>
                    </w:rPr>
                  </w:pPr>
                </w:p>
              </w:tc>
              <w:tc>
                <w:tcPr>
                  <w:tcW w:w="296" w:type="pct"/>
                  <w:vMerge w:val="continue"/>
                  <w:vAlign w:val="center"/>
                </w:tcPr>
                <w:p w14:paraId="798B87CB">
                  <w:pPr>
                    <w:pStyle w:val="94"/>
                    <w:rPr>
                      <w:color w:val="auto"/>
                    </w:rPr>
                  </w:pPr>
                </w:p>
              </w:tc>
              <w:tc>
                <w:tcPr>
                  <w:tcW w:w="838" w:type="pct"/>
                  <w:vAlign w:val="center"/>
                </w:tcPr>
                <w:p w14:paraId="78E56650">
                  <w:pPr>
                    <w:pStyle w:val="94"/>
                    <w:rPr>
                      <w:color w:val="auto"/>
                    </w:rPr>
                  </w:pPr>
                  <w:r>
                    <w:rPr>
                      <w:rFonts w:hint="eastAsia"/>
                      <w:color w:val="auto"/>
                    </w:rPr>
                    <w:t>柴油机</w:t>
                  </w:r>
                </w:p>
              </w:tc>
              <w:tc>
                <w:tcPr>
                  <w:tcW w:w="3436" w:type="pct"/>
                  <w:vAlign w:val="center"/>
                </w:tcPr>
                <w:p w14:paraId="1392F6BD">
                  <w:pPr>
                    <w:pStyle w:val="94"/>
                    <w:jc w:val="left"/>
                    <w:rPr>
                      <w:color w:val="auto"/>
                    </w:rPr>
                  </w:pPr>
                  <w:r>
                    <w:rPr>
                      <w:rFonts w:hint="eastAsia"/>
                      <w:color w:val="auto"/>
                    </w:rPr>
                    <w:t>使用高效节能环保型柴油动力机组和优质燃油，定期对柴油机、柴油发电机等设备进行维护。</w:t>
                  </w:r>
                </w:p>
              </w:tc>
            </w:tr>
            <w:tr w14:paraId="132444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continue"/>
                  <w:vAlign w:val="center"/>
                </w:tcPr>
                <w:p w14:paraId="77FB2317">
                  <w:pPr>
                    <w:pStyle w:val="94"/>
                    <w:rPr>
                      <w:color w:val="auto"/>
                    </w:rPr>
                  </w:pPr>
                </w:p>
              </w:tc>
              <w:tc>
                <w:tcPr>
                  <w:tcW w:w="296" w:type="pct"/>
                  <w:vMerge w:val="restart"/>
                  <w:vAlign w:val="center"/>
                </w:tcPr>
                <w:p w14:paraId="787E2642">
                  <w:pPr>
                    <w:pStyle w:val="94"/>
                    <w:rPr>
                      <w:color w:val="auto"/>
                    </w:rPr>
                  </w:pPr>
                  <w:r>
                    <w:rPr>
                      <w:color w:val="auto"/>
                    </w:rPr>
                    <w:t>废水</w:t>
                  </w:r>
                </w:p>
              </w:tc>
              <w:tc>
                <w:tcPr>
                  <w:tcW w:w="838" w:type="pct"/>
                  <w:vAlign w:val="center"/>
                </w:tcPr>
                <w:p w14:paraId="1A8EAA64">
                  <w:pPr>
                    <w:pStyle w:val="94"/>
                    <w:rPr>
                      <w:color w:val="auto"/>
                    </w:rPr>
                  </w:pPr>
                  <w:r>
                    <w:rPr>
                      <w:rFonts w:hint="eastAsia"/>
                      <w:color w:val="auto"/>
                    </w:rPr>
                    <w:t>钻井泥浆水</w:t>
                  </w:r>
                </w:p>
              </w:tc>
              <w:tc>
                <w:tcPr>
                  <w:tcW w:w="3436" w:type="pct"/>
                  <w:vAlign w:val="center"/>
                </w:tcPr>
                <w:p w14:paraId="6E2B6DE8">
                  <w:pPr>
                    <w:pStyle w:val="94"/>
                    <w:jc w:val="left"/>
                    <w:rPr>
                      <w:color w:val="auto"/>
                    </w:rPr>
                  </w:pPr>
                  <w:r>
                    <w:rPr>
                      <w:rFonts w:hint="eastAsia"/>
                      <w:color w:val="auto"/>
                    </w:rPr>
                    <w:t>采用振动筛分离钻屑后循环使用。每个井场建设容积为400m</w:t>
                  </w:r>
                  <w:r>
                    <w:rPr>
                      <w:rFonts w:hint="eastAsia"/>
                      <w:color w:val="auto"/>
                      <w:vertAlign w:val="superscript"/>
                    </w:rPr>
                    <w:t>3</w:t>
                  </w:r>
                  <w:r>
                    <w:rPr>
                      <w:rFonts w:hint="eastAsia"/>
                      <w:color w:val="auto"/>
                    </w:rPr>
                    <w:t>（20m×5m×</w:t>
                  </w:r>
                  <w:r>
                    <w:rPr>
                      <w:color w:val="auto"/>
                    </w:rPr>
                    <w:t>4</w:t>
                  </w:r>
                  <w:r>
                    <w:rPr>
                      <w:rFonts w:hint="eastAsia"/>
                      <w:color w:val="auto"/>
                    </w:rPr>
                    <w:t>m）的泥浆池，共21个；泥浆池地面采用粘土+三层土工膜防渗基础。钻井结束后与废弃泥浆、岩屑一起固化进行无害化处置。</w:t>
                  </w:r>
                </w:p>
              </w:tc>
            </w:tr>
            <w:tr w14:paraId="6C25FF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continue"/>
                  <w:vAlign w:val="center"/>
                </w:tcPr>
                <w:p w14:paraId="715A7B73">
                  <w:pPr>
                    <w:pStyle w:val="94"/>
                    <w:rPr>
                      <w:color w:val="auto"/>
                    </w:rPr>
                  </w:pPr>
                </w:p>
              </w:tc>
              <w:tc>
                <w:tcPr>
                  <w:tcW w:w="296" w:type="pct"/>
                  <w:vMerge w:val="continue"/>
                  <w:vAlign w:val="center"/>
                </w:tcPr>
                <w:p w14:paraId="373ED9D2">
                  <w:pPr>
                    <w:pStyle w:val="94"/>
                    <w:rPr>
                      <w:color w:val="auto"/>
                    </w:rPr>
                  </w:pPr>
                </w:p>
              </w:tc>
              <w:tc>
                <w:tcPr>
                  <w:tcW w:w="838" w:type="pct"/>
                  <w:vAlign w:val="center"/>
                </w:tcPr>
                <w:p w14:paraId="01372EA0">
                  <w:pPr>
                    <w:pStyle w:val="94"/>
                    <w:rPr>
                      <w:color w:val="auto"/>
                    </w:rPr>
                  </w:pPr>
                  <w:r>
                    <w:rPr>
                      <w:rFonts w:hint="eastAsia"/>
                      <w:color w:val="auto"/>
                    </w:rPr>
                    <w:t>设备和钻台清洗废水</w:t>
                  </w:r>
                </w:p>
              </w:tc>
              <w:tc>
                <w:tcPr>
                  <w:tcW w:w="3436" w:type="pct"/>
                  <w:vAlign w:val="center"/>
                </w:tcPr>
                <w:p w14:paraId="3D0461BA">
                  <w:pPr>
                    <w:pStyle w:val="94"/>
                    <w:jc w:val="left"/>
                    <w:rPr>
                      <w:color w:val="auto"/>
                    </w:rPr>
                  </w:pPr>
                  <w:r>
                    <w:rPr>
                      <w:rFonts w:hint="eastAsia"/>
                      <w:color w:val="auto"/>
                    </w:rPr>
                    <w:t>全部进入泥浆池经沉淀后循环使用。</w:t>
                  </w:r>
                </w:p>
              </w:tc>
            </w:tr>
            <w:tr w14:paraId="1D9626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continue"/>
                  <w:vAlign w:val="center"/>
                </w:tcPr>
                <w:p w14:paraId="08D526FD">
                  <w:pPr>
                    <w:pStyle w:val="94"/>
                    <w:rPr>
                      <w:color w:val="auto"/>
                    </w:rPr>
                  </w:pPr>
                </w:p>
              </w:tc>
              <w:tc>
                <w:tcPr>
                  <w:tcW w:w="296" w:type="pct"/>
                  <w:vMerge w:val="continue"/>
                  <w:vAlign w:val="center"/>
                </w:tcPr>
                <w:p w14:paraId="744574D3">
                  <w:pPr>
                    <w:pStyle w:val="94"/>
                    <w:rPr>
                      <w:color w:val="auto"/>
                    </w:rPr>
                  </w:pPr>
                </w:p>
              </w:tc>
              <w:tc>
                <w:tcPr>
                  <w:tcW w:w="838" w:type="pct"/>
                  <w:vAlign w:val="center"/>
                </w:tcPr>
                <w:p w14:paraId="279FB658">
                  <w:pPr>
                    <w:pStyle w:val="94"/>
                    <w:rPr>
                      <w:color w:val="auto"/>
                    </w:rPr>
                  </w:pPr>
                  <w:r>
                    <w:rPr>
                      <w:rFonts w:hint="eastAsia"/>
                      <w:color w:val="auto"/>
                    </w:rPr>
                    <w:t>生活污水</w:t>
                  </w:r>
                </w:p>
              </w:tc>
              <w:tc>
                <w:tcPr>
                  <w:tcW w:w="3436" w:type="pct"/>
                  <w:vAlign w:val="center"/>
                </w:tcPr>
                <w:p w14:paraId="352312D4">
                  <w:pPr>
                    <w:pStyle w:val="94"/>
                    <w:jc w:val="left"/>
                    <w:rPr>
                      <w:color w:val="auto"/>
                    </w:rPr>
                  </w:pPr>
                  <w:r>
                    <w:rPr>
                      <w:rFonts w:hint="eastAsia"/>
                      <w:color w:val="auto"/>
                    </w:rPr>
                    <w:t>施工人员生活污水主要为盥洗废水，经沉淀后用于周边道路洒水；场区设旱厕，定期清掏用作农肥。</w:t>
                  </w:r>
                </w:p>
              </w:tc>
            </w:tr>
            <w:tr w14:paraId="7072F0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continue"/>
                  <w:vAlign w:val="center"/>
                </w:tcPr>
                <w:p w14:paraId="243FD004">
                  <w:pPr>
                    <w:pStyle w:val="94"/>
                    <w:rPr>
                      <w:color w:val="auto"/>
                    </w:rPr>
                  </w:pPr>
                </w:p>
              </w:tc>
              <w:tc>
                <w:tcPr>
                  <w:tcW w:w="296" w:type="pct"/>
                  <w:vMerge w:val="continue"/>
                  <w:vAlign w:val="center"/>
                </w:tcPr>
                <w:p w14:paraId="3F1C01DE">
                  <w:pPr>
                    <w:pStyle w:val="94"/>
                    <w:rPr>
                      <w:color w:val="auto"/>
                    </w:rPr>
                  </w:pPr>
                </w:p>
              </w:tc>
              <w:tc>
                <w:tcPr>
                  <w:tcW w:w="838" w:type="pct"/>
                  <w:vAlign w:val="center"/>
                </w:tcPr>
                <w:p w14:paraId="30808860">
                  <w:pPr>
                    <w:pStyle w:val="94"/>
                    <w:rPr>
                      <w:color w:val="auto"/>
                    </w:rPr>
                  </w:pPr>
                  <w:r>
                    <w:rPr>
                      <w:rFonts w:hint="eastAsia"/>
                      <w:color w:val="auto"/>
                    </w:rPr>
                    <w:t>压裂返排液</w:t>
                  </w:r>
                </w:p>
              </w:tc>
              <w:tc>
                <w:tcPr>
                  <w:tcW w:w="3436" w:type="pct"/>
                  <w:vAlign w:val="center"/>
                </w:tcPr>
                <w:p w14:paraId="4DFCA5D6">
                  <w:pPr>
                    <w:pStyle w:val="94"/>
                    <w:jc w:val="left"/>
                    <w:rPr>
                      <w:color w:val="auto"/>
                    </w:rPr>
                  </w:pPr>
                  <w:r>
                    <w:rPr>
                      <w:rFonts w:hint="eastAsia"/>
                      <w:color w:val="auto"/>
                    </w:rPr>
                    <w:t>压裂结束后部分压裂液由地层返排出来，井场采用软体罐或钢罐进行存储，拉运至</w:t>
                  </w:r>
                  <w:r>
                    <w:rPr>
                      <w:color w:val="auto"/>
                      <w:lang w:bidi="ar"/>
                    </w:rPr>
                    <w:t>压裂返排液处理后用于回配压裂液和钻井用水</w:t>
                  </w:r>
                  <w:r>
                    <w:rPr>
                      <w:rFonts w:hint="eastAsia"/>
                      <w:color w:val="auto"/>
                    </w:rPr>
                    <w:t>。</w:t>
                  </w:r>
                </w:p>
              </w:tc>
            </w:tr>
            <w:tr w14:paraId="2C9E10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continue"/>
                  <w:vAlign w:val="center"/>
                </w:tcPr>
                <w:p w14:paraId="04762FEC">
                  <w:pPr>
                    <w:pStyle w:val="94"/>
                    <w:rPr>
                      <w:color w:val="auto"/>
                    </w:rPr>
                  </w:pPr>
                </w:p>
              </w:tc>
              <w:tc>
                <w:tcPr>
                  <w:tcW w:w="296" w:type="pct"/>
                  <w:vMerge w:val="continue"/>
                  <w:vAlign w:val="center"/>
                </w:tcPr>
                <w:p w14:paraId="45191E37">
                  <w:pPr>
                    <w:pStyle w:val="94"/>
                    <w:rPr>
                      <w:color w:val="auto"/>
                    </w:rPr>
                  </w:pPr>
                </w:p>
              </w:tc>
              <w:tc>
                <w:tcPr>
                  <w:tcW w:w="838" w:type="pct"/>
                  <w:vAlign w:val="center"/>
                </w:tcPr>
                <w:p w14:paraId="6FA907A2">
                  <w:pPr>
                    <w:pStyle w:val="94"/>
                    <w:rPr>
                      <w:color w:val="auto"/>
                    </w:rPr>
                  </w:pPr>
                  <w:r>
                    <w:rPr>
                      <w:rFonts w:hint="eastAsia"/>
                      <w:color w:val="auto"/>
                    </w:rPr>
                    <w:t>采出水</w:t>
                  </w:r>
                </w:p>
              </w:tc>
              <w:tc>
                <w:tcPr>
                  <w:tcW w:w="3436" w:type="pct"/>
                  <w:vAlign w:val="center"/>
                </w:tcPr>
                <w:p w14:paraId="4296C205">
                  <w:pPr>
                    <w:pStyle w:val="94"/>
                    <w:jc w:val="left"/>
                    <w:rPr>
                      <w:color w:val="auto"/>
                    </w:rPr>
                  </w:pPr>
                  <w:r>
                    <w:rPr>
                      <w:rFonts w:hint="eastAsia"/>
                      <w:color w:val="auto"/>
                    </w:rPr>
                    <w:t>返排或试采阶段后期产生的采出水，采用软体罐或钢罐进行存储，拉运至中联煤层气有限责任公司临兴西区</w:t>
                  </w:r>
                  <w:r>
                    <w:rPr>
                      <w:color w:val="auto"/>
                    </w:rPr>
                    <w:t>(山西区块)开发项目</w:t>
                  </w:r>
                  <w:r>
                    <w:rPr>
                      <w:rFonts w:hint="eastAsia"/>
                      <w:color w:val="auto"/>
                    </w:rPr>
                    <w:t>排采水处理</w:t>
                  </w:r>
                  <w:r>
                    <w:rPr>
                      <w:color w:val="auto"/>
                    </w:rPr>
                    <w:t>2站处理后循环使用于下一口井压裂</w:t>
                  </w:r>
                  <w:r>
                    <w:rPr>
                      <w:rFonts w:hint="eastAsia"/>
                      <w:color w:val="auto"/>
                    </w:rPr>
                    <w:t>或钻井用水</w:t>
                  </w:r>
                  <w:r>
                    <w:rPr>
                      <w:color w:val="auto"/>
                    </w:rPr>
                    <w:t>，不外排</w:t>
                  </w:r>
                  <w:r>
                    <w:rPr>
                      <w:rFonts w:hint="eastAsia"/>
                      <w:color w:val="auto"/>
                    </w:rPr>
                    <w:t>。</w:t>
                  </w:r>
                </w:p>
              </w:tc>
            </w:tr>
            <w:tr w14:paraId="65924D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continue"/>
                  <w:vAlign w:val="center"/>
                </w:tcPr>
                <w:p w14:paraId="46EC2B22">
                  <w:pPr>
                    <w:pStyle w:val="94"/>
                    <w:rPr>
                      <w:color w:val="auto"/>
                    </w:rPr>
                  </w:pPr>
                </w:p>
              </w:tc>
              <w:tc>
                <w:tcPr>
                  <w:tcW w:w="296" w:type="pct"/>
                  <w:vAlign w:val="center"/>
                </w:tcPr>
                <w:p w14:paraId="6D3FA45F">
                  <w:pPr>
                    <w:pStyle w:val="94"/>
                    <w:rPr>
                      <w:color w:val="auto"/>
                    </w:rPr>
                  </w:pPr>
                  <w:r>
                    <w:rPr>
                      <w:color w:val="auto"/>
                    </w:rPr>
                    <w:t>噪声</w:t>
                  </w:r>
                </w:p>
              </w:tc>
              <w:tc>
                <w:tcPr>
                  <w:tcW w:w="838" w:type="pct"/>
                  <w:vAlign w:val="center"/>
                </w:tcPr>
                <w:p w14:paraId="3D91B55E">
                  <w:pPr>
                    <w:pStyle w:val="94"/>
                    <w:rPr>
                      <w:color w:val="auto"/>
                    </w:rPr>
                  </w:pPr>
                  <w:r>
                    <w:rPr>
                      <w:rFonts w:hint="eastAsia"/>
                      <w:color w:val="auto"/>
                    </w:rPr>
                    <w:t>钻机、柴油机、泵类等</w:t>
                  </w:r>
                </w:p>
              </w:tc>
              <w:tc>
                <w:tcPr>
                  <w:tcW w:w="3436" w:type="pct"/>
                  <w:vAlign w:val="center"/>
                </w:tcPr>
                <w:p w14:paraId="19E79D82">
                  <w:pPr>
                    <w:pStyle w:val="94"/>
                    <w:jc w:val="left"/>
                    <w:rPr>
                      <w:color w:val="auto"/>
                    </w:rPr>
                  </w:pPr>
                  <w:r>
                    <w:rPr>
                      <w:rFonts w:hint="eastAsia"/>
                      <w:color w:val="auto"/>
                    </w:rPr>
                    <w:t>钻机、柴油机、泵类等选取低噪声设备，采取减震等措施。</w:t>
                  </w:r>
                </w:p>
              </w:tc>
            </w:tr>
            <w:tr w14:paraId="019EB8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continue"/>
                  <w:vAlign w:val="center"/>
                </w:tcPr>
                <w:p w14:paraId="38A8C0F2">
                  <w:pPr>
                    <w:pStyle w:val="94"/>
                    <w:rPr>
                      <w:color w:val="auto"/>
                    </w:rPr>
                  </w:pPr>
                </w:p>
              </w:tc>
              <w:tc>
                <w:tcPr>
                  <w:tcW w:w="296" w:type="pct"/>
                  <w:vMerge w:val="restart"/>
                  <w:vAlign w:val="center"/>
                </w:tcPr>
                <w:p w14:paraId="3CFEE3D3">
                  <w:pPr>
                    <w:pStyle w:val="94"/>
                    <w:rPr>
                      <w:color w:val="auto"/>
                    </w:rPr>
                  </w:pPr>
                  <w:r>
                    <w:rPr>
                      <w:color w:val="auto"/>
                    </w:rPr>
                    <w:t>固体废物</w:t>
                  </w:r>
                </w:p>
              </w:tc>
              <w:tc>
                <w:tcPr>
                  <w:tcW w:w="838" w:type="pct"/>
                  <w:vAlign w:val="center"/>
                </w:tcPr>
                <w:p w14:paraId="1976DC50">
                  <w:pPr>
                    <w:pStyle w:val="94"/>
                    <w:rPr>
                      <w:color w:val="auto"/>
                    </w:rPr>
                  </w:pPr>
                  <w:r>
                    <w:rPr>
                      <w:rFonts w:hint="eastAsia"/>
                      <w:color w:val="auto"/>
                    </w:rPr>
                    <w:t>钻井泥浆、岩屑</w:t>
                  </w:r>
                </w:p>
              </w:tc>
              <w:tc>
                <w:tcPr>
                  <w:tcW w:w="3436" w:type="pct"/>
                  <w:vAlign w:val="center"/>
                </w:tcPr>
                <w:p w14:paraId="7FEEA78D">
                  <w:pPr>
                    <w:pStyle w:val="94"/>
                    <w:jc w:val="left"/>
                    <w:rPr>
                      <w:color w:val="auto"/>
                    </w:rPr>
                  </w:pPr>
                  <w:r>
                    <w:rPr>
                      <w:rFonts w:hint="eastAsia"/>
                      <w:color w:val="auto"/>
                    </w:rPr>
                    <w:t>钻井岩屑、废泥浆进行无害化</w:t>
                  </w:r>
                  <w:r>
                    <w:rPr>
                      <w:color w:val="auto"/>
                    </w:rPr>
                    <w:t>固化处理</w:t>
                  </w:r>
                  <w:r>
                    <w:rPr>
                      <w:rFonts w:hint="eastAsia"/>
                      <w:color w:val="auto"/>
                    </w:rPr>
                    <w:t>。</w:t>
                  </w:r>
                </w:p>
              </w:tc>
            </w:tr>
            <w:tr w14:paraId="70A2E9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continue"/>
                  <w:vAlign w:val="center"/>
                </w:tcPr>
                <w:p w14:paraId="4124253A">
                  <w:pPr>
                    <w:pStyle w:val="94"/>
                    <w:rPr>
                      <w:color w:val="auto"/>
                    </w:rPr>
                  </w:pPr>
                </w:p>
              </w:tc>
              <w:tc>
                <w:tcPr>
                  <w:tcW w:w="296" w:type="pct"/>
                  <w:vMerge w:val="continue"/>
                  <w:vAlign w:val="center"/>
                </w:tcPr>
                <w:p w14:paraId="22B507FA">
                  <w:pPr>
                    <w:pStyle w:val="94"/>
                    <w:rPr>
                      <w:color w:val="auto"/>
                    </w:rPr>
                  </w:pPr>
                </w:p>
              </w:tc>
              <w:tc>
                <w:tcPr>
                  <w:tcW w:w="838" w:type="pct"/>
                  <w:vAlign w:val="center"/>
                </w:tcPr>
                <w:p w14:paraId="15FFC1F6">
                  <w:pPr>
                    <w:pStyle w:val="94"/>
                    <w:rPr>
                      <w:color w:val="auto"/>
                    </w:rPr>
                  </w:pPr>
                  <w:r>
                    <w:rPr>
                      <w:rFonts w:hint="eastAsia"/>
                      <w:color w:val="auto"/>
                    </w:rPr>
                    <w:t>废矿物油/废油桶/废棉纱/废手套</w:t>
                  </w:r>
                </w:p>
              </w:tc>
              <w:tc>
                <w:tcPr>
                  <w:tcW w:w="3436" w:type="pct"/>
                  <w:vAlign w:val="center"/>
                </w:tcPr>
                <w:p w14:paraId="0FC0C06E">
                  <w:pPr>
                    <w:pStyle w:val="94"/>
                    <w:jc w:val="left"/>
                    <w:rPr>
                      <w:color w:val="auto"/>
                    </w:rPr>
                  </w:pPr>
                  <w:r>
                    <w:rPr>
                      <w:rFonts w:hint="eastAsia"/>
                      <w:color w:val="auto"/>
                    </w:rPr>
                    <w:t>每个井场建设一个10m</w:t>
                  </w:r>
                  <w:r>
                    <w:rPr>
                      <w:rFonts w:hint="eastAsia"/>
                      <w:color w:val="auto"/>
                      <w:vertAlign w:val="superscript"/>
                    </w:rPr>
                    <w:t>2</w:t>
                  </w:r>
                  <w:r>
                    <w:rPr>
                      <w:rFonts w:hint="eastAsia"/>
                      <w:color w:val="auto"/>
                    </w:rPr>
                    <w:t>危险废物贮存点，为撬装式危险废物贮存点。撬装式危险废物贮存点顶部设置防雨棚，地面设置围堰，地面作防渗处理，满足防风、防雨、防晒要求。各井场危险废物由专用密闭容器收集后暂存于撬装式危险废物贮存点，定期交由有资质单位处置。</w:t>
                  </w:r>
                </w:p>
              </w:tc>
            </w:tr>
            <w:tr w14:paraId="7381F8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continue"/>
                  <w:vAlign w:val="center"/>
                </w:tcPr>
                <w:p w14:paraId="34D4185A">
                  <w:pPr>
                    <w:pStyle w:val="94"/>
                    <w:rPr>
                      <w:color w:val="auto"/>
                    </w:rPr>
                  </w:pPr>
                </w:p>
              </w:tc>
              <w:tc>
                <w:tcPr>
                  <w:tcW w:w="296" w:type="pct"/>
                  <w:vMerge w:val="continue"/>
                  <w:vAlign w:val="center"/>
                </w:tcPr>
                <w:p w14:paraId="47B7132E">
                  <w:pPr>
                    <w:pStyle w:val="94"/>
                    <w:rPr>
                      <w:color w:val="auto"/>
                    </w:rPr>
                  </w:pPr>
                </w:p>
              </w:tc>
              <w:tc>
                <w:tcPr>
                  <w:tcW w:w="838" w:type="pct"/>
                  <w:vAlign w:val="center"/>
                </w:tcPr>
                <w:p w14:paraId="5567A76C">
                  <w:pPr>
                    <w:pStyle w:val="94"/>
                    <w:rPr>
                      <w:color w:val="auto"/>
                    </w:rPr>
                  </w:pPr>
                  <w:r>
                    <w:rPr>
                      <w:rFonts w:hint="eastAsia"/>
                      <w:color w:val="auto"/>
                    </w:rPr>
                    <w:t>生活垃圾</w:t>
                  </w:r>
                </w:p>
              </w:tc>
              <w:tc>
                <w:tcPr>
                  <w:tcW w:w="3436" w:type="pct"/>
                  <w:vAlign w:val="center"/>
                </w:tcPr>
                <w:p w14:paraId="048EC0AA">
                  <w:pPr>
                    <w:pStyle w:val="94"/>
                    <w:jc w:val="left"/>
                    <w:rPr>
                      <w:color w:val="auto"/>
                    </w:rPr>
                  </w:pPr>
                  <w:r>
                    <w:rPr>
                      <w:rFonts w:hint="eastAsia"/>
                      <w:color w:val="auto"/>
                    </w:rPr>
                    <w:t>井场施工人员的生活垃圾收集后送往当地环卫部门统一处理</w:t>
                  </w:r>
                </w:p>
              </w:tc>
            </w:tr>
            <w:tr w14:paraId="0B02F0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30" w:type="pct"/>
                  <w:vMerge w:val="continue"/>
                  <w:vAlign w:val="center"/>
                </w:tcPr>
                <w:p w14:paraId="5C34746C">
                  <w:pPr>
                    <w:pStyle w:val="94"/>
                    <w:rPr>
                      <w:color w:val="auto"/>
                    </w:rPr>
                  </w:pPr>
                </w:p>
              </w:tc>
              <w:tc>
                <w:tcPr>
                  <w:tcW w:w="1134" w:type="pct"/>
                  <w:gridSpan w:val="2"/>
                  <w:vAlign w:val="center"/>
                </w:tcPr>
                <w:p w14:paraId="63633A1C">
                  <w:pPr>
                    <w:pStyle w:val="94"/>
                    <w:rPr>
                      <w:color w:val="auto"/>
                    </w:rPr>
                  </w:pPr>
                  <w:r>
                    <w:rPr>
                      <w:rFonts w:hint="eastAsia"/>
                      <w:color w:val="auto"/>
                    </w:rPr>
                    <w:t>生态（完井</w:t>
                  </w:r>
                  <w:r>
                    <w:rPr>
                      <w:color w:val="auto"/>
                    </w:rPr>
                    <w:t>和井场</w:t>
                  </w:r>
                  <w:r>
                    <w:rPr>
                      <w:rFonts w:hint="eastAsia"/>
                      <w:color w:val="auto"/>
                    </w:rPr>
                    <w:t>恢复）</w:t>
                  </w:r>
                </w:p>
              </w:tc>
              <w:tc>
                <w:tcPr>
                  <w:tcW w:w="3436" w:type="pct"/>
                  <w:vAlign w:val="center"/>
                </w:tcPr>
                <w:p w14:paraId="70B92D12">
                  <w:pPr>
                    <w:pStyle w:val="94"/>
                    <w:jc w:val="left"/>
                    <w:rPr>
                      <w:color w:val="auto"/>
                    </w:rPr>
                  </w:pPr>
                  <w:r>
                    <w:rPr>
                      <w:rFonts w:hint="eastAsia"/>
                      <w:color w:val="auto"/>
                    </w:rPr>
                    <w:t>勘探期结束后，经过评价作为开发井使用的按照环保要求完善开发阶段的环保手续，用于下一步的开发；如果钻井没有经济利用价值，则进行关井，将试采设备进行拆卸和搬迁后，将建井初期推土机推出的表土回填场地，恢复原状或进行生态恢复。井口设置围栏保护。</w:t>
                  </w:r>
                </w:p>
              </w:tc>
            </w:tr>
          </w:tbl>
          <w:p w14:paraId="0ADB7855">
            <w:pPr>
              <w:pStyle w:val="96"/>
              <w:ind w:firstLine="480"/>
            </w:pPr>
            <w:r>
              <w:rPr>
                <w:rFonts w:hint="eastAsia"/>
              </w:rPr>
              <w:t>（3）致密气气层</w:t>
            </w:r>
            <w:r>
              <w:t>分布及性质</w:t>
            </w:r>
          </w:p>
          <w:p w14:paraId="20A4024A">
            <w:pPr>
              <w:pStyle w:val="96"/>
              <w:ind w:firstLine="480"/>
            </w:pPr>
            <w:r>
              <w:rPr>
                <w:rFonts w:hint="eastAsia"/>
              </w:rPr>
              <w:t>项目区气层分布具备四个特点：①气层相对集中在千5段、盒2段、盒3段、盒6段、盒7段、山</w:t>
            </w:r>
            <w:r>
              <w:t>2</w:t>
            </w:r>
            <w:r>
              <w:rPr>
                <w:rFonts w:hint="eastAsia"/>
              </w:rPr>
              <w:t>段和太原组等</w:t>
            </w:r>
            <w:r>
              <w:t>7</w:t>
            </w:r>
            <w:r>
              <w:rPr>
                <w:rFonts w:hint="eastAsia"/>
              </w:rPr>
              <w:t>个层段，深度介于1102.</w:t>
            </w:r>
            <w:r>
              <w:t>0m~</w:t>
            </w:r>
            <w:r>
              <w:rPr>
                <w:rFonts w:hint="eastAsia"/>
              </w:rPr>
              <w:t>2493.9m；②砂岩中致密气充满程度和气层叠置关系复杂，单砂体中气层多见全部充满、局部充满和多层充满三种类型；③单个气藏多为透镜状，不同气藏叠置呈“准连续”带状分布。</w:t>
            </w:r>
          </w:p>
          <w:p w14:paraId="4EF88735">
            <w:pPr>
              <w:pStyle w:val="96"/>
              <w:ind w:firstLine="480"/>
            </w:pPr>
            <w:r>
              <w:rPr>
                <w:rFonts w:hint="eastAsia"/>
              </w:rPr>
              <w:t>从致密气组份分析数据表来看，主要成份为甲烷，甲烷平均含量</w:t>
            </w:r>
            <w:r>
              <w:t>95.65%，相对密度在0.6左右，乙烷含量2%-5%，C</w:t>
            </w:r>
            <w:r>
              <w:rPr>
                <w:vertAlign w:val="subscript"/>
              </w:rPr>
              <w:t>3</w:t>
            </w:r>
            <w:r>
              <w:t>以上含量2%，含少量氮气和二氧化碳，不含H</w:t>
            </w:r>
            <w:r>
              <w:rPr>
                <w:vertAlign w:val="subscript"/>
              </w:rPr>
              <w:t>2</w:t>
            </w:r>
            <w:r>
              <w:t>S，</w:t>
            </w:r>
            <w:r>
              <w:rPr>
                <w:rFonts w:hint="eastAsia"/>
              </w:rPr>
              <w:t>属于干气。</w:t>
            </w:r>
          </w:p>
          <w:p w14:paraId="2F67CA2E">
            <w:pPr>
              <w:pStyle w:val="96"/>
              <w:ind w:firstLine="480"/>
            </w:pPr>
            <w:r>
              <w:rPr>
                <w:rFonts w:hint="eastAsia"/>
              </w:rPr>
              <w:t>千5段致密气气体相对密度为</w:t>
            </w:r>
            <w:r>
              <w:t>0.61</w:t>
            </w:r>
            <w:r>
              <w:rPr>
                <w:rFonts w:hint="eastAsia"/>
              </w:rPr>
              <w:t>g/cm</w:t>
            </w:r>
            <w:r>
              <w:rPr>
                <w:rFonts w:hint="eastAsia"/>
                <w:vertAlign w:val="superscript"/>
              </w:rPr>
              <w:t>3</w:t>
            </w:r>
            <w:r>
              <w:rPr>
                <w:rFonts w:hint="eastAsia"/>
              </w:rPr>
              <w:t>，主要成份为甲烷，甲烷含量</w:t>
            </w:r>
            <w:r>
              <w:t>平均值为91.89%，</w:t>
            </w:r>
            <w:r>
              <w:rPr>
                <w:rFonts w:hint="eastAsia"/>
              </w:rPr>
              <w:t>乙烷</w:t>
            </w:r>
            <w:r>
              <w:t>含量为平均值为</w:t>
            </w:r>
            <w:r>
              <w:rPr>
                <w:rFonts w:hint="eastAsia"/>
              </w:rPr>
              <w:t>3</w:t>
            </w:r>
            <w:r>
              <w:t>.83%，无其他烃类气体。含</w:t>
            </w:r>
            <w:r>
              <w:rPr>
                <w:rFonts w:hint="eastAsia"/>
              </w:rPr>
              <w:t>微量</w:t>
            </w:r>
            <w:r>
              <w:t>氮气和二氧化碳，氮气含量为平均值为0.55%；二氧化碳含量为平均值为1.24%，不含硫化氢。</w:t>
            </w:r>
          </w:p>
          <w:p w14:paraId="3BC41CF4">
            <w:pPr>
              <w:pStyle w:val="96"/>
              <w:ind w:firstLine="480"/>
            </w:pPr>
            <w:r>
              <w:rPr>
                <w:rFonts w:hint="eastAsia"/>
              </w:rPr>
              <w:t>盒</w:t>
            </w:r>
            <w:r>
              <w:t>2</w:t>
            </w:r>
            <w:r>
              <w:rPr>
                <w:rFonts w:hint="eastAsia"/>
              </w:rPr>
              <w:t>段致密气</w:t>
            </w:r>
            <w:r>
              <w:t>气体相对密度为0.62g/cm</w:t>
            </w:r>
            <w:r>
              <w:rPr>
                <w:vertAlign w:val="superscript"/>
              </w:rPr>
              <w:t>3</w:t>
            </w:r>
            <w:r>
              <w:rPr>
                <w:rFonts w:hint="eastAsia"/>
              </w:rPr>
              <w:t>，主要</w:t>
            </w:r>
            <w:r>
              <w:t>成份为甲烷</w:t>
            </w:r>
            <w:r>
              <w:rPr>
                <w:rFonts w:hint="eastAsia"/>
              </w:rPr>
              <w:t>，</w:t>
            </w:r>
            <w:r>
              <w:t>甲烷含量</w:t>
            </w:r>
            <w:r>
              <w:rPr>
                <w:rFonts w:hint="eastAsia"/>
              </w:rPr>
              <w:t>平均值为</w:t>
            </w:r>
            <w:r>
              <w:t>89.96</w:t>
            </w:r>
            <w:r>
              <w:rPr>
                <w:rFonts w:hint="eastAsia"/>
              </w:rPr>
              <w:t>%。乙烷含量平均值为</w:t>
            </w:r>
            <w:r>
              <w:t>5.08</w:t>
            </w:r>
            <w:r>
              <w:rPr>
                <w:rFonts w:hint="eastAsia"/>
              </w:rPr>
              <w:t>%，无其他烃类气体。含微量氮气和二氧化碳，氮气含量平均值为</w:t>
            </w:r>
            <w:r>
              <w:t>1.94</w:t>
            </w:r>
            <w:r>
              <w:rPr>
                <w:rFonts w:hint="eastAsia"/>
              </w:rPr>
              <w:t>%；二氧化碳含量为</w:t>
            </w:r>
            <w:r>
              <w:t>1.45</w:t>
            </w:r>
            <w:r>
              <w:rPr>
                <w:rFonts w:hint="eastAsia"/>
              </w:rPr>
              <w:t>%，不含硫化氢。</w:t>
            </w:r>
          </w:p>
          <w:p w14:paraId="6BD959D4">
            <w:pPr>
              <w:pStyle w:val="96"/>
              <w:ind w:firstLine="480"/>
            </w:pPr>
            <w:r>
              <w:rPr>
                <w:rFonts w:hint="eastAsia"/>
              </w:rPr>
              <w:t>盒6段致密气相对密度为</w:t>
            </w:r>
            <w:r>
              <w:t>0.6</w:t>
            </w:r>
            <w:r>
              <w:rPr>
                <w:rFonts w:hint="eastAsia"/>
              </w:rPr>
              <w:t>g/cm</w:t>
            </w:r>
            <w:r>
              <w:rPr>
                <w:rFonts w:hint="eastAsia"/>
                <w:vertAlign w:val="superscript"/>
              </w:rPr>
              <w:t>3</w:t>
            </w:r>
            <w:r>
              <w:rPr>
                <w:rFonts w:hint="eastAsia"/>
              </w:rPr>
              <w:t>，主要成份为甲烷，含量平均值为</w:t>
            </w:r>
            <w:r>
              <w:t>93.39</w:t>
            </w:r>
            <w:r>
              <w:rPr>
                <w:rFonts w:hint="eastAsia"/>
              </w:rPr>
              <w:t>%，乙烷含量平均值为</w:t>
            </w:r>
            <w:r>
              <w:t>3.99</w:t>
            </w:r>
            <w:r>
              <w:rPr>
                <w:rFonts w:hint="eastAsia"/>
              </w:rPr>
              <w:t>%，无其他烃类气体。含微量氮气和二氧化碳，其中氮气含量平均值为</w:t>
            </w:r>
            <w:r>
              <w:t>1.03</w:t>
            </w:r>
            <w:r>
              <w:rPr>
                <w:rFonts w:hint="eastAsia"/>
              </w:rPr>
              <w:t>%；二氧化碳含量平均值为</w:t>
            </w:r>
            <w:r>
              <w:t>0.92</w:t>
            </w:r>
            <w:r>
              <w:rPr>
                <w:rFonts w:hint="eastAsia"/>
              </w:rPr>
              <w:t>%，无硫化氢。</w:t>
            </w:r>
          </w:p>
          <w:p w14:paraId="0C57FCB3">
            <w:pPr>
              <w:pStyle w:val="96"/>
              <w:ind w:firstLine="480"/>
            </w:pPr>
            <w:r>
              <w:rPr>
                <w:rFonts w:hint="eastAsia"/>
              </w:rPr>
              <w:t>盒</w:t>
            </w:r>
            <w:r>
              <w:t>7</w:t>
            </w:r>
            <w:r>
              <w:rPr>
                <w:rFonts w:hint="eastAsia"/>
              </w:rPr>
              <w:t>段致密气相对密度为</w:t>
            </w:r>
            <w:r>
              <w:t>0.58</w:t>
            </w:r>
            <w:r>
              <w:rPr>
                <w:rFonts w:hint="eastAsia"/>
              </w:rPr>
              <w:t>g/cm</w:t>
            </w:r>
            <w:r>
              <w:rPr>
                <w:vertAlign w:val="superscript"/>
              </w:rPr>
              <w:t>3</w:t>
            </w:r>
            <w:r>
              <w:rPr>
                <w:rFonts w:hint="eastAsia"/>
              </w:rPr>
              <w:t>，主要成份为甲烷，含量平均值为</w:t>
            </w:r>
            <w:r>
              <w:t>96.56</w:t>
            </w:r>
            <w:r>
              <w:rPr>
                <w:rFonts w:hint="eastAsia"/>
              </w:rPr>
              <w:t>%，乙烷含量平均值为</w:t>
            </w:r>
            <w:r>
              <w:t>1.75</w:t>
            </w:r>
            <w:r>
              <w:rPr>
                <w:rFonts w:hint="eastAsia"/>
              </w:rPr>
              <w:t>%，无其他烃类气体，含微量二氧化碳，二氧化碳含量为</w:t>
            </w:r>
            <w:r>
              <w:t>0.35</w:t>
            </w:r>
            <w:r>
              <w:rPr>
                <w:rFonts w:hint="eastAsia"/>
              </w:rPr>
              <w:t>%，无硫化氢。</w:t>
            </w:r>
          </w:p>
          <w:p w14:paraId="26861B0C">
            <w:pPr>
              <w:pStyle w:val="96"/>
              <w:ind w:firstLine="480"/>
            </w:pPr>
            <w:r>
              <w:rPr>
                <w:rFonts w:hint="eastAsia"/>
              </w:rPr>
              <w:t>山</w:t>
            </w:r>
            <w:r>
              <w:t>2</w:t>
            </w:r>
            <w:r>
              <w:rPr>
                <w:rFonts w:hint="eastAsia"/>
              </w:rPr>
              <w:t>段致密气相对密度为</w:t>
            </w:r>
            <w:r>
              <w:t>0.61</w:t>
            </w:r>
            <w:r>
              <w:rPr>
                <w:rFonts w:hint="eastAsia"/>
              </w:rPr>
              <w:t>g/cm</w:t>
            </w:r>
            <w:r>
              <w:rPr>
                <w:rFonts w:hint="eastAsia"/>
                <w:vertAlign w:val="superscript"/>
              </w:rPr>
              <w:t>3</w:t>
            </w:r>
            <w:r>
              <w:rPr>
                <w:rFonts w:hint="eastAsia"/>
              </w:rPr>
              <w:t>，主要成份为甲烷，含量平均值为</w:t>
            </w:r>
            <w:r>
              <w:t>91.47</w:t>
            </w:r>
            <w:r>
              <w:rPr>
                <w:rFonts w:hint="eastAsia"/>
              </w:rPr>
              <w:t>%。乙烷含量平均值为</w:t>
            </w:r>
            <w:r>
              <w:t>4.38</w:t>
            </w:r>
            <w:r>
              <w:rPr>
                <w:rFonts w:hint="eastAsia"/>
              </w:rPr>
              <w:t>%，无其他烃类气体，含微量氮气和二氧化碳，其中氮气含量平均值为1.0</w:t>
            </w:r>
            <w:r>
              <w:t>6</w:t>
            </w:r>
            <w:r>
              <w:rPr>
                <w:rFonts w:hint="eastAsia"/>
              </w:rPr>
              <w:t>%；二氧化碳含量为</w:t>
            </w:r>
            <w:r>
              <w:t>0.32</w:t>
            </w:r>
            <w:r>
              <w:rPr>
                <w:rFonts w:hint="eastAsia"/>
              </w:rPr>
              <w:t>%，无硫化氢。</w:t>
            </w:r>
          </w:p>
          <w:p w14:paraId="053F0986">
            <w:pPr>
              <w:pStyle w:val="96"/>
              <w:ind w:firstLine="480"/>
            </w:pPr>
            <w:r>
              <w:rPr>
                <w:rFonts w:hint="eastAsia"/>
              </w:rPr>
              <w:t>太原组致密气相对密度为</w:t>
            </w:r>
            <w:r>
              <w:t>0.56</w:t>
            </w:r>
            <w:r>
              <w:rPr>
                <w:rFonts w:hint="eastAsia"/>
              </w:rPr>
              <w:t>g/cm</w:t>
            </w:r>
            <w:r>
              <w:rPr>
                <w:rFonts w:hint="eastAsia"/>
                <w:vertAlign w:val="superscript"/>
              </w:rPr>
              <w:t>3</w:t>
            </w:r>
            <w:r>
              <w:rPr>
                <w:rFonts w:hint="eastAsia"/>
              </w:rPr>
              <w:t>，主要成份为甲烷，含量平均值为</w:t>
            </w:r>
            <w:r>
              <w:t>98.84</w:t>
            </w:r>
            <w:r>
              <w:rPr>
                <w:rFonts w:hint="eastAsia"/>
              </w:rPr>
              <w:t>%。乙烷含量平均值为</w:t>
            </w:r>
            <w:r>
              <w:t>0.78</w:t>
            </w:r>
            <w:r>
              <w:rPr>
                <w:rFonts w:hint="eastAsia"/>
              </w:rPr>
              <w:t>%，无其他烃类气体，含微量氮气和二氧化碳，其中氮气含量平均值为</w:t>
            </w:r>
            <w:r>
              <w:t>0.15</w:t>
            </w:r>
            <w:r>
              <w:rPr>
                <w:rFonts w:hint="eastAsia"/>
              </w:rPr>
              <w:t>%；二氧化碳含量为</w:t>
            </w:r>
            <w:r>
              <w:t>0.02</w:t>
            </w:r>
            <w:r>
              <w:rPr>
                <w:rFonts w:hint="eastAsia"/>
              </w:rPr>
              <w:t>%，无硫化氢。</w:t>
            </w:r>
          </w:p>
          <w:p w14:paraId="01C861CC">
            <w:pPr>
              <w:pStyle w:val="96"/>
              <w:ind w:firstLine="480"/>
            </w:pPr>
            <w:r>
              <w:rPr>
                <w:rFonts w:hint="eastAsia"/>
              </w:rPr>
              <w:t>综上</w:t>
            </w:r>
            <w:r>
              <w:t>，项目</w:t>
            </w:r>
            <w:r>
              <w:rPr>
                <w:rFonts w:hint="eastAsia"/>
              </w:rPr>
              <w:t>区致密气</w:t>
            </w:r>
            <w:r>
              <w:t>高位发热量</w:t>
            </w:r>
            <w:r>
              <w:rPr>
                <w:rFonts w:hint="eastAsia"/>
              </w:rPr>
              <w:t>约38.04MJ/</w:t>
            </w:r>
            <w:r>
              <w:t>m</w:t>
            </w:r>
            <w:r>
              <w:rPr>
                <w:vertAlign w:val="superscript"/>
              </w:rPr>
              <w:t>3</w:t>
            </w:r>
            <w:r>
              <w:rPr>
                <w:rFonts w:hint="eastAsia"/>
              </w:rPr>
              <w:t>，低位发热量</w:t>
            </w:r>
            <w:r>
              <w:t>约</w:t>
            </w:r>
            <w:r>
              <w:rPr>
                <w:rFonts w:hint="eastAsia"/>
              </w:rPr>
              <w:t>34.25MJ/</w:t>
            </w:r>
            <w:r>
              <w:t>m</w:t>
            </w:r>
            <w:r>
              <w:rPr>
                <w:vertAlign w:val="superscript"/>
              </w:rPr>
              <w:t>3</w:t>
            </w:r>
            <w:r>
              <w:rPr>
                <w:rFonts w:hint="eastAsia"/>
              </w:rPr>
              <w:t>，二氧化碳</w:t>
            </w:r>
            <w:r>
              <w:t>含量在</w:t>
            </w:r>
            <w:r>
              <w:rPr>
                <w:rFonts w:hint="eastAsia"/>
              </w:rPr>
              <w:t>0.02</w:t>
            </w:r>
            <w:r>
              <w:t>%~2.71%</w:t>
            </w:r>
            <w:r>
              <w:rPr>
                <w:rFonts w:hint="eastAsia"/>
              </w:rPr>
              <w:t>之间</w:t>
            </w:r>
            <w:r>
              <w:t>，</w:t>
            </w:r>
            <w:r>
              <w:rPr>
                <w:rFonts w:hint="eastAsia"/>
              </w:rPr>
              <w:t>无</w:t>
            </w:r>
            <w:r>
              <w:t>硫化氢，</w:t>
            </w:r>
            <w:r>
              <w:rPr>
                <w:rFonts w:hint="eastAsia"/>
              </w:rPr>
              <w:t>符合《</w:t>
            </w:r>
            <w:r>
              <w:rPr>
                <w:rFonts w:hint="eastAsia"/>
                <w:szCs w:val="21"/>
              </w:rPr>
              <w:t>天然气</w:t>
            </w:r>
            <w:r>
              <w:rPr>
                <w:rFonts w:hint="eastAsia"/>
              </w:rPr>
              <w:t>》（GB17820-2018）中一类天然气的要求。</w:t>
            </w:r>
          </w:p>
          <w:p w14:paraId="7F5C78B1">
            <w:pPr>
              <w:pStyle w:val="96"/>
              <w:ind w:firstLine="480"/>
            </w:pPr>
            <w:r>
              <w:rPr>
                <w:rFonts w:hint="eastAsia"/>
              </w:rPr>
              <w:t>（4）主要设备及参数</w:t>
            </w:r>
          </w:p>
          <w:p w14:paraId="198F173D">
            <w:pPr>
              <w:pStyle w:val="96"/>
              <w:ind w:firstLine="480"/>
            </w:pPr>
            <w:r>
              <w:t>21</w:t>
            </w:r>
            <w:r>
              <w:rPr>
                <w:rFonts w:hint="eastAsia"/>
              </w:rPr>
              <w:t>座井场依次进行钻井，各井场的施工建设内容大致相同。各致密气井的勘探过程为钻井→压裂→试采，单个勘探井各阶段的主要设备情况见下表。</w:t>
            </w:r>
          </w:p>
          <w:p w14:paraId="217B5029">
            <w:pPr>
              <w:pStyle w:val="19"/>
              <w:keepNext/>
            </w:pPr>
            <w:r>
              <w:t xml:space="preserve">表 </w:t>
            </w:r>
            <w:r>
              <w:fldChar w:fldCharType="begin"/>
            </w:r>
            <w:r>
              <w:instrText xml:space="preserve"> SEQ 表 \* ARABIC </w:instrText>
            </w:r>
            <w:r>
              <w:fldChar w:fldCharType="separate"/>
            </w:r>
            <w:r>
              <w:t>11</w:t>
            </w:r>
            <w:r>
              <w:fldChar w:fldCharType="end"/>
            </w:r>
            <w:r>
              <w:rPr>
                <w:rFonts w:hint="eastAsia"/>
              </w:rPr>
              <w:t>单个勘探井主要设备情况一览表</w:t>
            </w:r>
          </w:p>
          <w:tbl>
            <w:tblPr>
              <w:tblStyle w:val="114"/>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25"/>
              <w:gridCol w:w="2267"/>
              <w:gridCol w:w="4538"/>
              <w:gridCol w:w="836"/>
            </w:tblGrid>
            <w:tr w14:paraId="3FB2B8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053FC5D9">
                  <w:pPr>
                    <w:pStyle w:val="94"/>
                  </w:pPr>
                  <w:r>
                    <w:rPr>
                      <w:rFonts w:hint="eastAsia"/>
                    </w:rPr>
                    <w:t>序号</w:t>
                  </w:r>
                </w:p>
              </w:tc>
              <w:tc>
                <w:tcPr>
                  <w:tcW w:w="1339" w:type="pct"/>
                  <w:vAlign w:val="center"/>
                </w:tcPr>
                <w:p w14:paraId="7A95BA05">
                  <w:pPr>
                    <w:pStyle w:val="94"/>
                  </w:pPr>
                  <w:r>
                    <w:rPr>
                      <w:rFonts w:hint="eastAsia"/>
                    </w:rPr>
                    <w:t>设备名称</w:t>
                  </w:r>
                </w:p>
              </w:tc>
              <w:tc>
                <w:tcPr>
                  <w:tcW w:w="2680" w:type="pct"/>
                  <w:vAlign w:val="center"/>
                </w:tcPr>
                <w:p w14:paraId="5D0E47C1">
                  <w:pPr>
                    <w:pStyle w:val="94"/>
                  </w:pPr>
                  <w:r>
                    <w:rPr>
                      <w:rFonts w:hint="eastAsia"/>
                    </w:rPr>
                    <w:t>设备型号及主要技术参数</w:t>
                  </w:r>
                </w:p>
              </w:tc>
              <w:tc>
                <w:tcPr>
                  <w:tcW w:w="494" w:type="pct"/>
                  <w:vAlign w:val="center"/>
                </w:tcPr>
                <w:p w14:paraId="07E38D5C">
                  <w:pPr>
                    <w:pStyle w:val="94"/>
                  </w:pPr>
                  <w:r>
                    <w:rPr>
                      <w:rFonts w:hint="eastAsia"/>
                    </w:rPr>
                    <w:t>数量</w:t>
                  </w:r>
                </w:p>
              </w:tc>
            </w:tr>
            <w:tr w14:paraId="5AC770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465DA5B3">
                  <w:pPr>
                    <w:pStyle w:val="94"/>
                  </w:pPr>
                  <w:r>
                    <w:rPr>
                      <w:rFonts w:hint="eastAsia"/>
                    </w:rPr>
                    <w:t>一</w:t>
                  </w:r>
                </w:p>
              </w:tc>
              <w:tc>
                <w:tcPr>
                  <w:tcW w:w="4513" w:type="pct"/>
                  <w:gridSpan w:val="3"/>
                  <w:vAlign w:val="center"/>
                </w:tcPr>
                <w:p w14:paraId="11AAA6A3">
                  <w:pPr>
                    <w:pStyle w:val="94"/>
                  </w:pPr>
                  <w:r>
                    <w:rPr>
                      <w:rFonts w:hint="eastAsia"/>
                    </w:rPr>
                    <w:t>钻井设备</w:t>
                  </w:r>
                </w:p>
              </w:tc>
            </w:tr>
            <w:tr w14:paraId="3292BC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3027CB63">
                  <w:pPr>
                    <w:pStyle w:val="94"/>
                  </w:pPr>
                  <w:r>
                    <w:rPr>
                      <w:rFonts w:hint="eastAsia"/>
                    </w:rPr>
                    <w:t>1</w:t>
                  </w:r>
                </w:p>
              </w:tc>
              <w:tc>
                <w:tcPr>
                  <w:tcW w:w="1339" w:type="pct"/>
                  <w:vAlign w:val="center"/>
                </w:tcPr>
                <w:p w14:paraId="01B268AA">
                  <w:pPr>
                    <w:pStyle w:val="94"/>
                  </w:pPr>
                  <w:r>
                    <w:rPr>
                      <w:rFonts w:hint="eastAsia"/>
                    </w:rPr>
                    <w:t>设备名称</w:t>
                  </w:r>
                </w:p>
              </w:tc>
              <w:tc>
                <w:tcPr>
                  <w:tcW w:w="2680" w:type="pct"/>
                  <w:vAlign w:val="center"/>
                </w:tcPr>
                <w:p w14:paraId="3465F11D">
                  <w:pPr>
                    <w:pStyle w:val="94"/>
                  </w:pPr>
                  <w:r>
                    <w:rPr>
                      <w:rFonts w:hint="eastAsia"/>
                    </w:rPr>
                    <w:t>型号规格及主要技术参数</w:t>
                  </w:r>
                </w:p>
              </w:tc>
              <w:tc>
                <w:tcPr>
                  <w:tcW w:w="494" w:type="pct"/>
                  <w:vAlign w:val="center"/>
                </w:tcPr>
                <w:p w14:paraId="45DFB795">
                  <w:pPr>
                    <w:pStyle w:val="94"/>
                  </w:pPr>
                  <w:r>
                    <w:rPr>
                      <w:rFonts w:hint="eastAsia"/>
                    </w:rPr>
                    <w:t>数量</w:t>
                  </w:r>
                </w:p>
              </w:tc>
            </w:tr>
            <w:tr w14:paraId="093EE4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424322EB">
                  <w:pPr>
                    <w:pStyle w:val="94"/>
                  </w:pPr>
                  <w:r>
                    <w:rPr>
                      <w:rFonts w:hint="eastAsia"/>
                    </w:rPr>
                    <w:t>2</w:t>
                  </w:r>
                </w:p>
              </w:tc>
              <w:tc>
                <w:tcPr>
                  <w:tcW w:w="1339" w:type="pct"/>
                  <w:vAlign w:val="center"/>
                </w:tcPr>
                <w:p w14:paraId="249F5FD3">
                  <w:pPr>
                    <w:pStyle w:val="94"/>
                  </w:pPr>
                  <w:r>
                    <w:rPr>
                      <w:rFonts w:hint="eastAsia"/>
                    </w:rPr>
                    <w:t>钻机</w:t>
                  </w:r>
                </w:p>
              </w:tc>
              <w:tc>
                <w:tcPr>
                  <w:tcW w:w="2680" w:type="pct"/>
                  <w:vAlign w:val="center"/>
                </w:tcPr>
                <w:p w14:paraId="112BDBF3">
                  <w:pPr>
                    <w:pStyle w:val="94"/>
                  </w:pPr>
                  <w:r>
                    <w:rPr>
                      <w:rFonts w:hint="eastAsia"/>
                    </w:rPr>
                    <w:t>40型钻机</w:t>
                  </w:r>
                </w:p>
              </w:tc>
              <w:tc>
                <w:tcPr>
                  <w:tcW w:w="494" w:type="pct"/>
                  <w:vAlign w:val="center"/>
                </w:tcPr>
                <w:p w14:paraId="5AA1B8E4">
                  <w:pPr>
                    <w:pStyle w:val="94"/>
                  </w:pPr>
                  <w:r>
                    <w:rPr>
                      <w:rFonts w:hint="eastAsia"/>
                    </w:rPr>
                    <w:t>1</w:t>
                  </w:r>
                </w:p>
              </w:tc>
            </w:tr>
            <w:tr w14:paraId="516330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0" w:hRule="atLeast"/>
              </w:trPr>
              <w:tc>
                <w:tcPr>
                  <w:tcW w:w="487" w:type="pct"/>
                  <w:vAlign w:val="center"/>
                </w:tcPr>
                <w:p w14:paraId="4CDDAFB2">
                  <w:pPr>
                    <w:pStyle w:val="94"/>
                  </w:pPr>
                  <w:r>
                    <w:rPr>
                      <w:rFonts w:hint="eastAsia"/>
                    </w:rPr>
                    <w:t>3</w:t>
                  </w:r>
                </w:p>
              </w:tc>
              <w:tc>
                <w:tcPr>
                  <w:tcW w:w="1339" w:type="pct"/>
                  <w:vAlign w:val="center"/>
                </w:tcPr>
                <w:p w14:paraId="6FAA2437">
                  <w:pPr>
                    <w:pStyle w:val="94"/>
                  </w:pPr>
                  <w:r>
                    <w:rPr>
                      <w:rFonts w:hint="eastAsia"/>
                    </w:rPr>
                    <w:t>循环罐</w:t>
                  </w:r>
                </w:p>
              </w:tc>
              <w:tc>
                <w:tcPr>
                  <w:tcW w:w="2680" w:type="pct"/>
                  <w:vAlign w:val="center"/>
                </w:tcPr>
                <w:p w14:paraId="6D3C490A">
                  <w:pPr>
                    <w:pStyle w:val="94"/>
                  </w:pPr>
                  <w:r>
                    <w:rPr>
                      <w:rFonts w:hint="eastAsia"/>
                    </w:rPr>
                    <w:t>有效容积：200（m³）</w:t>
                  </w:r>
                </w:p>
              </w:tc>
              <w:tc>
                <w:tcPr>
                  <w:tcW w:w="494" w:type="pct"/>
                  <w:vAlign w:val="center"/>
                </w:tcPr>
                <w:p w14:paraId="3CCAF699">
                  <w:pPr>
                    <w:pStyle w:val="94"/>
                  </w:pPr>
                  <w:r>
                    <w:rPr>
                      <w:rFonts w:hint="eastAsia"/>
                    </w:rPr>
                    <w:t>5</w:t>
                  </w:r>
                </w:p>
              </w:tc>
            </w:tr>
            <w:tr w14:paraId="09C206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65379F8A">
                  <w:pPr>
                    <w:pStyle w:val="94"/>
                  </w:pPr>
                  <w:r>
                    <w:rPr>
                      <w:rFonts w:hint="eastAsia"/>
                    </w:rPr>
                    <w:t>4</w:t>
                  </w:r>
                </w:p>
              </w:tc>
              <w:tc>
                <w:tcPr>
                  <w:tcW w:w="1339" w:type="pct"/>
                  <w:vAlign w:val="center"/>
                </w:tcPr>
                <w:p w14:paraId="21F06726">
                  <w:pPr>
                    <w:pStyle w:val="94"/>
                    <w:rPr>
                      <w:sz w:val="22"/>
                    </w:rPr>
                  </w:pPr>
                  <w:r>
                    <w:rPr>
                      <w:rFonts w:hint="eastAsia"/>
                      <w:sz w:val="22"/>
                    </w:rPr>
                    <w:t>振动筛</w:t>
                  </w:r>
                </w:p>
              </w:tc>
              <w:tc>
                <w:tcPr>
                  <w:tcW w:w="2680" w:type="pct"/>
                  <w:vAlign w:val="center"/>
                </w:tcPr>
                <w:p w14:paraId="1EB1D381">
                  <w:pPr>
                    <w:pStyle w:val="94"/>
                  </w:pPr>
                  <w:r>
                    <w:rPr>
                      <w:rFonts w:hint="eastAsia"/>
                    </w:rPr>
                    <w:t>处理量(L/s)≥50</w:t>
                  </w:r>
                </w:p>
              </w:tc>
              <w:tc>
                <w:tcPr>
                  <w:tcW w:w="494" w:type="pct"/>
                  <w:vAlign w:val="center"/>
                </w:tcPr>
                <w:p w14:paraId="270BC645">
                  <w:pPr>
                    <w:pStyle w:val="94"/>
                  </w:pPr>
                  <w:r>
                    <w:rPr>
                      <w:rFonts w:hint="eastAsia"/>
                    </w:rPr>
                    <w:t>2</w:t>
                  </w:r>
                </w:p>
              </w:tc>
            </w:tr>
            <w:tr w14:paraId="61FB5A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0" w:hRule="atLeast"/>
              </w:trPr>
              <w:tc>
                <w:tcPr>
                  <w:tcW w:w="487" w:type="pct"/>
                  <w:vAlign w:val="center"/>
                </w:tcPr>
                <w:p w14:paraId="738805B9">
                  <w:pPr>
                    <w:pStyle w:val="94"/>
                  </w:pPr>
                  <w:r>
                    <w:rPr>
                      <w:rFonts w:hint="eastAsia"/>
                    </w:rPr>
                    <w:t>5</w:t>
                  </w:r>
                </w:p>
              </w:tc>
              <w:tc>
                <w:tcPr>
                  <w:tcW w:w="1339" w:type="pct"/>
                  <w:vAlign w:val="center"/>
                </w:tcPr>
                <w:p w14:paraId="44507E59">
                  <w:pPr>
                    <w:pStyle w:val="94"/>
                    <w:rPr>
                      <w:sz w:val="22"/>
                    </w:rPr>
                  </w:pPr>
                  <w:r>
                    <w:rPr>
                      <w:rFonts w:hint="eastAsia"/>
                      <w:sz w:val="22"/>
                    </w:rPr>
                    <w:t>除气器</w:t>
                  </w:r>
                </w:p>
              </w:tc>
              <w:tc>
                <w:tcPr>
                  <w:tcW w:w="2680" w:type="pct"/>
                  <w:vAlign w:val="center"/>
                </w:tcPr>
                <w:p w14:paraId="5F0BE4C9">
                  <w:pPr>
                    <w:pStyle w:val="94"/>
                  </w:pPr>
                  <w:r>
                    <w:rPr>
                      <w:rFonts w:hint="eastAsia"/>
                    </w:rPr>
                    <w:t>处理量：180（m</w:t>
                  </w:r>
                  <w:r>
                    <w:rPr>
                      <w:rFonts w:hint="eastAsia"/>
                      <w:vertAlign w:val="superscript"/>
                    </w:rPr>
                    <w:t>3</w:t>
                  </w:r>
                  <w:r>
                    <w:rPr>
                      <w:rFonts w:hint="eastAsia"/>
                    </w:rPr>
                    <w:t>/h)</w:t>
                  </w:r>
                </w:p>
              </w:tc>
              <w:tc>
                <w:tcPr>
                  <w:tcW w:w="494" w:type="pct"/>
                  <w:vAlign w:val="center"/>
                </w:tcPr>
                <w:p w14:paraId="6654E5A8">
                  <w:pPr>
                    <w:pStyle w:val="94"/>
                  </w:pPr>
                  <w:r>
                    <w:rPr>
                      <w:rFonts w:hint="eastAsia"/>
                    </w:rPr>
                    <w:t>1</w:t>
                  </w:r>
                </w:p>
              </w:tc>
            </w:tr>
            <w:tr w14:paraId="762087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02D6BB6C">
                  <w:pPr>
                    <w:pStyle w:val="94"/>
                  </w:pPr>
                  <w:r>
                    <w:rPr>
                      <w:rFonts w:hint="eastAsia"/>
                    </w:rPr>
                    <w:t>6</w:t>
                  </w:r>
                </w:p>
              </w:tc>
              <w:tc>
                <w:tcPr>
                  <w:tcW w:w="1339" w:type="pct"/>
                  <w:vAlign w:val="center"/>
                </w:tcPr>
                <w:p w14:paraId="02E0CF04">
                  <w:pPr>
                    <w:pStyle w:val="94"/>
                    <w:rPr>
                      <w:sz w:val="22"/>
                    </w:rPr>
                  </w:pPr>
                  <w:r>
                    <w:rPr>
                      <w:rFonts w:hint="eastAsia"/>
                      <w:sz w:val="22"/>
                    </w:rPr>
                    <w:t>除砂器</w:t>
                  </w:r>
                </w:p>
              </w:tc>
              <w:tc>
                <w:tcPr>
                  <w:tcW w:w="2680" w:type="pct"/>
                  <w:vAlign w:val="center"/>
                </w:tcPr>
                <w:p w14:paraId="05728973">
                  <w:pPr>
                    <w:pStyle w:val="94"/>
                  </w:pPr>
                  <w:r>
                    <w:rPr>
                      <w:rFonts w:hint="eastAsia"/>
                    </w:rPr>
                    <w:t>处理量：230（m</w:t>
                  </w:r>
                  <w:r>
                    <w:rPr>
                      <w:rFonts w:hint="eastAsia"/>
                      <w:vertAlign w:val="superscript"/>
                    </w:rPr>
                    <w:t>3</w:t>
                  </w:r>
                  <w:r>
                    <w:rPr>
                      <w:rFonts w:hint="eastAsia"/>
                    </w:rPr>
                    <w:t>/h)</w:t>
                  </w:r>
                </w:p>
              </w:tc>
              <w:tc>
                <w:tcPr>
                  <w:tcW w:w="494" w:type="pct"/>
                  <w:vAlign w:val="center"/>
                </w:tcPr>
                <w:p w14:paraId="160FC5B6">
                  <w:pPr>
                    <w:pStyle w:val="94"/>
                  </w:pPr>
                  <w:r>
                    <w:rPr>
                      <w:rFonts w:hint="eastAsia"/>
                    </w:rPr>
                    <w:t>1</w:t>
                  </w:r>
                </w:p>
              </w:tc>
            </w:tr>
            <w:tr w14:paraId="57D740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58EE0AD2">
                  <w:pPr>
                    <w:pStyle w:val="94"/>
                  </w:pPr>
                  <w:r>
                    <w:rPr>
                      <w:rFonts w:hint="eastAsia"/>
                    </w:rPr>
                    <w:t>7</w:t>
                  </w:r>
                </w:p>
              </w:tc>
              <w:tc>
                <w:tcPr>
                  <w:tcW w:w="1339" w:type="pct"/>
                  <w:vAlign w:val="center"/>
                </w:tcPr>
                <w:p w14:paraId="3F21F122">
                  <w:pPr>
                    <w:pStyle w:val="94"/>
                    <w:rPr>
                      <w:sz w:val="22"/>
                    </w:rPr>
                  </w:pPr>
                  <w:r>
                    <w:rPr>
                      <w:rFonts w:hint="eastAsia"/>
                      <w:sz w:val="22"/>
                    </w:rPr>
                    <w:t>除泥器</w:t>
                  </w:r>
                </w:p>
              </w:tc>
              <w:tc>
                <w:tcPr>
                  <w:tcW w:w="2680" w:type="pct"/>
                  <w:vAlign w:val="center"/>
                </w:tcPr>
                <w:p w14:paraId="142C6CD6">
                  <w:pPr>
                    <w:pStyle w:val="94"/>
                  </w:pPr>
                  <w:r>
                    <w:rPr>
                      <w:rFonts w:hint="eastAsia"/>
                    </w:rPr>
                    <w:t>处理量：230（m</w:t>
                  </w:r>
                  <w:r>
                    <w:rPr>
                      <w:rFonts w:hint="eastAsia"/>
                      <w:vertAlign w:val="superscript"/>
                    </w:rPr>
                    <w:t>3</w:t>
                  </w:r>
                  <w:r>
                    <w:rPr>
                      <w:rFonts w:hint="eastAsia"/>
                    </w:rPr>
                    <w:t>/h)</w:t>
                  </w:r>
                </w:p>
              </w:tc>
              <w:tc>
                <w:tcPr>
                  <w:tcW w:w="494" w:type="pct"/>
                  <w:vAlign w:val="center"/>
                </w:tcPr>
                <w:p w14:paraId="07580C29">
                  <w:pPr>
                    <w:pStyle w:val="94"/>
                  </w:pPr>
                  <w:r>
                    <w:rPr>
                      <w:rFonts w:hint="eastAsia"/>
                    </w:rPr>
                    <w:t>1</w:t>
                  </w:r>
                </w:p>
              </w:tc>
            </w:tr>
            <w:tr w14:paraId="34E311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77C43DE0">
                  <w:pPr>
                    <w:pStyle w:val="94"/>
                  </w:pPr>
                  <w:r>
                    <w:rPr>
                      <w:rFonts w:hint="eastAsia"/>
                    </w:rPr>
                    <w:t>8</w:t>
                  </w:r>
                </w:p>
              </w:tc>
              <w:tc>
                <w:tcPr>
                  <w:tcW w:w="1339" w:type="pct"/>
                  <w:vAlign w:val="center"/>
                </w:tcPr>
                <w:p w14:paraId="3E86BF4C">
                  <w:pPr>
                    <w:pStyle w:val="94"/>
                    <w:rPr>
                      <w:sz w:val="22"/>
                    </w:rPr>
                  </w:pPr>
                  <w:r>
                    <w:rPr>
                      <w:rFonts w:hint="eastAsia"/>
                      <w:sz w:val="22"/>
                    </w:rPr>
                    <w:t>离心机</w:t>
                  </w:r>
                </w:p>
              </w:tc>
              <w:tc>
                <w:tcPr>
                  <w:tcW w:w="2680" w:type="pct"/>
                  <w:vAlign w:val="center"/>
                </w:tcPr>
                <w:p w14:paraId="5265A970">
                  <w:pPr>
                    <w:pStyle w:val="94"/>
                  </w:pPr>
                  <w:r>
                    <w:rPr>
                      <w:rFonts w:hint="eastAsia"/>
                    </w:rPr>
                    <w:t>处理量：30（m</w:t>
                  </w:r>
                  <w:r>
                    <w:rPr>
                      <w:rFonts w:hint="eastAsia"/>
                      <w:vertAlign w:val="superscript"/>
                    </w:rPr>
                    <w:t>3</w:t>
                  </w:r>
                  <w:r>
                    <w:rPr>
                      <w:rFonts w:hint="eastAsia"/>
                    </w:rPr>
                    <w:t>/h)</w:t>
                  </w:r>
                </w:p>
              </w:tc>
              <w:tc>
                <w:tcPr>
                  <w:tcW w:w="494" w:type="pct"/>
                  <w:vAlign w:val="center"/>
                </w:tcPr>
                <w:p w14:paraId="21221DEF">
                  <w:pPr>
                    <w:pStyle w:val="94"/>
                  </w:pPr>
                  <w:r>
                    <w:rPr>
                      <w:rFonts w:hint="eastAsia"/>
                    </w:rPr>
                    <w:t>1</w:t>
                  </w:r>
                </w:p>
              </w:tc>
            </w:tr>
            <w:tr w14:paraId="4CA8A2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0611CE2F">
                  <w:pPr>
                    <w:pStyle w:val="94"/>
                  </w:pPr>
                  <w:r>
                    <w:rPr>
                      <w:rFonts w:hint="eastAsia"/>
                    </w:rPr>
                    <w:t>9</w:t>
                  </w:r>
                </w:p>
              </w:tc>
              <w:tc>
                <w:tcPr>
                  <w:tcW w:w="1339" w:type="pct"/>
                  <w:vAlign w:val="center"/>
                </w:tcPr>
                <w:p w14:paraId="741F85DC">
                  <w:pPr>
                    <w:pStyle w:val="94"/>
                  </w:pPr>
                  <w:r>
                    <w:rPr>
                      <w:rFonts w:hint="eastAsia"/>
                    </w:rPr>
                    <w:t>防喷器</w:t>
                  </w:r>
                </w:p>
              </w:tc>
              <w:tc>
                <w:tcPr>
                  <w:tcW w:w="2680" w:type="pct"/>
                  <w:vAlign w:val="center"/>
                </w:tcPr>
                <w:p w14:paraId="785F503D">
                  <w:pPr>
                    <w:pStyle w:val="94"/>
                  </w:pPr>
                  <w:r>
                    <w:rPr>
                      <w:rFonts w:hint="eastAsia"/>
                    </w:rPr>
                    <w:t>最大工作压力：35（MPa）</w:t>
                  </w:r>
                </w:p>
              </w:tc>
              <w:tc>
                <w:tcPr>
                  <w:tcW w:w="494" w:type="pct"/>
                  <w:vAlign w:val="center"/>
                </w:tcPr>
                <w:p w14:paraId="7B963628">
                  <w:pPr>
                    <w:pStyle w:val="94"/>
                  </w:pPr>
                  <w:r>
                    <w:rPr>
                      <w:rFonts w:hint="eastAsia"/>
                    </w:rPr>
                    <w:t>1</w:t>
                  </w:r>
                </w:p>
              </w:tc>
            </w:tr>
            <w:tr w14:paraId="4DE0A7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7C6C2036">
                  <w:pPr>
                    <w:pStyle w:val="94"/>
                  </w:pPr>
                  <w:r>
                    <w:rPr>
                      <w:rFonts w:hint="eastAsia"/>
                    </w:rPr>
                    <w:t>10</w:t>
                  </w:r>
                </w:p>
              </w:tc>
              <w:tc>
                <w:tcPr>
                  <w:tcW w:w="1339" w:type="pct"/>
                  <w:vAlign w:val="center"/>
                </w:tcPr>
                <w:p w14:paraId="5B1CB80B">
                  <w:pPr>
                    <w:pStyle w:val="94"/>
                  </w:pPr>
                  <w:r>
                    <w:rPr>
                      <w:rFonts w:hint="eastAsia"/>
                    </w:rPr>
                    <w:t>防喷器控制装置</w:t>
                  </w:r>
                </w:p>
              </w:tc>
              <w:tc>
                <w:tcPr>
                  <w:tcW w:w="2680" w:type="pct"/>
                  <w:vAlign w:val="center"/>
                </w:tcPr>
                <w:p w14:paraId="77CD64B8">
                  <w:pPr>
                    <w:pStyle w:val="94"/>
                  </w:pPr>
                  <w:r>
                    <w:rPr>
                      <w:rFonts w:hint="eastAsia"/>
                    </w:rPr>
                    <w:t>储能器总容积：400（L），控制对象数量：5（个）</w:t>
                  </w:r>
                </w:p>
              </w:tc>
              <w:tc>
                <w:tcPr>
                  <w:tcW w:w="494" w:type="pct"/>
                  <w:vAlign w:val="center"/>
                </w:tcPr>
                <w:p w14:paraId="1D9DE82C">
                  <w:pPr>
                    <w:pStyle w:val="94"/>
                  </w:pPr>
                  <w:r>
                    <w:rPr>
                      <w:rFonts w:hint="eastAsia"/>
                    </w:rPr>
                    <w:t>1</w:t>
                  </w:r>
                </w:p>
              </w:tc>
            </w:tr>
            <w:tr w14:paraId="3C3820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0" w:hRule="atLeast"/>
              </w:trPr>
              <w:tc>
                <w:tcPr>
                  <w:tcW w:w="487" w:type="pct"/>
                  <w:vAlign w:val="center"/>
                </w:tcPr>
                <w:p w14:paraId="3E7CC566">
                  <w:pPr>
                    <w:pStyle w:val="94"/>
                  </w:pPr>
                  <w:r>
                    <w:rPr>
                      <w:rFonts w:hint="eastAsia"/>
                    </w:rPr>
                    <w:t>11</w:t>
                  </w:r>
                </w:p>
              </w:tc>
              <w:tc>
                <w:tcPr>
                  <w:tcW w:w="1339" w:type="pct"/>
                  <w:vAlign w:val="center"/>
                </w:tcPr>
                <w:p w14:paraId="53ADA5A8">
                  <w:pPr>
                    <w:pStyle w:val="94"/>
                  </w:pPr>
                  <w:r>
                    <w:rPr>
                      <w:rFonts w:hint="eastAsia"/>
                    </w:rPr>
                    <w:t>钻井四通</w:t>
                  </w:r>
                </w:p>
              </w:tc>
              <w:tc>
                <w:tcPr>
                  <w:tcW w:w="2680" w:type="pct"/>
                  <w:vAlign w:val="top"/>
                </w:tcPr>
                <w:p w14:paraId="47B9026F">
                  <w:pPr>
                    <w:pStyle w:val="94"/>
                  </w:pPr>
                  <w:r>
                    <w:rPr>
                      <w:rFonts w:hint="eastAsia"/>
                    </w:rPr>
                    <w:t>最大工作压力：35（MPa）</w:t>
                  </w:r>
                </w:p>
              </w:tc>
              <w:tc>
                <w:tcPr>
                  <w:tcW w:w="494" w:type="pct"/>
                  <w:vAlign w:val="center"/>
                </w:tcPr>
                <w:p w14:paraId="1F9F4573">
                  <w:pPr>
                    <w:pStyle w:val="94"/>
                  </w:pPr>
                  <w:r>
                    <w:rPr>
                      <w:rFonts w:hint="eastAsia"/>
                    </w:rPr>
                    <w:t>1</w:t>
                  </w:r>
                </w:p>
              </w:tc>
            </w:tr>
            <w:tr w14:paraId="4EBC91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5045778C">
                  <w:pPr>
                    <w:pStyle w:val="94"/>
                  </w:pPr>
                  <w:r>
                    <w:rPr>
                      <w:rFonts w:hint="eastAsia"/>
                    </w:rPr>
                    <w:t>12</w:t>
                  </w:r>
                </w:p>
              </w:tc>
              <w:tc>
                <w:tcPr>
                  <w:tcW w:w="1339" w:type="pct"/>
                  <w:vAlign w:val="center"/>
                </w:tcPr>
                <w:p w14:paraId="140803CA">
                  <w:pPr>
                    <w:pStyle w:val="94"/>
                  </w:pPr>
                  <w:r>
                    <w:rPr>
                      <w:rFonts w:hint="eastAsia"/>
                    </w:rPr>
                    <w:t>压井管汇</w:t>
                  </w:r>
                </w:p>
              </w:tc>
              <w:tc>
                <w:tcPr>
                  <w:tcW w:w="2680" w:type="pct"/>
                  <w:vAlign w:val="top"/>
                </w:tcPr>
                <w:p w14:paraId="12860C44">
                  <w:pPr>
                    <w:pStyle w:val="94"/>
                  </w:pPr>
                  <w:r>
                    <w:rPr>
                      <w:rFonts w:hint="eastAsia"/>
                    </w:rPr>
                    <w:t>最大工作压力：35（MPa）</w:t>
                  </w:r>
                </w:p>
              </w:tc>
              <w:tc>
                <w:tcPr>
                  <w:tcW w:w="494" w:type="pct"/>
                  <w:vAlign w:val="center"/>
                </w:tcPr>
                <w:p w14:paraId="3B9142CD">
                  <w:pPr>
                    <w:pStyle w:val="94"/>
                  </w:pPr>
                  <w:r>
                    <w:rPr>
                      <w:rFonts w:hint="eastAsia"/>
                    </w:rPr>
                    <w:t>1</w:t>
                  </w:r>
                </w:p>
              </w:tc>
            </w:tr>
            <w:tr w14:paraId="54E9B1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3334612A">
                  <w:pPr>
                    <w:pStyle w:val="94"/>
                  </w:pPr>
                  <w:r>
                    <w:rPr>
                      <w:rFonts w:hint="eastAsia"/>
                    </w:rPr>
                    <w:t>13</w:t>
                  </w:r>
                </w:p>
              </w:tc>
              <w:tc>
                <w:tcPr>
                  <w:tcW w:w="1339" w:type="pct"/>
                  <w:vAlign w:val="center"/>
                </w:tcPr>
                <w:p w14:paraId="7B806398">
                  <w:pPr>
                    <w:pStyle w:val="94"/>
                  </w:pPr>
                  <w:r>
                    <w:rPr>
                      <w:rFonts w:hint="eastAsia"/>
                    </w:rPr>
                    <w:t>节流管汇</w:t>
                  </w:r>
                </w:p>
              </w:tc>
              <w:tc>
                <w:tcPr>
                  <w:tcW w:w="2680" w:type="pct"/>
                  <w:vAlign w:val="top"/>
                </w:tcPr>
                <w:p w14:paraId="0779A82C">
                  <w:pPr>
                    <w:pStyle w:val="94"/>
                  </w:pPr>
                  <w:r>
                    <w:rPr>
                      <w:rFonts w:hint="eastAsia"/>
                    </w:rPr>
                    <w:t>最大工作压力：35（MPa）</w:t>
                  </w:r>
                </w:p>
              </w:tc>
              <w:tc>
                <w:tcPr>
                  <w:tcW w:w="494" w:type="pct"/>
                  <w:vAlign w:val="center"/>
                </w:tcPr>
                <w:p w14:paraId="61354D77">
                  <w:pPr>
                    <w:pStyle w:val="94"/>
                  </w:pPr>
                  <w:r>
                    <w:rPr>
                      <w:rFonts w:hint="eastAsia"/>
                    </w:rPr>
                    <w:t>1</w:t>
                  </w:r>
                </w:p>
              </w:tc>
            </w:tr>
            <w:tr w14:paraId="6BAA02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245A1B45">
                  <w:pPr>
                    <w:pStyle w:val="94"/>
                  </w:pPr>
                  <w:r>
                    <w:rPr>
                      <w:rFonts w:hint="eastAsia"/>
                    </w:rPr>
                    <w:t>14</w:t>
                  </w:r>
                </w:p>
              </w:tc>
              <w:tc>
                <w:tcPr>
                  <w:tcW w:w="1339" w:type="pct"/>
                  <w:vAlign w:val="center"/>
                </w:tcPr>
                <w:p w14:paraId="2FD4FCAF">
                  <w:pPr>
                    <w:pStyle w:val="94"/>
                  </w:pPr>
                  <w:r>
                    <w:rPr>
                      <w:rFonts w:hint="eastAsia"/>
                    </w:rPr>
                    <w:t>防喷管线</w:t>
                  </w:r>
                </w:p>
              </w:tc>
              <w:tc>
                <w:tcPr>
                  <w:tcW w:w="2680" w:type="pct"/>
                  <w:vAlign w:val="top"/>
                </w:tcPr>
                <w:p w14:paraId="18EE9E84">
                  <w:pPr>
                    <w:pStyle w:val="94"/>
                  </w:pPr>
                  <w:r>
                    <w:rPr>
                      <w:rFonts w:hint="eastAsia"/>
                    </w:rPr>
                    <w:t>最大工作压力：35（MPa）</w:t>
                  </w:r>
                </w:p>
              </w:tc>
              <w:tc>
                <w:tcPr>
                  <w:tcW w:w="494" w:type="pct"/>
                  <w:vAlign w:val="center"/>
                </w:tcPr>
                <w:p w14:paraId="1543F8BC">
                  <w:pPr>
                    <w:pStyle w:val="94"/>
                  </w:pPr>
                  <w:r>
                    <w:rPr>
                      <w:rFonts w:hint="eastAsia"/>
                    </w:rPr>
                    <w:t>1</w:t>
                  </w:r>
                </w:p>
              </w:tc>
            </w:tr>
            <w:tr w14:paraId="213F45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742B663C">
                  <w:pPr>
                    <w:pStyle w:val="94"/>
                  </w:pPr>
                  <w:r>
                    <w:rPr>
                      <w:rFonts w:hint="eastAsia"/>
                    </w:rPr>
                    <w:t>15</w:t>
                  </w:r>
                </w:p>
              </w:tc>
              <w:tc>
                <w:tcPr>
                  <w:tcW w:w="1339" w:type="pct"/>
                  <w:vAlign w:val="center"/>
                </w:tcPr>
                <w:p w14:paraId="3FFE01CF">
                  <w:pPr>
                    <w:pStyle w:val="94"/>
                  </w:pPr>
                  <w:r>
                    <w:rPr>
                      <w:rFonts w:hint="eastAsia"/>
                    </w:rPr>
                    <w:t>放喷管线</w:t>
                  </w:r>
                </w:p>
              </w:tc>
              <w:tc>
                <w:tcPr>
                  <w:tcW w:w="2680" w:type="pct"/>
                  <w:vAlign w:val="top"/>
                </w:tcPr>
                <w:p w14:paraId="0E983F57">
                  <w:pPr>
                    <w:pStyle w:val="94"/>
                  </w:pPr>
                  <w:r>
                    <w:rPr>
                      <w:rFonts w:hint="eastAsia"/>
                    </w:rPr>
                    <w:t>最大工作压力：35（MPa）</w:t>
                  </w:r>
                </w:p>
              </w:tc>
              <w:tc>
                <w:tcPr>
                  <w:tcW w:w="494" w:type="pct"/>
                  <w:vAlign w:val="center"/>
                </w:tcPr>
                <w:p w14:paraId="01C2979E">
                  <w:pPr>
                    <w:pStyle w:val="94"/>
                  </w:pPr>
                  <w:r>
                    <w:rPr>
                      <w:rFonts w:hint="eastAsia"/>
                    </w:rPr>
                    <w:t>1</w:t>
                  </w:r>
                </w:p>
              </w:tc>
            </w:tr>
            <w:tr w14:paraId="012A17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136A00B9">
                  <w:pPr>
                    <w:pStyle w:val="94"/>
                  </w:pPr>
                  <w:r>
                    <w:rPr>
                      <w:rFonts w:hint="eastAsia"/>
                    </w:rPr>
                    <w:t>16</w:t>
                  </w:r>
                </w:p>
              </w:tc>
              <w:tc>
                <w:tcPr>
                  <w:tcW w:w="1339" w:type="pct"/>
                  <w:vAlign w:val="center"/>
                </w:tcPr>
                <w:p w14:paraId="64AA7419">
                  <w:pPr>
                    <w:pStyle w:val="94"/>
                  </w:pPr>
                  <w:r>
                    <w:rPr>
                      <w:rFonts w:hint="eastAsia"/>
                    </w:rPr>
                    <w:t>液气分离器</w:t>
                  </w:r>
                </w:p>
              </w:tc>
              <w:tc>
                <w:tcPr>
                  <w:tcW w:w="2680" w:type="pct"/>
                  <w:vAlign w:val="top"/>
                </w:tcPr>
                <w:p w14:paraId="7A34DA71">
                  <w:pPr>
                    <w:pStyle w:val="94"/>
                  </w:pPr>
                  <w:r>
                    <w:rPr>
                      <w:rFonts w:hint="eastAsia"/>
                    </w:rPr>
                    <w:t>最大工作压力：35（MPa）</w:t>
                  </w:r>
                </w:p>
              </w:tc>
              <w:tc>
                <w:tcPr>
                  <w:tcW w:w="494" w:type="pct"/>
                  <w:vAlign w:val="center"/>
                </w:tcPr>
                <w:p w14:paraId="58AD0873">
                  <w:pPr>
                    <w:pStyle w:val="94"/>
                  </w:pPr>
                  <w:r>
                    <w:rPr>
                      <w:rFonts w:hint="eastAsia"/>
                    </w:rPr>
                    <w:t>1</w:t>
                  </w:r>
                </w:p>
              </w:tc>
            </w:tr>
            <w:tr w14:paraId="56C5ED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46C4BC19">
                  <w:pPr>
                    <w:pStyle w:val="94"/>
                  </w:pPr>
                  <w:r>
                    <w:rPr>
                      <w:rFonts w:hint="eastAsia"/>
                    </w:rPr>
                    <w:t>17</w:t>
                  </w:r>
                </w:p>
              </w:tc>
              <w:tc>
                <w:tcPr>
                  <w:tcW w:w="1339" w:type="pct"/>
                  <w:vAlign w:val="center"/>
                </w:tcPr>
                <w:p w14:paraId="0470F6C2">
                  <w:pPr>
                    <w:pStyle w:val="94"/>
                  </w:pPr>
                  <w:r>
                    <w:rPr>
                      <w:rFonts w:hint="eastAsia"/>
                    </w:rPr>
                    <w:t>内防喷工具</w:t>
                  </w:r>
                </w:p>
              </w:tc>
              <w:tc>
                <w:tcPr>
                  <w:tcW w:w="2680" w:type="pct"/>
                  <w:vAlign w:val="top"/>
                </w:tcPr>
                <w:p w14:paraId="7CB73016">
                  <w:pPr>
                    <w:pStyle w:val="94"/>
                  </w:pPr>
                  <w:r>
                    <w:rPr>
                      <w:rFonts w:hint="eastAsia"/>
                    </w:rPr>
                    <w:t>最大工作压力：35（MPa）</w:t>
                  </w:r>
                </w:p>
              </w:tc>
              <w:tc>
                <w:tcPr>
                  <w:tcW w:w="494" w:type="pct"/>
                  <w:vAlign w:val="center"/>
                </w:tcPr>
                <w:p w14:paraId="1ABCC45D">
                  <w:pPr>
                    <w:pStyle w:val="94"/>
                  </w:pPr>
                  <w:r>
                    <w:rPr>
                      <w:rFonts w:hint="eastAsia"/>
                    </w:rPr>
                    <w:t>1</w:t>
                  </w:r>
                </w:p>
              </w:tc>
            </w:tr>
            <w:tr w14:paraId="2A6C52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023E5038">
                  <w:pPr>
                    <w:pStyle w:val="94"/>
                  </w:pPr>
                  <w:r>
                    <w:rPr>
                      <w:rFonts w:hint="eastAsia"/>
                    </w:rPr>
                    <w:t>18</w:t>
                  </w:r>
                </w:p>
              </w:tc>
              <w:tc>
                <w:tcPr>
                  <w:tcW w:w="1339" w:type="pct"/>
                  <w:vAlign w:val="center"/>
                </w:tcPr>
                <w:p w14:paraId="2B981EAE">
                  <w:pPr>
                    <w:pStyle w:val="94"/>
                  </w:pPr>
                  <w:r>
                    <w:rPr>
                      <w:rFonts w:hint="eastAsia"/>
                    </w:rPr>
                    <w:t>指重表</w:t>
                  </w:r>
                </w:p>
              </w:tc>
              <w:tc>
                <w:tcPr>
                  <w:tcW w:w="2680" w:type="pct"/>
                  <w:vAlign w:val="center"/>
                </w:tcPr>
                <w:p w14:paraId="05DDC4BF">
                  <w:pPr>
                    <w:pStyle w:val="94"/>
                  </w:pPr>
                  <w:r>
                    <w:rPr>
                      <w:rFonts w:hint="eastAsia"/>
                    </w:rPr>
                    <w:t>　</w:t>
                  </w:r>
                </w:p>
              </w:tc>
              <w:tc>
                <w:tcPr>
                  <w:tcW w:w="494" w:type="pct"/>
                  <w:vAlign w:val="center"/>
                </w:tcPr>
                <w:p w14:paraId="27D17B1A">
                  <w:pPr>
                    <w:pStyle w:val="94"/>
                  </w:pPr>
                  <w:r>
                    <w:rPr>
                      <w:rFonts w:hint="eastAsia"/>
                    </w:rPr>
                    <w:t>1</w:t>
                  </w:r>
                </w:p>
              </w:tc>
            </w:tr>
            <w:tr w14:paraId="7DF3EB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189CA890">
                  <w:pPr>
                    <w:pStyle w:val="94"/>
                  </w:pPr>
                  <w:r>
                    <w:rPr>
                      <w:rFonts w:hint="eastAsia"/>
                    </w:rPr>
                    <w:t>19</w:t>
                  </w:r>
                </w:p>
              </w:tc>
              <w:tc>
                <w:tcPr>
                  <w:tcW w:w="1339" w:type="pct"/>
                  <w:vAlign w:val="center"/>
                </w:tcPr>
                <w:p w14:paraId="4CFB5615">
                  <w:pPr>
                    <w:pStyle w:val="94"/>
                  </w:pPr>
                  <w:r>
                    <w:rPr>
                      <w:rFonts w:hint="eastAsia"/>
                    </w:rPr>
                    <w:t>立管压力表</w:t>
                  </w:r>
                </w:p>
              </w:tc>
              <w:tc>
                <w:tcPr>
                  <w:tcW w:w="2680" w:type="pct"/>
                  <w:vAlign w:val="center"/>
                </w:tcPr>
                <w:p w14:paraId="61223F31">
                  <w:pPr>
                    <w:pStyle w:val="94"/>
                  </w:pPr>
                  <w:r>
                    <w:rPr>
                      <w:rFonts w:hint="eastAsia"/>
                    </w:rPr>
                    <w:t>　</w:t>
                  </w:r>
                </w:p>
              </w:tc>
              <w:tc>
                <w:tcPr>
                  <w:tcW w:w="494" w:type="pct"/>
                  <w:vAlign w:val="center"/>
                </w:tcPr>
                <w:p w14:paraId="79DF134A">
                  <w:pPr>
                    <w:pStyle w:val="94"/>
                  </w:pPr>
                  <w:r>
                    <w:rPr>
                      <w:rFonts w:hint="eastAsia"/>
                    </w:rPr>
                    <w:t>1</w:t>
                  </w:r>
                </w:p>
              </w:tc>
            </w:tr>
            <w:tr w14:paraId="1871D9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11A1639C">
                  <w:pPr>
                    <w:pStyle w:val="94"/>
                  </w:pPr>
                  <w:r>
                    <w:rPr>
                      <w:rFonts w:hint="eastAsia"/>
                    </w:rPr>
                    <w:t>20</w:t>
                  </w:r>
                </w:p>
              </w:tc>
              <w:tc>
                <w:tcPr>
                  <w:tcW w:w="1339" w:type="pct"/>
                  <w:vAlign w:val="center"/>
                </w:tcPr>
                <w:p w14:paraId="77771F3A">
                  <w:pPr>
                    <w:pStyle w:val="94"/>
                  </w:pPr>
                  <w:r>
                    <w:rPr>
                      <w:rFonts w:hint="eastAsia"/>
                    </w:rPr>
                    <w:t>MWD定向测斜仪</w:t>
                  </w:r>
                </w:p>
              </w:tc>
              <w:tc>
                <w:tcPr>
                  <w:tcW w:w="2680" w:type="pct"/>
                  <w:vAlign w:val="center"/>
                </w:tcPr>
                <w:p w14:paraId="2FF5DFD2">
                  <w:pPr>
                    <w:pStyle w:val="94"/>
                  </w:pPr>
                  <w:r>
                    <w:rPr>
                      <w:rFonts w:hint="eastAsia"/>
                    </w:rPr>
                    <w:t>　</w:t>
                  </w:r>
                </w:p>
              </w:tc>
              <w:tc>
                <w:tcPr>
                  <w:tcW w:w="494" w:type="pct"/>
                  <w:vAlign w:val="center"/>
                </w:tcPr>
                <w:p w14:paraId="06983690">
                  <w:pPr>
                    <w:pStyle w:val="94"/>
                  </w:pPr>
                  <w:r>
                    <w:rPr>
                      <w:rFonts w:hint="eastAsia"/>
                    </w:rPr>
                    <w:t>2</w:t>
                  </w:r>
                </w:p>
              </w:tc>
            </w:tr>
            <w:tr w14:paraId="72F3C9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62AEFD64">
                  <w:pPr>
                    <w:pStyle w:val="94"/>
                  </w:pPr>
                  <w:r>
                    <w:rPr>
                      <w:rFonts w:hint="eastAsia"/>
                    </w:rPr>
                    <w:t>21</w:t>
                  </w:r>
                </w:p>
              </w:tc>
              <w:tc>
                <w:tcPr>
                  <w:tcW w:w="1339" w:type="pct"/>
                  <w:vAlign w:val="center"/>
                </w:tcPr>
                <w:p w14:paraId="6E3BDA83">
                  <w:pPr>
                    <w:pStyle w:val="94"/>
                  </w:pPr>
                  <w:r>
                    <w:rPr>
                      <w:rFonts w:hint="eastAsia"/>
                    </w:rPr>
                    <w:t>5"钻杆</w:t>
                  </w:r>
                </w:p>
              </w:tc>
              <w:tc>
                <w:tcPr>
                  <w:tcW w:w="2680" w:type="pct"/>
                  <w:vAlign w:val="center"/>
                </w:tcPr>
                <w:p w14:paraId="093AD718">
                  <w:pPr>
                    <w:pStyle w:val="94"/>
                  </w:pPr>
                  <w:r>
                    <w:rPr>
                      <w:rFonts w:hint="eastAsia"/>
                    </w:rPr>
                    <w:t>G-105</w:t>
                  </w:r>
                </w:p>
              </w:tc>
              <w:tc>
                <w:tcPr>
                  <w:tcW w:w="494" w:type="pct"/>
                  <w:vAlign w:val="center"/>
                </w:tcPr>
                <w:p w14:paraId="315A5ECE">
                  <w:pPr>
                    <w:pStyle w:val="94"/>
                  </w:pPr>
                  <w:r>
                    <w:rPr>
                      <w:rFonts w:hint="eastAsia"/>
                    </w:rPr>
                    <w:t>230</w:t>
                  </w:r>
                </w:p>
              </w:tc>
            </w:tr>
            <w:tr w14:paraId="10B1FB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0D7F2961">
                  <w:pPr>
                    <w:pStyle w:val="94"/>
                  </w:pPr>
                  <w:r>
                    <w:rPr>
                      <w:rFonts w:hint="eastAsia"/>
                    </w:rPr>
                    <w:t>22</w:t>
                  </w:r>
                </w:p>
              </w:tc>
              <w:tc>
                <w:tcPr>
                  <w:tcW w:w="1339" w:type="pct"/>
                  <w:vAlign w:val="center"/>
                </w:tcPr>
                <w:p w14:paraId="626338F1">
                  <w:pPr>
                    <w:pStyle w:val="94"/>
                  </w:pPr>
                  <w:r>
                    <w:rPr>
                      <w:rFonts w:hint="eastAsia"/>
                    </w:rPr>
                    <w:t>4"钻杆（小井眼定向井）</w:t>
                  </w:r>
                </w:p>
              </w:tc>
              <w:tc>
                <w:tcPr>
                  <w:tcW w:w="2680" w:type="pct"/>
                  <w:vAlign w:val="center"/>
                </w:tcPr>
                <w:p w14:paraId="138C5310">
                  <w:pPr>
                    <w:pStyle w:val="94"/>
                  </w:pPr>
                  <w:r>
                    <w:rPr>
                      <w:rFonts w:hint="eastAsia"/>
                    </w:rPr>
                    <w:t>S-135</w:t>
                  </w:r>
                </w:p>
              </w:tc>
              <w:tc>
                <w:tcPr>
                  <w:tcW w:w="494" w:type="pct"/>
                  <w:vAlign w:val="center"/>
                </w:tcPr>
                <w:p w14:paraId="095B5AAB">
                  <w:pPr>
                    <w:pStyle w:val="94"/>
                    <w:rPr>
                      <w:sz w:val="16"/>
                      <w:szCs w:val="16"/>
                    </w:rPr>
                  </w:pPr>
                  <w:r>
                    <w:rPr>
                      <w:rFonts w:hint="eastAsia"/>
                      <w:sz w:val="16"/>
                      <w:szCs w:val="16"/>
                    </w:rPr>
                    <w:t>满足设计井深</w:t>
                  </w:r>
                </w:p>
              </w:tc>
            </w:tr>
            <w:tr w14:paraId="54F2A5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16F8427E">
                  <w:pPr>
                    <w:pStyle w:val="94"/>
                  </w:pPr>
                  <w:r>
                    <w:rPr>
                      <w:rFonts w:hint="eastAsia"/>
                    </w:rPr>
                    <w:t>23</w:t>
                  </w:r>
                </w:p>
              </w:tc>
              <w:tc>
                <w:tcPr>
                  <w:tcW w:w="1339" w:type="pct"/>
                  <w:vAlign w:val="center"/>
                </w:tcPr>
                <w:p w14:paraId="4D1B946B">
                  <w:pPr>
                    <w:pStyle w:val="94"/>
                  </w:pPr>
                  <w:r>
                    <w:rPr>
                      <w:rFonts w:hint="eastAsia"/>
                    </w:rPr>
                    <w:t>5"加重钻杆</w:t>
                  </w:r>
                </w:p>
              </w:tc>
              <w:tc>
                <w:tcPr>
                  <w:tcW w:w="2680" w:type="pct"/>
                  <w:vAlign w:val="center"/>
                </w:tcPr>
                <w:p w14:paraId="3619B300">
                  <w:pPr>
                    <w:pStyle w:val="94"/>
                  </w:pPr>
                  <w:r>
                    <w:rPr>
                      <w:rFonts w:hint="eastAsia"/>
                    </w:rPr>
                    <w:t>G-105</w:t>
                  </w:r>
                </w:p>
              </w:tc>
              <w:tc>
                <w:tcPr>
                  <w:tcW w:w="494" w:type="pct"/>
                  <w:vAlign w:val="center"/>
                </w:tcPr>
                <w:p w14:paraId="12F4D095">
                  <w:pPr>
                    <w:pStyle w:val="94"/>
                  </w:pPr>
                  <w:r>
                    <w:rPr>
                      <w:rFonts w:hint="eastAsia"/>
                    </w:rPr>
                    <w:t>45</w:t>
                  </w:r>
                </w:p>
              </w:tc>
            </w:tr>
            <w:tr w14:paraId="39CE35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7BD10E68">
                  <w:pPr>
                    <w:pStyle w:val="94"/>
                  </w:pPr>
                  <w:r>
                    <w:rPr>
                      <w:rFonts w:hint="eastAsia"/>
                    </w:rPr>
                    <w:t>24</w:t>
                  </w:r>
                </w:p>
              </w:tc>
              <w:tc>
                <w:tcPr>
                  <w:tcW w:w="1339" w:type="pct"/>
                  <w:vAlign w:val="center"/>
                </w:tcPr>
                <w:p w14:paraId="1E229BCD">
                  <w:pPr>
                    <w:pStyle w:val="94"/>
                  </w:pPr>
                  <w:r>
                    <w:rPr>
                      <w:rFonts w:hint="eastAsia"/>
                    </w:rPr>
                    <w:t>4"加重钻杆</w:t>
                  </w:r>
                </w:p>
              </w:tc>
              <w:tc>
                <w:tcPr>
                  <w:tcW w:w="2680" w:type="pct"/>
                  <w:vAlign w:val="center"/>
                </w:tcPr>
                <w:p w14:paraId="30BFD03B">
                  <w:pPr>
                    <w:pStyle w:val="94"/>
                  </w:pPr>
                  <w:r>
                    <w:rPr>
                      <w:rFonts w:hint="eastAsia"/>
                    </w:rPr>
                    <w:t>S-135</w:t>
                  </w:r>
                </w:p>
              </w:tc>
              <w:tc>
                <w:tcPr>
                  <w:tcW w:w="494" w:type="pct"/>
                  <w:vAlign w:val="center"/>
                </w:tcPr>
                <w:p w14:paraId="49A42938">
                  <w:pPr>
                    <w:pStyle w:val="94"/>
                  </w:pPr>
                  <w:r>
                    <w:rPr>
                      <w:rFonts w:hint="eastAsia"/>
                    </w:rPr>
                    <w:t>45</w:t>
                  </w:r>
                </w:p>
              </w:tc>
            </w:tr>
            <w:tr w14:paraId="2E3F56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36EBB3EF">
                  <w:pPr>
                    <w:pStyle w:val="94"/>
                  </w:pPr>
                  <w:r>
                    <w:rPr>
                      <w:rFonts w:hint="eastAsia"/>
                    </w:rPr>
                    <w:t>25</w:t>
                  </w:r>
                </w:p>
              </w:tc>
              <w:tc>
                <w:tcPr>
                  <w:tcW w:w="1339" w:type="pct"/>
                  <w:vAlign w:val="center"/>
                </w:tcPr>
                <w:p w14:paraId="0B62A0E2">
                  <w:pPr>
                    <w:pStyle w:val="94"/>
                  </w:pPr>
                  <w:r>
                    <w:rPr>
                      <w:rFonts w:hint="eastAsia"/>
                    </w:rPr>
                    <w:t>钻铤</w:t>
                  </w:r>
                </w:p>
              </w:tc>
              <w:tc>
                <w:tcPr>
                  <w:tcW w:w="2680" w:type="pct"/>
                  <w:vAlign w:val="center"/>
                </w:tcPr>
                <w:p w14:paraId="61C2B566">
                  <w:pPr>
                    <w:pStyle w:val="94"/>
                  </w:pPr>
                  <w:r>
                    <w:rPr>
                      <w:rFonts w:hint="eastAsia"/>
                    </w:rPr>
                    <w:t>　</w:t>
                  </w:r>
                </w:p>
              </w:tc>
              <w:tc>
                <w:tcPr>
                  <w:tcW w:w="494" w:type="pct"/>
                  <w:vAlign w:val="center"/>
                </w:tcPr>
                <w:p w14:paraId="05B5E5D9">
                  <w:pPr>
                    <w:pStyle w:val="94"/>
                  </w:pPr>
                  <w:r>
                    <w:rPr>
                      <w:rFonts w:hint="eastAsia"/>
                    </w:rPr>
                    <w:t>15</w:t>
                  </w:r>
                </w:p>
              </w:tc>
            </w:tr>
            <w:tr w14:paraId="65D7BD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0" w:hRule="atLeast"/>
              </w:trPr>
              <w:tc>
                <w:tcPr>
                  <w:tcW w:w="487" w:type="pct"/>
                  <w:vAlign w:val="center"/>
                </w:tcPr>
                <w:p w14:paraId="4EE64DD5">
                  <w:pPr>
                    <w:pStyle w:val="94"/>
                  </w:pPr>
                  <w:r>
                    <w:rPr>
                      <w:rFonts w:hint="eastAsia"/>
                    </w:rPr>
                    <w:t>28</w:t>
                  </w:r>
                </w:p>
              </w:tc>
              <w:tc>
                <w:tcPr>
                  <w:tcW w:w="1339" w:type="pct"/>
                  <w:vAlign w:val="center"/>
                </w:tcPr>
                <w:p w14:paraId="7444BC58">
                  <w:pPr>
                    <w:pStyle w:val="94"/>
                  </w:pPr>
                  <w:r>
                    <w:rPr>
                      <w:rFonts w:hint="eastAsia"/>
                    </w:rPr>
                    <w:t>柴油储罐</w:t>
                  </w:r>
                </w:p>
              </w:tc>
              <w:tc>
                <w:tcPr>
                  <w:tcW w:w="2680" w:type="pct"/>
                  <w:vAlign w:val="center"/>
                </w:tcPr>
                <w:p w14:paraId="0BFA5F41">
                  <w:pPr>
                    <w:pStyle w:val="94"/>
                  </w:pPr>
                  <w:r>
                    <w:rPr>
                      <w:rFonts w:hint="eastAsia"/>
                    </w:rPr>
                    <w:t>15t</w:t>
                  </w:r>
                </w:p>
              </w:tc>
              <w:tc>
                <w:tcPr>
                  <w:tcW w:w="494" w:type="pct"/>
                  <w:vAlign w:val="center"/>
                </w:tcPr>
                <w:p w14:paraId="1F24E7A7">
                  <w:pPr>
                    <w:pStyle w:val="94"/>
                    <w:rPr>
                      <w:rFonts w:ascii="Times New Roman" w:hAnsi="Times New Roman" w:cs="Times New Roman"/>
                    </w:rPr>
                  </w:pPr>
                  <w:r>
                    <w:rPr>
                      <w:rFonts w:ascii="Times New Roman" w:hAnsi="Times New Roman" w:cs="Times New Roman"/>
                    </w:rPr>
                    <w:t>1</w:t>
                  </w:r>
                </w:p>
              </w:tc>
            </w:tr>
            <w:tr w14:paraId="1142D4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208D8416">
                  <w:pPr>
                    <w:pStyle w:val="94"/>
                  </w:pPr>
                  <w:r>
                    <w:rPr>
                      <w:rFonts w:hint="eastAsia"/>
                    </w:rPr>
                    <w:t>29</w:t>
                  </w:r>
                </w:p>
              </w:tc>
              <w:tc>
                <w:tcPr>
                  <w:tcW w:w="1339" w:type="pct"/>
                  <w:vAlign w:val="center"/>
                </w:tcPr>
                <w:p w14:paraId="7010F663">
                  <w:pPr>
                    <w:pStyle w:val="94"/>
                  </w:pPr>
                  <w:r>
                    <w:rPr>
                      <w:rFonts w:hint="eastAsia"/>
                    </w:rPr>
                    <w:t>空气压缩机</w:t>
                  </w:r>
                </w:p>
              </w:tc>
              <w:tc>
                <w:tcPr>
                  <w:tcW w:w="2680" w:type="pct"/>
                  <w:vAlign w:val="center"/>
                </w:tcPr>
                <w:p w14:paraId="55C92F39">
                  <w:pPr>
                    <w:pStyle w:val="94"/>
                  </w:pPr>
                  <w:r>
                    <w:rPr>
                      <w:rFonts w:hint="eastAsia"/>
                    </w:rPr>
                    <w:t>排气量（m</w:t>
                  </w:r>
                  <w:r>
                    <w:rPr>
                      <w:rFonts w:hint="eastAsia"/>
                      <w:vertAlign w:val="superscript"/>
                    </w:rPr>
                    <w:t>3</w:t>
                  </w:r>
                  <w:r>
                    <w:rPr>
                      <w:rFonts w:hint="eastAsia"/>
                    </w:rPr>
                    <w:t>/min）/工作压力（Mpa）2.2-2.6/0.6-0.8</w:t>
                  </w:r>
                </w:p>
              </w:tc>
              <w:tc>
                <w:tcPr>
                  <w:tcW w:w="494" w:type="pct"/>
                  <w:vAlign w:val="center"/>
                </w:tcPr>
                <w:p w14:paraId="22256FE8">
                  <w:pPr>
                    <w:pStyle w:val="94"/>
                    <w:rPr>
                      <w:rFonts w:ascii="Times New Roman" w:hAnsi="Times New Roman" w:cs="Times New Roman"/>
                    </w:rPr>
                  </w:pPr>
                  <w:r>
                    <w:rPr>
                      <w:rFonts w:ascii="Times New Roman" w:hAnsi="Times New Roman" w:cs="Times New Roman"/>
                    </w:rPr>
                    <w:t>2</w:t>
                  </w:r>
                </w:p>
              </w:tc>
            </w:tr>
            <w:tr w14:paraId="1414E5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4BE794F3">
                  <w:pPr>
                    <w:pStyle w:val="94"/>
                  </w:pPr>
                  <w:r>
                    <w:rPr>
                      <w:rFonts w:hint="eastAsia"/>
                    </w:rPr>
                    <w:t>30</w:t>
                  </w:r>
                </w:p>
              </w:tc>
              <w:tc>
                <w:tcPr>
                  <w:tcW w:w="1339" w:type="pct"/>
                  <w:vAlign w:val="center"/>
                </w:tcPr>
                <w:p w14:paraId="0E49FCA8">
                  <w:pPr>
                    <w:pStyle w:val="94"/>
                  </w:pPr>
                  <w:r>
                    <w:rPr>
                      <w:rFonts w:hint="eastAsia"/>
                    </w:rPr>
                    <w:t>钻井泵</w:t>
                  </w:r>
                </w:p>
              </w:tc>
              <w:tc>
                <w:tcPr>
                  <w:tcW w:w="2680" w:type="pct"/>
                  <w:vAlign w:val="center"/>
                </w:tcPr>
                <w:p w14:paraId="476E6C5B">
                  <w:pPr>
                    <w:pStyle w:val="94"/>
                  </w:pPr>
                  <w:r>
                    <w:rPr>
                      <w:rFonts w:hint="eastAsia"/>
                    </w:rPr>
                    <w:t>功率（hp）≥1300</w:t>
                  </w:r>
                </w:p>
              </w:tc>
              <w:tc>
                <w:tcPr>
                  <w:tcW w:w="494" w:type="pct"/>
                  <w:vAlign w:val="center"/>
                </w:tcPr>
                <w:p w14:paraId="723FC928">
                  <w:pPr>
                    <w:pStyle w:val="94"/>
                    <w:rPr>
                      <w:rFonts w:ascii="Times New Roman" w:hAnsi="Times New Roman" w:cs="Times New Roman"/>
                    </w:rPr>
                  </w:pPr>
                  <w:r>
                    <w:rPr>
                      <w:rFonts w:ascii="Times New Roman" w:hAnsi="Times New Roman" w:cs="Times New Roman"/>
                    </w:rPr>
                    <w:t>2</w:t>
                  </w:r>
                </w:p>
              </w:tc>
            </w:tr>
            <w:tr w14:paraId="4EB47B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00A849D0">
                  <w:pPr>
                    <w:pStyle w:val="94"/>
                  </w:pPr>
                  <w:r>
                    <w:rPr>
                      <w:rFonts w:hint="eastAsia"/>
                    </w:rPr>
                    <w:t>31</w:t>
                  </w:r>
                </w:p>
              </w:tc>
              <w:tc>
                <w:tcPr>
                  <w:tcW w:w="1339" w:type="pct"/>
                  <w:vAlign w:val="center"/>
                </w:tcPr>
                <w:p w14:paraId="532463F6">
                  <w:pPr>
                    <w:pStyle w:val="94"/>
                  </w:pPr>
                  <w:r>
                    <w:rPr>
                      <w:rFonts w:hint="eastAsia"/>
                    </w:rPr>
                    <w:t>发电机</w:t>
                  </w:r>
                </w:p>
              </w:tc>
              <w:tc>
                <w:tcPr>
                  <w:tcW w:w="2680" w:type="pct"/>
                  <w:vAlign w:val="center"/>
                </w:tcPr>
                <w:p w14:paraId="361BC570">
                  <w:pPr>
                    <w:pStyle w:val="94"/>
                  </w:pPr>
                  <w:r>
                    <w:rPr>
                      <w:rFonts w:hint="eastAsia"/>
                    </w:rPr>
                    <w:t>总功率（KW）≥600</w:t>
                  </w:r>
                </w:p>
              </w:tc>
              <w:tc>
                <w:tcPr>
                  <w:tcW w:w="494" w:type="pct"/>
                  <w:vAlign w:val="center"/>
                </w:tcPr>
                <w:p w14:paraId="62721C4C">
                  <w:pPr>
                    <w:pStyle w:val="94"/>
                    <w:rPr>
                      <w:rFonts w:ascii="Times New Roman" w:hAnsi="Times New Roman" w:cs="Times New Roman"/>
                    </w:rPr>
                  </w:pPr>
                  <w:r>
                    <w:rPr>
                      <w:rFonts w:ascii="Times New Roman" w:hAnsi="Times New Roman" w:cs="Times New Roman"/>
                    </w:rPr>
                    <w:t>2</w:t>
                  </w:r>
                </w:p>
              </w:tc>
            </w:tr>
            <w:tr w14:paraId="47E6E4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7CFE72C3">
                  <w:pPr>
                    <w:pStyle w:val="94"/>
                  </w:pPr>
                  <w:r>
                    <w:rPr>
                      <w:rFonts w:hint="eastAsia"/>
                    </w:rPr>
                    <w:t>二</w:t>
                  </w:r>
                </w:p>
              </w:tc>
              <w:tc>
                <w:tcPr>
                  <w:tcW w:w="4513" w:type="pct"/>
                  <w:gridSpan w:val="3"/>
                  <w:vAlign w:val="center"/>
                </w:tcPr>
                <w:p w14:paraId="48859661">
                  <w:pPr>
                    <w:pStyle w:val="94"/>
                  </w:pPr>
                  <w:r>
                    <w:rPr>
                      <w:rFonts w:hint="eastAsia"/>
                    </w:rPr>
                    <w:t>完井阶段设备</w:t>
                  </w:r>
                </w:p>
              </w:tc>
            </w:tr>
            <w:tr w14:paraId="0C6FF9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7FDF87BA">
                  <w:pPr>
                    <w:pStyle w:val="94"/>
                  </w:pPr>
                  <w:r>
                    <w:rPr>
                      <w:rFonts w:hint="eastAsia"/>
                    </w:rPr>
                    <w:t>1</w:t>
                  </w:r>
                </w:p>
              </w:tc>
              <w:tc>
                <w:tcPr>
                  <w:tcW w:w="1339" w:type="pct"/>
                  <w:vAlign w:val="center"/>
                </w:tcPr>
                <w:p w14:paraId="3D66E454">
                  <w:pPr>
                    <w:pStyle w:val="94"/>
                  </w:pPr>
                  <w:r>
                    <w:rPr>
                      <w:rFonts w:hint="eastAsia"/>
                    </w:rPr>
                    <w:t>2500型压裂车</w:t>
                  </w:r>
                </w:p>
              </w:tc>
              <w:tc>
                <w:tcPr>
                  <w:tcW w:w="2680" w:type="pct"/>
                  <w:vAlign w:val="center"/>
                </w:tcPr>
                <w:p w14:paraId="2F524ACD">
                  <w:pPr>
                    <w:pStyle w:val="94"/>
                  </w:pPr>
                  <w:r>
                    <w:rPr>
                      <w:rFonts w:hint="eastAsia"/>
                    </w:rPr>
                    <w:t>2500HP</w:t>
                  </w:r>
                </w:p>
              </w:tc>
              <w:tc>
                <w:tcPr>
                  <w:tcW w:w="494" w:type="pct"/>
                  <w:vAlign w:val="center"/>
                </w:tcPr>
                <w:p w14:paraId="030C5D9D">
                  <w:pPr>
                    <w:pStyle w:val="94"/>
                  </w:pPr>
                  <w:r>
                    <w:rPr>
                      <w:rFonts w:hint="eastAsia"/>
                    </w:rPr>
                    <w:t>4</w:t>
                  </w:r>
                </w:p>
              </w:tc>
            </w:tr>
            <w:tr w14:paraId="114C31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3ED39AD1">
                  <w:pPr>
                    <w:pStyle w:val="94"/>
                  </w:pPr>
                  <w:r>
                    <w:rPr>
                      <w:rFonts w:hint="eastAsia"/>
                    </w:rPr>
                    <w:t>2</w:t>
                  </w:r>
                </w:p>
              </w:tc>
              <w:tc>
                <w:tcPr>
                  <w:tcW w:w="1339" w:type="pct"/>
                  <w:vAlign w:val="center"/>
                </w:tcPr>
                <w:p w14:paraId="56E72AB8">
                  <w:pPr>
                    <w:pStyle w:val="94"/>
                  </w:pPr>
                  <w:r>
                    <w:rPr>
                      <w:rFonts w:hint="eastAsia"/>
                    </w:rPr>
                    <w:t>混砂车</w:t>
                  </w:r>
                </w:p>
              </w:tc>
              <w:tc>
                <w:tcPr>
                  <w:tcW w:w="2680" w:type="pct"/>
                  <w:vAlign w:val="center"/>
                </w:tcPr>
                <w:p w14:paraId="7D5EA77C">
                  <w:pPr>
                    <w:pStyle w:val="94"/>
                  </w:pPr>
                  <w:r>
                    <w:rPr>
                      <w:rFonts w:hint="eastAsia"/>
                    </w:rPr>
                    <w:t>　</w:t>
                  </w:r>
                </w:p>
              </w:tc>
              <w:tc>
                <w:tcPr>
                  <w:tcW w:w="494" w:type="pct"/>
                  <w:vAlign w:val="center"/>
                </w:tcPr>
                <w:p w14:paraId="334C4DAA">
                  <w:pPr>
                    <w:pStyle w:val="94"/>
                  </w:pPr>
                  <w:r>
                    <w:rPr>
                      <w:rFonts w:hint="eastAsia"/>
                    </w:rPr>
                    <w:t>1</w:t>
                  </w:r>
                </w:p>
              </w:tc>
            </w:tr>
            <w:tr w14:paraId="24082F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3324094C">
                  <w:pPr>
                    <w:pStyle w:val="94"/>
                  </w:pPr>
                  <w:r>
                    <w:rPr>
                      <w:rFonts w:hint="eastAsia"/>
                    </w:rPr>
                    <w:t>3</w:t>
                  </w:r>
                </w:p>
              </w:tc>
              <w:tc>
                <w:tcPr>
                  <w:tcW w:w="1339" w:type="pct"/>
                  <w:vAlign w:val="center"/>
                </w:tcPr>
                <w:p w14:paraId="088564EE">
                  <w:pPr>
                    <w:pStyle w:val="94"/>
                  </w:pPr>
                  <w:r>
                    <w:rPr>
                      <w:rFonts w:hint="eastAsia"/>
                    </w:rPr>
                    <w:t>仪表车</w:t>
                  </w:r>
                </w:p>
              </w:tc>
              <w:tc>
                <w:tcPr>
                  <w:tcW w:w="2680" w:type="pct"/>
                  <w:vAlign w:val="center"/>
                </w:tcPr>
                <w:p w14:paraId="007DBA68">
                  <w:pPr>
                    <w:pStyle w:val="94"/>
                  </w:pPr>
                  <w:r>
                    <w:rPr>
                      <w:rFonts w:hint="eastAsia"/>
                    </w:rPr>
                    <w:t>　</w:t>
                  </w:r>
                </w:p>
              </w:tc>
              <w:tc>
                <w:tcPr>
                  <w:tcW w:w="494" w:type="pct"/>
                  <w:vAlign w:val="center"/>
                </w:tcPr>
                <w:p w14:paraId="7264E73E">
                  <w:pPr>
                    <w:pStyle w:val="94"/>
                  </w:pPr>
                  <w:r>
                    <w:rPr>
                      <w:rFonts w:hint="eastAsia"/>
                    </w:rPr>
                    <w:t>1</w:t>
                  </w:r>
                </w:p>
              </w:tc>
            </w:tr>
            <w:tr w14:paraId="34D5B9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6924A7BD">
                  <w:pPr>
                    <w:pStyle w:val="94"/>
                  </w:pPr>
                  <w:r>
                    <w:rPr>
                      <w:rFonts w:hint="eastAsia"/>
                    </w:rPr>
                    <w:t>4</w:t>
                  </w:r>
                </w:p>
              </w:tc>
              <w:tc>
                <w:tcPr>
                  <w:tcW w:w="1339" w:type="pct"/>
                  <w:vAlign w:val="center"/>
                </w:tcPr>
                <w:p w14:paraId="3E43E06B">
                  <w:pPr>
                    <w:pStyle w:val="94"/>
                  </w:pPr>
                  <w:r>
                    <w:rPr>
                      <w:rFonts w:hint="eastAsia"/>
                    </w:rPr>
                    <w:t>高低压管汇</w:t>
                  </w:r>
                </w:p>
              </w:tc>
              <w:tc>
                <w:tcPr>
                  <w:tcW w:w="2680" w:type="pct"/>
                  <w:vAlign w:val="center"/>
                </w:tcPr>
                <w:p w14:paraId="4D052BC8">
                  <w:pPr>
                    <w:pStyle w:val="94"/>
                  </w:pPr>
                  <w:r>
                    <w:rPr>
                      <w:rFonts w:hint="eastAsia"/>
                    </w:rPr>
                    <w:t>　</w:t>
                  </w:r>
                </w:p>
              </w:tc>
              <w:tc>
                <w:tcPr>
                  <w:tcW w:w="494" w:type="pct"/>
                  <w:vAlign w:val="center"/>
                </w:tcPr>
                <w:p w14:paraId="5A6D795D">
                  <w:pPr>
                    <w:pStyle w:val="94"/>
                  </w:pPr>
                  <w:r>
                    <w:rPr>
                      <w:rFonts w:hint="eastAsia"/>
                    </w:rPr>
                    <w:t>1</w:t>
                  </w:r>
                </w:p>
              </w:tc>
            </w:tr>
            <w:tr w14:paraId="13381DDE">
              <w:tblPrEx>
                <w:tblCellMar>
                  <w:top w:w="0" w:type="dxa"/>
                  <w:left w:w="108" w:type="dxa"/>
                  <w:bottom w:w="0" w:type="dxa"/>
                  <w:right w:w="108" w:type="dxa"/>
                </w:tblCellMar>
              </w:tblPrEx>
              <w:trPr>
                <w:trHeight w:val="20" w:hRule="atLeast"/>
              </w:trPr>
              <w:tc>
                <w:tcPr>
                  <w:tcW w:w="487" w:type="pct"/>
                  <w:vAlign w:val="center"/>
                </w:tcPr>
                <w:p w14:paraId="062FDB1D">
                  <w:pPr>
                    <w:pStyle w:val="94"/>
                  </w:pPr>
                  <w:r>
                    <w:rPr>
                      <w:rFonts w:hint="eastAsia"/>
                    </w:rPr>
                    <w:t>5</w:t>
                  </w:r>
                </w:p>
              </w:tc>
              <w:tc>
                <w:tcPr>
                  <w:tcW w:w="1339" w:type="pct"/>
                  <w:vAlign w:val="center"/>
                </w:tcPr>
                <w:p w14:paraId="74F5905E">
                  <w:pPr>
                    <w:pStyle w:val="94"/>
                  </w:pPr>
                  <w:r>
                    <w:rPr>
                      <w:rFonts w:hint="eastAsia"/>
                    </w:rPr>
                    <w:t>砂罐车</w:t>
                  </w:r>
                </w:p>
              </w:tc>
              <w:tc>
                <w:tcPr>
                  <w:tcW w:w="2680" w:type="pct"/>
                  <w:vAlign w:val="center"/>
                </w:tcPr>
                <w:p w14:paraId="0BB06621">
                  <w:pPr>
                    <w:pStyle w:val="94"/>
                  </w:pPr>
                  <w:r>
                    <w:rPr>
                      <w:rFonts w:hint="eastAsia"/>
                    </w:rPr>
                    <w:t>　</w:t>
                  </w:r>
                </w:p>
              </w:tc>
              <w:tc>
                <w:tcPr>
                  <w:tcW w:w="494" w:type="pct"/>
                  <w:vAlign w:val="center"/>
                </w:tcPr>
                <w:p w14:paraId="094ABCC2">
                  <w:pPr>
                    <w:pStyle w:val="94"/>
                  </w:pPr>
                  <w:r>
                    <w:rPr>
                      <w:rFonts w:hint="eastAsia"/>
                    </w:rPr>
                    <w:t>4</w:t>
                  </w:r>
                </w:p>
              </w:tc>
            </w:tr>
            <w:tr w14:paraId="74D231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6ADE9ABF">
                  <w:pPr>
                    <w:pStyle w:val="94"/>
                  </w:pPr>
                  <w:r>
                    <w:rPr>
                      <w:rFonts w:hint="eastAsia"/>
                    </w:rPr>
                    <w:t>6</w:t>
                  </w:r>
                </w:p>
              </w:tc>
              <w:tc>
                <w:tcPr>
                  <w:tcW w:w="1339" w:type="pct"/>
                  <w:vAlign w:val="center"/>
                </w:tcPr>
                <w:p w14:paraId="78E38E10">
                  <w:pPr>
                    <w:pStyle w:val="94"/>
                  </w:pPr>
                  <w:r>
                    <w:rPr>
                      <w:rFonts w:hint="eastAsia"/>
                    </w:rPr>
                    <w:t>随车吊/吊车</w:t>
                  </w:r>
                </w:p>
              </w:tc>
              <w:tc>
                <w:tcPr>
                  <w:tcW w:w="2680" w:type="pct"/>
                  <w:vAlign w:val="center"/>
                </w:tcPr>
                <w:p w14:paraId="4CCE059B">
                  <w:pPr>
                    <w:pStyle w:val="94"/>
                  </w:pPr>
                  <w:r>
                    <w:rPr>
                      <w:rFonts w:hint="eastAsia"/>
                    </w:rPr>
                    <w:t>　</w:t>
                  </w:r>
                </w:p>
              </w:tc>
              <w:tc>
                <w:tcPr>
                  <w:tcW w:w="494" w:type="pct"/>
                  <w:vAlign w:val="center"/>
                </w:tcPr>
                <w:p w14:paraId="16B9E6A6">
                  <w:pPr>
                    <w:pStyle w:val="94"/>
                  </w:pPr>
                  <w:r>
                    <w:rPr>
                      <w:rFonts w:hint="eastAsia"/>
                    </w:rPr>
                    <w:t>1</w:t>
                  </w:r>
                </w:p>
              </w:tc>
            </w:tr>
            <w:tr w14:paraId="63D29C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3ED0CB86">
                  <w:pPr>
                    <w:pStyle w:val="94"/>
                  </w:pPr>
                  <w:r>
                    <w:rPr>
                      <w:rFonts w:hint="eastAsia"/>
                    </w:rPr>
                    <w:t>7</w:t>
                  </w:r>
                </w:p>
              </w:tc>
              <w:tc>
                <w:tcPr>
                  <w:tcW w:w="1339" w:type="pct"/>
                  <w:vAlign w:val="center"/>
                </w:tcPr>
                <w:p w14:paraId="6B1CA978">
                  <w:pPr>
                    <w:pStyle w:val="94"/>
                  </w:pPr>
                  <w:r>
                    <w:rPr>
                      <w:rFonts w:hint="eastAsia"/>
                    </w:rPr>
                    <w:t>液氮泵车</w:t>
                  </w:r>
                </w:p>
              </w:tc>
              <w:tc>
                <w:tcPr>
                  <w:tcW w:w="2680" w:type="pct"/>
                  <w:vAlign w:val="center"/>
                </w:tcPr>
                <w:p w14:paraId="459E5FF9">
                  <w:pPr>
                    <w:pStyle w:val="94"/>
                  </w:pPr>
                  <w:r>
                    <w:rPr>
                      <w:rFonts w:hint="eastAsia"/>
                    </w:rPr>
                    <w:t>　</w:t>
                  </w:r>
                </w:p>
              </w:tc>
              <w:tc>
                <w:tcPr>
                  <w:tcW w:w="494" w:type="pct"/>
                  <w:vAlign w:val="center"/>
                </w:tcPr>
                <w:p w14:paraId="67D4A534">
                  <w:pPr>
                    <w:pStyle w:val="94"/>
                  </w:pPr>
                  <w:r>
                    <w:rPr>
                      <w:rFonts w:hint="eastAsia"/>
                    </w:rPr>
                    <w:t>1</w:t>
                  </w:r>
                </w:p>
              </w:tc>
            </w:tr>
            <w:tr w14:paraId="4820A3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21C10D5B">
                  <w:pPr>
                    <w:pStyle w:val="94"/>
                  </w:pPr>
                  <w:r>
                    <w:rPr>
                      <w:rFonts w:hint="eastAsia"/>
                    </w:rPr>
                    <w:t>8</w:t>
                  </w:r>
                </w:p>
              </w:tc>
              <w:tc>
                <w:tcPr>
                  <w:tcW w:w="1339" w:type="pct"/>
                  <w:vAlign w:val="center"/>
                </w:tcPr>
                <w:p w14:paraId="062A2831">
                  <w:pPr>
                    <w:pStyle w:val="94"/>
                  </w:pPr>
                  <w:r>
                    <w:rPr>
                      <w:rFonts w:hint="eastAsia"/>
                    </w:rPr>
                    <w:t>液氮罐车</w:t>
                  </w:r>
                </w:p>
              </w:tc>
              <w:tc>
                <w:tcPr>
                  <w:tcW w:w="2680" w:type="pct"/>
                  <w:vAlign w:val="center"/>
                </w:tcPr>
                <w:p w14:paraId="1A5481E5">
                  <w:pPr>
                    <w:pStyle w:val="94"/>
                  </w:pPr>
                  <w:r>
                    <w:rPr>
                      <w:rFonts w:hint="eastAsia"/>
                    </w:rPr>
                    <w:t>　</w:t>
                  </w:r>
                </w:p>
              </w:tc>
              <w:tc>
                <w:tcPr>
                  <w:tcW w:w="494" w:type="pct"/>
                  <w:vAlign w:val="center"/>
                </w:tcPr>
                <w:p w14:paraId="3707FA78">
                  <w:pPr>
                    <w:pStyle w:val="94"/>
                  </w:pPr>
                  <w:r>
                    <w:rPr>
                      <w:rFonts w:hint="eastAsia"/>
                    </w:rPr>
                    <w:t>6</w:t>
                  </w:r>
                </w:p>
              </w:tc>
            </w:tr>
            <w:tr w14:paraId="189E7513">
              <w:tblPrEx>
                <w:tblCellMar>
                  <w:top w:w="0" w:type="dxa"/>
                  <w:left w:w="108" w:type="dxa"/>
                  <w:bottom w:w="0" w:type="dxa"/>
                  <w:right w:w="108" w:type="dxa"/>
                </w:tblCellMar>
              </w:tblPrEx>
              <w:trPr>
                <w:trHeight w:val="20" w:hRule="atLeast"/>
              </w:trPr>
              <w:tc>
                <w:tcPr>
                  <w:tcW w:w="487" w:type="pct"/>
                  <w:vAlign w:val="center"/>
                </w:tcPr>
                <w:p w14:paraId="273FE4F2">
                  <w:pPr>
                    <w:pStyle w:val="94"/>
                  </w:pPr>
                  <w:r>
                    <w:rPr>
                      <w:rFonts w:hint="eastAsia"/>
                    </w:rPr>
                    <w:t>9</w:t>
                  </w:r>
                </w:p>
              </w:tc>
              <w:tc>
                <w:tcPr>
                  <w:tcW w:w="1339" w:type="pct"/>
                  <w:vAlign w:val="center"/>
                </w:tcPr>
                <w:p w14:paraId="593EEF0E">
                  <w:pPr>
                    <w:pStyle w:val="94"/>
                  </w:pPr>
                  <w:r>
                    <w:rPr>
                      <w:rFonts w:hint="eastAsia"/>
                    </w:rPr>
                    <w:t>压裂井口</w:t>
                  </w:r>
                </w:p>
              </w:tc>
              <w:tc>
                <w:tcPr>
                  <w:tcW w:w="2680" w:type="pct"/>
                  <w:vAlign w:val="center"/>
                </w:tcPr>
                <w:p w14:paraId="5E65CF70">
                  <w:pPr>
                    <w:pStyle w:val="94"/>
                  </w:pPr>
                  <w:r>
                    <w:rPr>
                      <w:rFonts w:hint="eastAsia"/>
                    </w:rPr>
                    <w:t>QL65-70MPa</w:t>
                  </w:r>
                </w:p>
              </w:tc>
              <w:tc>
                <w:tcPr>
                  <w:tcW w:w="494" w:type="pct"/>
                  <w:vAlign w:val="center"/>
                </w:tcPr>
                <w:p w14:paraId="02D3F659">
                  <w:pPr>
                    <w:pStyle w:val="94"/>
                  </w:pPr>
                  <w:r>
                    <w:rPr>
                      <w:rFonts w:hint="eastAsia"/>
                    </w:rPr>
                    <w:t>1</w:t>
                  </w:r>
                </w:p>
              </w:tc>
            </w:tr>
            <w:tr w14:paraId="1D2884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11FE0AFC">
                  <w:pPr>
                    <w:pStyle w:val="94"/>
                  </w:pPr>
                  <w:r>
                    <w:rPr>
                      <w:rFonts w:hint="eastAsia"/>
                    </w:rPr>
                    <w:t>10</w:t>
                  </w:r>
                </w:p>
              </w:tc>
              <w:tc>
                <w:tcPr>
                  <w:tcW w:w="1339" w:type="pct"/>
                  <w:vAlign w:val="center"/>
                </w:tcPr>
                <w:p w14:paraId="59F82F0D">
                  <w:pPr>
                    <w:pStyle w:val="94"/>
                  </w:pPr>
                  <w:r>
                    <w:rPr>
                      <w:rFonts w:hint="eastAsia"/>
                    </w:rPr>
                    <w:t>混配车</w:t>
                  </w:r>
                </w:p>
              </w:tc>
              <w:tc>
                <w:tcPr>
                  <w:tcW w:w="2680" w:type="pct"/>
                  <w:vAlign w:val="center"/>
                </w:tcPr>
                <w:p w14:paraId="2131E6D5">
                  <w:pPr>
                    <w:pStyle w:val="94"/>
                  </w:pPr>
                  <w:r>
                    <w:rPr>
                      <w:rFonts w:hint="eastAsia"/>
                    </w:rPr>
                    <w:t>　</w:t>
                  </w:r>
                </w:p>
              </w:tc>
              <w:tc>
                <w:tcPr>
                  <w:tcW w:w="494" w:type="pct"/>
                  <w:vAlign w:val="center"/>
                </w:tcPr>
                <w:p w14:paraId="12713C71">
                  <w:pPr>
                    <w:pStyle w:val="94"/>
                  </w:pPr>
                  <w:r>
                    <w:rPr>
                      <w:rFonts w:hint="eastAsia"/>
                    </w:rPr>
                    <w:t>1</w:t>
                  </w:r>
                </w:p>
              </w:tc>
            </w:tr>
            <w:tr w14:paraId="3FF579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36697D15">
                  <w:pPr>
                    <w:pStyle w:val="94"/>
                  </w:pPr>
                  <w:r>
                    <w:rPr>
                      <w:rFonts w:hint="eastAsia"/>
                    </w:rPr>
                    <w:t>11</w:t>
                  </w:r>
                </w:p>
              </w:tc>
              <w:tc>
                <w:tcPr>
                  <w:tcW w:w="1339" w:type="pct"/>
                  <w:vAlign w:val="center"/>
                </w:tcPr>
                <w:p w14:paraId="07F05E0F">
                  <w:pPr>
                    <w:pStyle w:val="94"/>
                  </w:pPr>
                  <w:r>
                    <w:rPr>
                      <w:rFonts w:hint="eastAsia"/>
                    </w:rPr>
                    <w:t>压裂返排液收集罐</w:t>
                  </w:r>
                </w:p>
              </w:tc>
              <w:tc>
                <w:tcPr>
                  <w:tcW w:w="2680" w:type="pct"/>
                  <w:vAlign w:val="center"/>
                </w:tcPr>
                <w:p w14:paraId="2B55073E">
                  <w:pPr>
                    <w:pStyle w:val="94"/>
                  </w:pPr>
                  <w:r>
                    <w:rPr>
                      <w:rFonts w:hint="eastAsia"/>
                    </w:rPr>
                    <w:t>400m</w:t>
                  </w:r>
                  <w:r>
                    <w:rPr>
                      <w:rFonts w:hint="eastAsia"/>
                      <w:vertAlign w:val="superscript"/>
                    </w:rPr>
                    <w:t>3</w:t>
                  </w:r>
                </w:p>
              </w:tc>
              <w:tc>
                <w:tcPr>
                  <w:tcW w:w="494" w:type="pct"/>
                  <w:vAlign w:val="center"/>
                </w:tcPr>
                <w:p w14:paraId="7803AC4A">
                  <w:pPr>
                    <w:pStyle w:val="94"/>
                  </w:pPr>
                  <w:r>
                    <w:rPr>
                      <w:rFonts w:hint="eastAsia"/>
                    </w:rPr>
                    <w:t>1</w:t>
                  </w:r>
                </w:p>
              </w:tc>
            </w:tr>
            <w:tr w14:paraId="4788D0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474CF073">
                  <w:pPr>
                    <w:pStyle w:val="94"/>
                  </w:pPr>
                  <w:r>
                    <w:rPr>
                      <w:rFonts w:hint="eastAsia"/>
                    </w:rPr>
                    <w:t>三</w:t>
                  </w:r>
                </w:p>
              </w:tc>
              <w:tc>
                <w:tcPr>
                  <w:tcW w:w="4513" w:type="pct"/>
                  <w:gridSpan w:val="3"/>
                  <w:vAlign w:val="center"/>
                </w:tcPr>
                <w:p w14:paraId="6DB157F9">
                  <w:pPr>
                    <w:pStyle w:val="94"/>
                  </w:pPr>
                  <w:r>
                    <w:rPr>
                      <w:rFonts w:hint="eastAsia"/>
                    </w:rPr>
                    <w:t>试采阶段设备</w:t>
                  </w:r>
                </w:p>
              </w:tc>
            </w:tr>
            <w:tr w14:paraId="4F45F1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66AF3337">
                  <w:pPr>
                    <w:pStyle w:val="94"/>
                  </w:pPr>
                  <w:r>
                    <w:rPr>
                      <w:rFonts w:hint="eastAsia"/>
                    </w:rPr>
                    <w:t>1</w:t>
                  </w:r>
                </w:p>
              </w:tc>
              <w:tc>
                <w:tcPr>
                  <w:tcW w:w="1339" w:type="pct"/>
                  <w:vAlign w:val="center"/>
                </w:tcPr>
                <w:p w14:paraId="6A4CA93B">
                  <w:pPr>
                    <w:pStyle w:val="94"/>
                  </w:pPr>
                  <w:r>
                    <w:rPr>
                      <w:rFonts w:hint="eastAsia"/>
                    </w:rPr>
                    <w:t>高低压紧急截断阀</w:t>
                  </w:r>
                </w:p>
              </w:tc>
              <w:tc>
                <w:tcPr>
                  <w:tcW w:w="2680" w:type="pct"/>
                  <w:vAlign w:val="center"/>
                </w:tcPr>
                <w:p w14:paraId="1A053DFD">
                  <w:pPr>
                    <w:pStyle w:val="94"/>
                  </w:pPr>
                  <w:r>
                    <w:rPr>
                      <w:rFonts w:hint="eastAsia"/>
                    </w:rPr>
                    <w:t>Class1500  DN500</w:t>
                  </w:r>
                </w:p>
              </w:tc>
              <w:tc>
                <w:tcPr>
                  <w:tcW w:w="494" w:type="pct"/>
                  <w:vAlign w:val="center"/>
                </w:tcPr>
                <w:p w14:paraId="5627C88F">
                  <w:pPr>
                    <w:pStyle w:val="94"/>
                  </w:pPr>
                  <w:r>
                    <w:rPr>
                      <w:rFonts w:hint="eastAsia"/>
                    </w:rPr>
                    <w:t>1</w:t>
                  </w:r>
                </w:p>
              </w:tc>
            </w:tr>
            <w:tr w14:paraId="4DAE9C78">
              <w:tblPrEx>
                <w:tblCellMar>
                  <w:top w:w="0" w:type="dxa"/>
                  <w:left w:w="108" w:type="dxa"/>
                  <w:bottom w:w="0" w:type="dxa"/>
                  <w:right w:w="108" w:type="dxa"/>
                </w:tblCellMar>
              </w:tblPrEx>
              <w:trPr>
                <w:trHeight w:val="20" w:hRule="atLeast"/>
              </w:trPr>
              <w:tc>
                <w:tcPr>
                  <w:tcW w:w="487" w:type="pct"/>
                  <w:vAlign w:val="center"/>
                </w:tcPr>
                <w:p w14:paraId="495D666F">
                  <w:pPr>
                    <w:pStyle w:val="94"/>
                  </w:pPr>
                  <w:r>
                    <w:rPr>
                      <w:rFonts w:hint="eastAsia"/>
                    </w:rPr>
                    <w:t>2</w:t>
                  </w:r>
                </w:p>
              </w:tc>
              <w:tc>
                <w:tcPr>
                  <w:tcW w:w="1339" w:type="pct"/>
                  <w:vAlign w:val="center"/>
                </w:tcPr>
                <w:p w14:paraId="1F2F896B">
                  <w:pPr>
                    <w:pStyle w:val="94"/>
                  </w:pPr>
                  <w:r>
                    <w:rPr>
                      <w:rFonts w:hint="eastAsia"/>
                    </w:rPr>
                    <w:t>闸阀</w:t>
                  </w:r>
                </w:p>
              </w:tc>
              <w:tc>
                <w:tcPr>
                  <w:tcW w:w="2680" w:type="pct"/>
                  <w:vAlign w:val="center"/>
                </w:tcPr>
                <w:p w14:paraId="7DB78038">
                  <w:pPr>
                    <w:pStyle w:val="94"/>
                  </w:pPr>
                  <w:r>
                    <w:rPr>
                      <w:rFonts w:hint="eastAsia"/>
                    </w:rPr>
                    <w:t>PN40  DN50</w:t>
                  </w:r>
                </w:p>
              </w:tc>
              <w:tc>
                <w:tcPr>
                  <w:tcW w:w="494" w:type="pct"/>
                  <w:vAlign w:val="center"/>
                </w:tcPr>
                <w:p w14:paraId="03BEE6F3">
                  <w:pPr>
                    <w:pStyle w:val="94"/>
                  </w:pPr>
                  <w:r>
                    <w:rPr>
                      <w:rFonts w:hint="eastAsia"/>
                    </w:rPr>
                    <w:t>3</w:t>
                  </w:r>
                </w:p>
              </w:tc>
            </w:tr>
            <w:tr w14:paraId="1AE361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3EB5772B">
                  <w:pPr>
                    <w:pStyle w:val="94"/>
                  </w:pPr>
                  <w:r>
                    <w:rPr>
                      <w:rFonts w:hint="eastAsia"/>
                    </w:rPr>
                    <w:t>3</w:t>
                  </w:r>
                </w:p>
              </w:tc>
              <w:tc>
                <w:tcPr>
                  <w:tcW w:w="1339" w:type="pct"/>
                  <w:vAlign w:val="center"/>
                </w:tcPr>
                <w:p w14:paraId="52A982B6">
                  <w:pPr>
                    <w:pStyle w:val="94"/>
                  </w:pPr>
                  <w:r>
                    <w:rPr>
                      <w:rFonts w:hint="eastAsia"/>
                    </w:rPr>
                    <w:t>智能一体化流量计</w:t>
                  </w:r>
                </w:p>
              </w:tc>
              <w:tc>
                <w:tcPr>
                  <w:tcW w:w="2680" w:type="pct"/>
                  <w:vAlign w:val="center"/>
                </w:tcPr>
                <w:p w14:paraId="4C087501">
                  <w:pPr>
                    <w:pStyle w:val="94"/>
                  </w:pPr>
                  <w:r>
                    <w:rPr>
                      <w:rFonts w:hint="eastAsia"/>
                    </w:rPr>
                    <w:t>PN40  DN50</w:t>
                  </w:r>
                </w:p>
              </w:tc>
              <w:tc>
                <w:tcPr>
                  <w:tcW w:w="494" w:type="pct"/>
                  <w:vAlign w:val="center"/>
                </w:tcPr>
                <w:p w14:paraId="7B7D8EFC">
                  <w:pPr>
                    <w:pStyle w:val="94"/>
                  </w:pPr>
                  <w:r>
                    <w:rPr>
                      <w:rFonts w:hint="eastAsia"/>
                    </w:rPr>
                    <w:t>1</w:t>
                  </w:r>
                </w:p>
              </w:tc>
            </w:tr>
            <w:tr w14:paraId="483EB1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5" w:hRule="atLeast"/>
              </w:trPr>
              <w:tc>
                <w:tcPr>
                  <w:tcW w:w="487" w:type="pct"/>
                  <w:vAlign w:val="center"/>
                </w:tcPr>
                <w:p w14:paraId="202A7EBC">
                  <w:pPr>
                    <w:pStyle w:val="94"/>
                  </w:pPr>
                  <w:r>
                    <w:rPr>
                      <w:rFonts w:hint="eastAsia"/>
                    </w:rPr>
                    <w:t>4</w:t>
                  </w:r>
                </w:p>
              </w:tc>
              <w:tc>
                <w:tcPr>
                  <w:tcW w:w="1339" w:type="pct"/>
                  <w:vAlign w:val="center"/>
                </w:tcPr>
                <w:p w14:paraId="194CC6AB">
                  <w:pPr>
                    <w:pStyle w:val="94"/>
                  </w:pPr>
                  <w:r>
                    <w:rPr>
                      <w:rFonts w:hint="eastAsia"/>
                    </w:rPr>
                    <w:t>压力表</w:t>
                  </w:r>
                </w:p>
              </w:tc>
              <w:tc>
                <w:tcPr>
                  <w:tcW w:w="2680" w:type="pct"/>
                  <w:vAlign w:val="center"/>
                </w:tcPr>
                <w:p w14:paraId="316E55D4">
                  <w:pPr>
                    <w:pStyle w:val="94"/>
                  </w:pPr>
                  <w:r>
                    <w:rPr>
                      <w:rFonts w:hint="eastAsia"/>
                    </w:rPr>
                    <w:t>Y-100，0-25MPa</w:t>
                  </w:r>
                </w:p>
              </w:tc>
              <w:tc>
                <w:tcPr>
                  <w:tcW w:w="494" w:type="pct"/>
                  <w:vAlign w:val="center"/>
                </w:tcPr>
                <w:p w14:paraId="70DF7955">
                  <w:pPr>
                    <w:pStyle w:val="94"/>
                  </w:pPr>
                  <w:r>
                    <w:rPr>
                      <w:rFonts w:hint="eastAsia"/>
                    </w:rPr>
                    <w:t>1</w:t>
                  </w:r>
                </w:p>
              </w:tc>
            </w:tr>
            <w:tr w14:paraId="31B5E948">
              <w:tblPrEx>
                <w:tblCellMar>
                  <w:top w:w="0" w:type="dxa"/>
                  <w:left w:w="108" w:type="dxa"/>
                  <w:bottom w:w="0" w:type="dxa"/>
                  <w:right w:w="108" w:type="dxa"/>
                </w:tblCellMar>
              </w:tblPrEx>
              <w:trPr>
                <w:trHeight w:val="20" w:hRule="atLeast"/>
              </w:trPr>
              <w:tc>
                <w:tcPr>
                  <w:tcW w:w="487" w:type="pct"/>
                  <w:vAlign w:val="center"/>
                </w:tcPr>
                <w:p w14:paraId="5B4CBDF7">
                  <w:pPr>
                    <w:pStyle w:val="94"/>
                  </w:pPr>
                  <w:r>
                    <w:rPr>
                      <w:rFonts w:hint="eastAsia"/>
                    </w:rPr>
                    <w:t>5</w:t>
                  </w:r>
                </w:p>
              </w:tc>
              <w:tc>
                <w:tcPr>
                  <w:tcW w:w="1339" w:type="pct"/>
                  <w:vAlign w:val="center"/>
                </w:tcPr>
                <w:p w14:paraId="2A209D0D">
                  <w:pPr>
                    <w:pStyle w:val="94"/>
                  </w:pPr>
                  <w:r>
                    <w:rPr>
                      <w:rFonts w:hint="eastAsia"/>
                    </w:rPr>
                    <w:t>压力变送器</w:t>
                  </w:r>
                </w:p>
              </w:tc>
              <w:tc>
                <w:tcPr>
                  <w:tcW w:w="2680" w:type="pct"/>
                  <w:vAlign w:val="center"/>
                </w:tcPr>
                <w:p w14:paraId="4035B9EA">
                  <w:pPr>
                    <w:pStyle w:val="94"/>
                  </w:pPr>
                  <w:r>
                    <w:rPr>
                      <w:rFonts w:hint="eastAsia"/>
                    </w:rPr>
                    <w:t>/</w:t>
                  </w:r>
                </w:p>
              </w:tc>
              <w:tc>
                <w:tcPr>
                  <w:tcW w:w="494" w:type="pct"/>
                  <w:vAlign w:val="center"/>
                </w:tcPr>
                <w:p w14:paraId="682A16B4">
                  <w:pPr>
                    <w:pStyle w:val="94"/>
                  </w:pPr>
                  <w:r>
                    <w:rPr>
                      <w:rFonts w:hint="eastAsia"/>
                    </w:rPr>
                    <w:t>2</w:t>
                  </w:r>
                </w:p>
              </w:tc>
            </w:tr>
            <w:tr w14:paraId="61A9E1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2AC34C98">
                  <w:pPr>
                    <w:pStyle w:val="94"/>
                  </w:pPr>
                  <w:r>
                    <w:rPr>
                      <w:rFonts w:hint="eastAsia"/>
                    </w:rPr>
                    <w:t>6</w:t>
                  </w:r>
                </w:p>
              </w:tc>
              <w:tc>
                <w:tcPr>
                  <w:tcW w:w="1339" w:type="pct"/>
                  <w:vAlign w:val="center"/>
                </w:tcPr>
                <w:p w14:paraId="215E2A1A">
                  <w:pPr>
                    <w:pStyle w:val="94"/>
                  </w:pPr>
                  <w:r>
                    <w:rPr>
                      <w:rFonts w:hint="eastAsia"/>
                    </w:rPr>
                    <w:t>点火方箱</w:t>
                  </w:r>
                </w:p>
              </w:tc>
              <w:tc>
                <w:tcPr>
                  <w:tcW w:w="2680" w:type="pct"/>
                  <w:vAlign w:val="center"/>
                </w:tcPr>
                <w:p w14:paraId="3481FAD7">
                  <w:pPr>
                    <w:pStyle w:val="94"/>
                  </w:pPr>
                  <w:r>
                    <w:rPr>
                      <w:rFonts w:hint="eastAsia"/>
                    </w:rPr>
                    <w:t>/</w:t>
                  </w:r>
                </w:p>
              </w:tc>
              <w:tc>
                <w:tcPr>
                  <w:tcW w:w="494" w:type="pct"/>
                  <w:vAlign w:val="center"/>
                </w:tcPr>
                <w:p w14:paraId="7980EA4F">
                  <w:pPr>
                    <w:pStyle w:val="94"/>
                  </w:pPr>
                  <w:r>
                    <w:rPr>
                      <w:rFonts w:hint="eastAsia"/>
                    </w:rPr>
                    <w:t>1</w:t>
                  </w:r>
                </w:p>
              </w:tc>
            </w:tr>
            <w:tr w14:paraId="6BDC8F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87" w:type="pct"/>
                  <w:vAlign w:val="center"/>
                </w:tcPr>
                <w:p w14:paraId="4D4058AA">
                  <w:pPr>
                    <w:pStyle w:val="94"/>
                  </w:pPr>
                  <w:r>
                    <w:rPr>
                      <w:rFonts w:hint="eastAsia"/>
                    </w:rPr>
                    <w:t>7</w:t>
                  </w:r>
                </w:p>
              </w:tc>
              <w:tc>
                <w:tcPr>
                  <w:tcW w:w="1339" w:type="pct"/>
                  <w:vAlign w:val="center"/>
                </w:tcPr>
                <w:p w14:paraId="3896406F">
                  <w:pPr>
                    <w:pStyle w:val="94"/>
                  </w:pPr>
                  <w:r>
                    <w:rPr>
                      <w:rFonts w:hint="eastAsia"/>
                    </w:rPr>
                    <w:t>采出水收集罐</w:t>
                  </w:r>
                </w:p>
              </w:tc>
              <w:tc>
                <w:tcPr>
                  <w:tcW w:w="2680" w:type="pct"/>
                  <w:vAlign w:val="center"/>
                </w:tcPr>
                <w:p w14:paraId="7732B185">
                  <w:pPr>
                    <w:pStyle w:val="94"/>
                  </w:pPr>
                  <w:r>
                    <w:rPr>
                      <w:rFonts w:hint="eastAsia"/>
                    </w:rPr>
                    <w:t>400m</w:t>
                  </w:r>
                  <w:r>
                    <w:rPr>
                      <w:rFonts w:hint="eastAsia"/>
                      <w:vertAlign w:val="superscript"/>
                    </w:rPr>
                    <w:t>3</w:t>
                  </w:r>
                </w:p>
              </w:tc>
              <w:tc>
                <w:tcPr>
                  <w:tcW w:w="494" w:type="pct"/>
                  <w:vAlign w:val="center"/>
                </w:tcPr>
                <w:p w14:paraId="6ED13B4B">
                  <w:pPr>
                    <w:pStyle w:val="94"/>
                  </w:pPr>
                  <w:r>
                    <w:rPr>
                      <w:rFonts w:hint="eastAsia"/>
                    </w:rPr>
                    <w:t>1</w:t>
                  </w:r>
                </w:p>
              </w:tc>
            </w:tr>
          </w:tbl>
          <w:p w14:paraId="06E6AC14">
            <w:pPr>
              <w:pStyle w:val="96"/>
              <w:ind w:firstLine="480"/>
            </w:pPr>
            <w:r>
              <w:rPr>
                <w:rFonts w:hint="eastAsia"/>
              </w:rPr>
              <w:t>（5）主要经济技术指标</w:t>
            </w:r>
          </w:p>
          <w:p w14:paraId="5A642CA4">
            <w:pPr>
              <w:pStyle w:val="96"/>
              <w:ind w:firstLine="480"/>
            </w:pPr>
            <w:r>
              <w:rPr>
                <w:rFonts w:hint="eastAsia"/>
              </w:rPr>
              <w:t>本项目主要技术经济指标见下表。</w:t>
            </w:r>
          </w:p>
          <w:p w14:paraId="50118451">
            <w:pPr>
              <w:pStyle w:val="19"/>
              <w:keepNext/>
            </w:pPr>
            <w:r>
              <w:t xml:space="preserve">表 </w:t>
            </w:r>
            <w:r>
              <w:fldChar w:fldCharType="begin"/>
            </w:r>
            <w:r>
              <w:instrText xml:space="preserve"> SEQ 表 \* ARABIC </w:instrText>
            </w:r>
            <w:r>
              <w:fldChar w:fldCharType="separate"/>
            </w:r>
            <w:r>
              <w:t>12</w:t>
            </w:r>
            <w:r>
              <w:fldChar w:fldCharType="end"/>
            </w:r>
            <w:r>
              <w:rPr>
                <w:rFonts w:hint="eastAsia"/>
              </w:rPr>
              <w:t>主要经济技术指标一览表</w:t>
            </w:r>
          </w:p>
          <w:tbl>
            <w:tblPr>
              <w:tblStyle w:val="7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 w:type="dxa"/>
                <w:bottom w:w="0" w:type="dxa"/>
                <w:right w:w="10" w:type="dxa"/>
              </w:tblCellMar>
            </w:tblPr>
            <w:tblGrid>
              <w:gridCol w:w="806"/>
              <w:gridCol w:w="1197"/>
              <w:gridCol w:w="1199"/>
              <w:gridCol w:w="806"/>
              <w:gridCol w:w="1002"/>
              <w:gridCol w:w="3456"/>
            </w:tblGrid>
            <w:tr w14:paraId="342425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76" w:type="pct"/>
                  <w:vAlign w:val="center"/>
                </w:tcPr>
                <w:p w14:paraId="4B0DF11D">
                  <w:pPr>
                    <w:pStyle w:val="94"/>
                    <w:rPr>
                      <w:color w:val="auto"/>
                    </w:rPr>
                  </w:pPr>
                  <w:r>
                    <w:rPr>
                      <w:rFonts w:hint="eastAsia"/>
                      <w:color w:val="auto"/>
                    </w:rPr>
                    <w:t>序号</w:t>
                  </w:r>
                </w:p>
              </w:tc>
              <w:tc>
                <w:tcPr>
                  <w:tcW w:w="1415" w:type="pct"/>
                  <w:gridSpan w:val="2"/>
                  <w:vAlign w:val="center"/>
                </w:tcPr>
                <w:p w14:paraId="70E7CFA2">
                  <w:pPr>
                    <w:pStyle w:val="94"/>
                    <w:rPr>
                      <w:color w:val="auto"/>
                    </w:rPr>
                  </w:pPr>
                  <w:r>
                    <w:rPr>
                      <w:rFonts w:hint="eastAsia"/>
                      <w:color w:val="auto"/>
                    </w:rPr>
                    <w:t>指标</w:t>
                  </w:r>
                  <w:r>
                    <w:rPr>
                      <w:color w:val="auto"/>
                    </w:rPr>
                    <w:t>名称</w:t>
                  </w:r>
                </w:p>
              </w:tc>
              <w:tc>
                <w:tcPr>
                  <w:tcW w:w="476" w:type="pct"/>
                  <w:vAlign w:val="center"/>
                </w:tcPr>
                <w:p w14:paraId="08155B7D">
                  <w:pPr>
                    <w:pStyle w:val="94"/>
                    <w:rPr>
                      <w:color w:val="auto"/>
                    </w:rPr>
                  </w:pPr>
                  <w:r>
                    <w:rPr>
                      <w:rFonts w:hint="eastAsia"/>
                      <w:color w:val="auto"/>
                    </w:rPr>
                    <w:t>单位</w:t>
                  </w:r>
                </w:p>
              </w:tc>
              <w:tc>
                <w:tcPr>
                  <w:tcW w:w="592" w:type="pct"/>
                  <w:vAlign w:val="center"/>
                </w:tcPr>
                <w:p w14:paraId="36637199">
                  <w:pPr>
                    <w:pStyle w:val="94"/>
                    <w:rPr>
                      <w:color w:val="auto"/>
                    </w:rPr>
                  </w:pPr>
                  <w:r>
                    <w:rPr>
                      <w:rFonts w:hint="eastAsia"/>
                      <w:color w:val="auto"/>
                    </w:rPr>
                    <w:t>指标</w:t>
                  </w:r>
                </w:p>
              </w:tc>
              <w:tc>
                <w:tcPr>
                  <w:tcW w:w="2041" w:type="pct"/>
                  <w:vAlign w:val="center"/>
                </w:tcPr>
                <w:p w14:paraId="2009D459">
                  <w:pPr>
                    <w:pStyle w:val="94"/>
                    <w:rPr>
                      <w:color w:val="auto"/>
                    </w:rPr>
                  </w:pPr>
                  <w:r>
                    <w:rPr>
                      <w:rFonts w:hint="eastAsia"/>
                      <w:color w:val="auto"/>
                    </w:rPr>
                    <w:t>备注</w:t>
                  </w:r>
                </w:p>
              </w:tc>
            </w:tr>
            <w:tr w14:paraId="3A3C41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76" w:type="pct"/>
                  <w:vAlign w:val="center"/>
                </w:tcPr>
                <w:p w14:paraId="69ADA7C7">
                  <w:pPr>
                    <w:pStyle w:val="94"/>
                    <w:rPr>
                      <w:color w:val="auto"/>
                    </w:rPr>
                  </w:pPr>
                  <w:r>
                    <w:rPr>
                      <w:rFonts w:hint="eastAsia"/>
                      <w:color w:val="auto"/>
                    </w:rPr>
                    <w:t>1</w:t>
                  </w:r>
                </w:p>
              </w:tc>
              <w:tc>
                <w:tcPr>
                  <w:tcW w:w="1415" w:type="pct"/>
                  <w:gridSpan w:val="2"/>
                  <w:vAlign w:val="center"/>
                </w:tcPr>
                <w:p w14:paraId="460A7182">
                  <w:pPr>
                    <w:pStyle w:val="94"/>
                    <w:rPr>
                      <w:color w:val="auto"/>
                    </w:rPr>
                  </w:pPr>
                  <w:r>
                    <w:rPr>
                      <w:rFonts w:hint="eastAsia"/>
                      <w:color w:val="auto"/>
                    </w:rPr>
                    <w:t>所处区块勘查面积</w:t>
                  </w:r>
                </w:p>
              </w:tc>
              <w:tc>
                <w:tcPr>
                  <w:tcW w:w="476" w:type="pct"/>
                  <w:vAlign w:val="center"/>
                </w:tcPr>
                <w:p w14:paraId="19B15781">
                  <w:pPr>
                    <w:pStyle w:val="94"/>
                    <w:rPr>
                      <w:color w:val="auto"/>
                    </w:rPr>
                  </w:pPr>
                  <w:r>
                    <w:rPr>
                      <w:rFonts w:hint="eastAsia"/>
                      <w:color w:val="auto"/>
                    </w:rPr>
                    <w:t>km</w:t>
                  </w:r>
                  <w:r>
                    <w:rPr>
                      <w:color w:val="auto"/>
                      <w:vertAlign w:val="superscript"/>
                    </w:rPr>
                    <w:t>2</w:t>
                  </w:r>
                </w:p>
              </w:tc>
              <w:tc>
                <w:tcPr>
                  <w:tcW w:w="592" w:type="pct"/>
                  <w:vAlign w:val="center"/>
                </w:tcPr>
                <w:p w14:paraId="4376AA15">
                  <w:pPr>
                    <w:pStyle w:val="94"/>
                    <w:rPr>
                      <w:color w:val="auto"/>
                    </w:rPr>
                  </w:pPr>
                  <w:r>
                    <w:rPr>
                      <w:color w:val="auto"/>
                    </w:rPr>
                    <w:t>149.26</w:t>
                  </w:r>
                </w:p>
              </w:tc>
              <w:tc>
                <w:tcPr>
                  <w:tcW w:w="2041" w:type="pct"/>
                  <w:vAlign w:val="center"/>
                </w:tcPr>
                <w:p w14:paraId="3A67C6A3">
                  <w:pPr>
                    <w:pStyle w:val="94"/>
                    <w:rPr>
                      <w:color w:val="auto"/>
                    </w:rPr>
                  </w:pPr>
                  <w:r>
                    <w:rPr>
                      <w:rFonts w:hint="eastAsia"/>
                      <w:color w:val="auto"/>
                    </w:rPr>
                    <w:t>/</w:t>
                  </w:r>
                </w:p>
              </w:tc>
            </w:tr>
            <w:tr w14:paraId="5BD2FA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76" w:type="pct"/>
                  <w:vAlign w:val="center"/>
                </w:tcPr>
                <w:p w14:paraId="34A3968D">
                  <w:pPr>
                    <w:pStyle w:val="94"/>
                    <w:rPr>
                      <w:color w:val="auto"/>
                    </w:rPr>
                  </w:pPr>
                  <w:r>
                    <w:rPr>
                      <w:rFonts w:hint="eastAsia"/>
                      <w:color w:val="auto"/>
                    </w:rPr>
                    <w:t>2</w:t>
                  </w:r>
                </w:p>
              </w:tc>
              <w:tc>
                <w:tcPr>
                  <w:tcW w:w="1415" w:type="pct"/>
                  <w:gridSpan w:val="2"/>
                  <w:vAlign w:val="center"/>
                </w:tcPr>
                <w:p w14:paraId="02D360F0">
                  <w:pPr>
                    <w:pStyle w:val="94"/>
                    <w:rPr>
                      <w:color w:val="auto"/>
                    </w:rPr>
                  </w:pPr>
                  <w:r>
                    <w:rPr>
                      <w:rFonts w:hint="eastAsia"/>
                      <w:color w:val="auto"/>
                    </w:rPr>
                    <w:t>本项目勘查井数量</w:t>
                  </w:r>
                </w:p>
              </w:tc>
              <w:tc>
                <w:tcPr>
                  <w:tcW w:w="476" w:type="pct"/>
                  <w:vAlign w:val="center"/>
                </w:tcPr>
                <w:p w14:paraId="023A9622">
                  <w:pPr>
                    <w:pStyle w:val="94"/>
                    <w:rPr>
                      <w:color w:val="auto"/>
                    </w:rPr>
                  </w:pPr>
                  <w:r>
                    <w:rPr>
                      <w:rFonts w:hint="eastAsia"/>
                      <w:color w:val="auto"/>
                    </w:rPr>
                    <w:t>口</w:t>
                  </w:r>
                </w:p>
              </w:tc>
              <w:tc>
                <w:tcPr>
                  <w:tcW w:w="592" w:type="pct"/>
                  <w:vAlign w:val="center"/>
                </w:tcPr>
                <w:p w14:paraId="1C9E39A6">
                  <w:pPr>
                    <w:pStyle w:val="94"/>
                    <w:rPr>
                      <w:color w:val="auto"/>
                    </w:rPr>
                  </w:pPr>
                  <w:r>
                    <w:rPr>
                      <w:rFonts w:hint="eastAsia"/>
                      <w:color w:val="auto"/>
                    </w:rPr>
                    <w:t>21</w:t>
                  </w:r>
                </w:p>
              </w:tc>
              <w:tc>
                <w:tcPr>
                  <w:tcW w:w="2041" w:type="pct"/>
                  <w:vAlign w:val="center"/>
                </w:tcPr>
                <w:p w14:paraId="7D164E9E">
                  <w:pPr>
                    <w:pStyle w:val="94"/>
                    <w:rPr>
                      <w:color w:val="auto"/>
                    </w:rPr>
                  </w:pPr>
                  <w:r>
                    <w:rPr>
                      <w:rFonts w:hint="eastAsia"/>
                      <w:color w:val="auto"/>
                    </w:rPr>
                    <w:t>2口</w:t>
                  </w:r>
                  <w:r>
                    <w:rPr>
                      <w:color w:val="auto"/>
                    </w:rPr>
                    <w:t>直井，</w:t>
                  </w:r>
                  <w:r>
                    <w:rPr>
                      <w:rFonts w:hint="eastAsia"/>
                      <w:color w:val="auto"/>
                    </w:rPr>
                    <w:t>19口</w:t>
                  </w:r>
                  <w:r>
                    <w:rPr>
                      <w:color w:val="auto"/>
                    </w:rPr>
                    <w:t>定向井</w:t>
                  </w:r>
                </w:p>
              </w:tc>
            </w:tr>
            <w:tr w14:paraId="46E0EF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76" w:type="pct"/>
                  <w:vMerge w:val="restart"/>
                  <w:vAlign w:val="center"/>
                </w:tcPr>
                <w:p w14:paraId="47D6ACEF">
                  <w:pPr>
                    <w:pStyle w:val="94"/>
                    <w:rPr>
                      <w:color w:val="auto"/>
                    </w:rPr>
                  </w:pPr>
                  <w:r>
                    <w:rPr>
                      <w:rFonts w:hint="eastAsia"/>
                      <w:color w:val="auto"/>
                    </w:rPr>
                    <w:t>3</w:t>
                  </w:r>
                </w:p>
              </w:tc>
              <w:tc>
                <w:tcPr>
                  <w:tcW w:w="707" w:type="pct"/>
                  <w:vMerge w:val="restart"/>
                  <w:vAlign w:val="center"/>
                </w:tcPr>
                <w:p w14:paraId="11B51E33">
                  <w:pPr>
                    <w:pStyle w:val="94"/>
                    <w:rPr>
                      <w:color w:val="auto"/>
                    </w:rPr>
                  </w:pPr>
                  <w:r>
                    <w:rPr>
                      <w:rFonts w:hint="eastAsia"/>
                      <w:color w:val="auto"/>
                    </w:rPr>
                    <w:t>施工期</w:t>
                  </w:r>
                </w:p>
              </w:tc>
              <w:tc>
                <w:tcPr>
                  <w:tcW w:w="708" w:type="pct"/>
                  <w:vAlign w:val="center"/>
                </w:tcPr>
                <w:p w14:paraId="6C54480B">
                  <w:pPr>
                    <w:pStyle w:val="94"/>
                    <w:rPr>
                      <w:color w:val="auto"/>
                    </w:rPr>
                  </w:pPr>
                  <w:r>
                    <w:rPr>
                      <w:rFonts w:hint="eastAsia"/>
                      <w:color w:val="auto"/>
                    </w:rPr>
                    <w:t>建设期</w:t>
                  </w:r>
                </w:p>
              </w:tc>
              <w:tc>
                <w:tcPr>
                  <w:tcW w:w="476" w:type="pct"/>
                  <w:vAlign w:val="center"/>
                </w:tcPr>
                <w:p w14:paraId="785CACB4">
                  <w:pPr>
                    <w:pStyle w:val="94"/>
                    <w:rPr>
                      <w:color w:val="auto"/>
                    </w:rPr>
                  </w:pPr>
                  <w:r>
                    <w:rPr>
                      <w:rFonts w:hint="eastAsia"/>
                      <w:color w:val="auto"/>
                    </w:rPr>
                    <w:t>天</w:t>
                  </w:r>
                </w:p>
              </w:tc>
              <w:tc>
                <w:tcPr>
                  <w:tcW w:w="592" w:type="pct"/>
                  <w:vAlign w:val="center"/>
                </w:tcPr>
                <w:p w14:paraId="165A6603">
                  <w:pPr>
                    <w:pStyle w:val="94"/>
                    <w:rPr>
                      <w:color w:val="auto"/>
                    </w:rPr>
                  </w:pPr>
                  <w:r>
                    <w:rPr>
                      <w:color w:val="auto"/>
                    </w:rPr>
                    <w:t>45</w:t>
                  </w:r>
                </w:p>
              </w:tc>
              <w:tc>
                <w:tcPr>
                  <w:tcW w:w="2041" w:type="pct"/>
                  <w:vAlign w:val="center"/>
                </w:tcPr>
                <w:p w14:paraId="250834DE">
                  <w:pPr>
                    <w:pStyle w:val="94"/>
                    <w:rPr>
                      <w:color w:val="auto"/>
                    </w:rPr>
                  </w:pPr>
                  <w:r>
                    <w:rPr>
                      <w:rFonts w:hint="eastAsia"/>
                      <w:color w:val="auto"/>
                    </w:rPr>
                    <w:t>单口</w:t>
                  </w:r>
                  <w:r>
                    <w:rPr>
                      <w:color w:val="auto"/>
                    </w:rPr>
                    <w:t>直井、定向井</w:t>
                  </w:r>
                  <w:r>
                    <w:rPr>
                      <w:rFonts w:hint="eastAsia"/>
                      <w:color w:val="auto"/>
                    </w:rPr>
                    <w:t>钻井期18天，完井期19天，同时考虑8天设备搬迁</w:t>
                  </w:r>
                </w:p>
              </w:tc>
            </w:tr>
            <w:tr w14:paraId="5B6AC2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76" w:type="pct"/>
                  <w:vMerge w:val="continue"/>
                  <w:vAlign w:val="center"/>
                </w:tcPr>
                <w:p w14:paraId="3E5D8749">
                  <w:pPr>
                    <w:pStyle w:val="94"/>
                    <w:rPr>
                      <w:color w:val="auto"/>
                    </w:rPr>
                  </w:pPr>
                </w:p>
              </w:tc>
              <w:tc>
                <w:tcPr>
                  <w:tcW w:w="707" w:type="pct"/>
                  <w:vMerge w:val="continue"/>
                  <w:vAlign w:val="center"/>
                </w:tcPr>
                <w:p w14:paraId="251BCB3F">
                  <w:pPr>
                    <w:pStyle w:val="94"/>
                    <w:rPr>
                      <w:color w:val="auto"/>
                    </w:rPr>
                  </w:pPr>
                </w:p>
              </w:tc>
              <w:tc>
                <w:tcPr>
                  <w:tcW w:w="708" w:type="pct"/>
                  <w:vAlign w:val="center"/>
                </w:tcPr>
                <w:p w14:paraId="3650ED8E">
                  <w:pPr>
                    <w:pStyle w:val="94"/>
                    <w:rPr>
                      <w:color w:val="auto"/>
                    </w:rPr>
                  </w:pPr>
                  <w:r>
                    <w:rPr>
                      <w:rFonts w:hint="eastAsia"/>
                      <w:color w:val="auto"/>
                    </w:rPr>
                    <w:t>试气期</w:t>
                  </w:r>
                </w:p>
              </w:tc>
              <w:tc>
                <w:tcPr>
                  <w:tcW w:w="476" w:type="pct"/>
                  <w:vAlign w:val="center"/>
                </w:tcPr>
                <w:p w14:paraId="59B626DE">
                  <w:pPr>
                    <w:pStyle w:val="94"/>
                    <w:rPr>
                      <w:color w:val="auto"/>
                    </w:rPr>
                  </w:pPr>
                  <w:r>
                    <w:rPr>
                      <w:rFonts w:hint="eastAsia"/>
                      <w:color w:val="auto"/>
                    </w:rPr>
                    <w:t>天</w:t>
                  </w:r>
                </w:p>
              </w:tc>
              <w:tc>
                <w:tcPr>
                  <w:tcW w:w="592" w:type="pct"/>
                  <w:vAlign w:val="center"/>
                </w:tcPr>
                <w:p w14:paraId="3BFDFB06">
                  <w:pPr>
                    <w:pStyle w:val="94"/>
                    <w:rPr>
                      <w:color w:val="auto"/>
                    </w:rPr>
                  </w:pPr>
                  <w:r>
                    <w:rPr>
                      <w:rFonts w:hint="eastAsia"/>
                      <w:color w:val="auto"/>
                    </w:rPr>
                    <w:t>60</w:t>
                  </w:r>
                </w:p>
              </w:tc>
              <w:tc>
                <w:tcPr>
                  <w:tcW w:w="2041" w:type="pct"/>
                  <w:vAlign w:val="center"/>
                </w:tcPr>
                <w:p w14:paraId="1993EFFF">
                  <w:pPr>
                    <w:pStyle w:val="94"/>
                    <w:rPr>
                      <w:color w:val="auto"/>
                    </w:rPr>
                  </w:pPr>
                  <w:r>
                    <w:rPr>
                      <w:rFonts w:hint="eastAsia"/>
                      <w:color w:val="auto"/>
                    </w:rPr>
                    <w:t>单井</w:t>
                  </w:r>
                </w:p>
              </w:tc>
            </w:tr>
            <w:tr w14:paraId="39211B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76" w:type="pct"/>
                  <w:vAlign w:val="center"/>
                </w:tcPr>
                <w:p w14:paraId="29C04961">
                  <w:pPr>
                    <w:pStyle w:val="94"/>
                    <w:rPr>
                      <w:color w:val="auto"/>
                    </w:rPr>
                  </w:pPr>
                  <w:r>
                    <w:rPr>
                      <w:rFonts w:hint="eastAsia"/>
                      <w:color w:val="auto"/>
                    </w:rPr>
                    <w:t>4</w:t>
                  </w:r>
                </w:p>
              </w:tc>
              <w:tc>
                <w:tcPr>
                  <w:tcW w:w="1415" w:type="pct"/>
                  <w:gridSpan w:val="2"/>
                  <w:vAlign w:val="center"/>
                </w:tcPr>
                <w:p w14:paraId="50CBE155">
                  <w:pPr>
                    <w:pStyle w:val="94"/>
                    <w:rPr>
                      <w:color w:val="auto"/>
                    </w:rPr>
                  </w:pPr>
                  <w:r>
                    <w:rPr>
                      <w:rFonts w:hint="eastAsia"/>
                      <w:color w:val="auto"/>
                    </w:rPr>
                    <w:t>勘查</w:t>
                  </w:r>
                  <w:r>
                    <w:rPr>
                      <w:color w:val="auto"/>
                    </w:rPr>
                    <w:t>周期</w:t>
                  </w:r>
                </w:p>
              </w:tc>
              <w:tc>
                <w:tcPr>
                  <w:tcW w:w="476" w:type="pct"/>
                  <w:vAlign w:val="center"/>
                </w:tcPr>
                <w:p w14:paraId="38906494">
                  <w:pPr>
                    <w:pStyle w:val="94"/>
                    <w:rPr>
                      <w:color w:val="auto"/>
                    </w:rPr>
                  </w:pPr>
                  <w:r>
                    <w:rPr>
                      <w:rFonts w:hint="eastAsia"/>
                      <w:color w:val="auto"/>
                    </w:rPr>
                    <w:t>天</w:t>
                  </w:r>
                </w:p>
              </w:tc>
              <w:tc>
                <w:tcPr>
                  <w:tcW w:w="592" w:type="pct"/>
                  <w:vAlign w:val="center"/>
                </w:tcPr>
                <w:p w14:paraId="166F4E6C">
                  <w:pPr>
                    <w:pStyle w:val="94"/>
                    <w:rPr>
                      <w:color w:val="auto"/>
                    </w:rPr>
                  </w:pPr>
                  <w:r>
                    <w:rPr>
                      <w:rFonts w:hint="eastAsia"/>
                      <w:color w:val="auto"/>
                    </w:rPr>
                    <w:t>105</w:t>
                  </w:r>
                </w:p>
              </w:tc>
              <w:tc>
                <w:tcPr>
                  <w:tcW w:w="2041" w:type="pct"/>
                  <w:vAlign w:val="center"/>
                </w:tcPr>
                <w:p w14:paraId="472031BE">
                  <w:pPr>
                    <w:pStyle w:val="94"/>
                    <w:rPr>
                      <w:color w:val="auto"/>
                    </w:rPr>
                  </w:pPr>
                  <w:r>
                    <w:rPr>
                      <w:rFonts w:hint="eastAsia"/>
                      <w:color w:val="auto"/>
                    </w:rPr>
                    <w:t>单井</w:t>
                  </w:r>
                </w:p>
              </w:tc>
            </w:tr>
            <w:tr w14:paraId="39F000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76" w:type="pct"/>
                  <w:vAlign w:val="center"/>
                </w:tcPr>
                <w:p w14:paraId="4634F9F1">
                  <w:pPr>
                    <w:pStyle w:val="94"/>
                    <w:rPr>
                      <w:color w:val="auto"/>
                    </w:rPr>
                  </w:pPr>
                  <w:r>
                    <w:rPr>
                      <w:rFonts w:hint="eastAsia"/>
                      <w:color w:val="auto"/>
                    </w:rPr>
                    <w:t>5</w:t>
                  </w:r>
                </w:p>
              </w:tc>
              <w:tc>
                <w:tcPr>
                  <w:tcW w:w="1415" w:type="pct"/>
                  <w:gridSpan w:val="2"/>
                  <w:vAlign w:val="center"/>
                </w:tcPr>
                <w:p w14:paraId="7965644B">
                  <w:pPr>
                    <w:pStyle w:val="94"/>
                    <w:rPr>
                      <w:color w:val="auto"/>
                    </w:rPr>
                  </w:pPr>
                  <w:r>
                    <w:rPr>
                      <w:rFonts w:hint="eastAsia"/>
                      <w:color w:val="auto"/>
                    </w:rPr>
                    <w:t>工程</w:t>
                  </w:r>
                  <w:r>
                    <w:rPr>
                      <w:color w:val="auto"/>
                    </w:rPr>
                    <w:t>总投资</w:t>
                  </w:r>
                </w:p>
              </w:tc>
              <w:tc>
                <w:tcPr>
                  <w:tcW w:w="476" w:type="pct"/>
                  <w:vAlign w:val="center"/>
                </w:tcPr>
                <w:p w14:paraId="41C597F8">
                  <w:pPr>
                    <w:pStyle w:val="94"/>
                    <w:rPr>
                      <w:color w:val="auto"/>
                    </w:rPr>
                  </w:pPr>
                  <w:r>
                    <w:rPr>
                      <w:rFonts w:hint="eastAsia"/>
                      <w:color w:val="auto"/>
                    </w:rPr>
                    <w:t>万元</w:t>
                  </w:r>
                </w:p>
              </w:tc>
              <w:tc>
                <w:tcPr>
                  <w:tcW w:w="592" w:type="pct"/>
                  <w:vAlign w:val="center"/>
                </w:tcPr>
                <w:p w14:paraId="5463CF59">
                  <w:pPr>
                    <w:pStyle w:val="94"/>
                    <w:rPr>
                      <w:color w:val="auto"/>
                    </w:rPr>
                  </w:pPr>
                  <w:r>
                    <w:rPr>
                      <w:rFonts w:hint="eastAsia"/>
                      <w:color w:val="auto"/>
                    </w:rPr>
                    <w:t>9219</w:t>
                  </w:r>
                </w:p>
              </w:tc>
              <w:tc>
                <w:tcPr>
                  <w:tcW w:w="2041" w:type="pct"/>
                  <w:vAlign w:val="center"/>
                </w:tcPr>
                <w:p w14:paraId="14166366">
                  <w:pPr>
                    <w:pStyle w:val="94"/>
                    <w:rPr>
                      <w:color w:val="auto"/>
                    </w:rPr>
                  </w:pPr>
                  <w:r>
                    <w:rPr>
                      <w:rFonts w:hint="eastAsia"/>
                      <w:color w:val="auto"/>
                    </w:rPr>
                    <w:t>单口</w:t>
                  </w:r>
                  <w:r>
                    <w:rPr>
                      <w:color w:val="auto"/>
                    </w:rPr>
                    <w:t>直井、定向井</w:t>
                  </w:r>
                  <w:r>
                    <w:rPr>
                      <w:rFonts w:hint="eastAsia"/>
                      <w:color w:val="auto"/>
                    </w:rPr>
                    <w:t>439万元</w:t>
                  </w:r>
                </w:p>
              </w:tc>
            </w:tr>
            <w:tr w14:paraId="6B8FEA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76" w:type="pct"/>
                  <w:vAlign w:val="center"/>
                </w:tcPr>
                <w:p w14:paraId="47472418">
                  <w:pPr>
                    <w:pStyle w:val="94"/>
                    <w:rPr>
                      <w:color w:val="auto"/>
                    </w:rPr>
                  </w:pPr>
                  <w:r>
                    <w:rPr>
                      <w:rFonts w:hint="eastAsia"/>
                      <w:color w:val="auto"/>
                    </w:rPr>
                    <w:t>6</w:t>
                  </w:r>
                </w:p>
              </w:tc>
              <w:tc>
                <w:tcPr>
                  <w:tcW w:w="1415" w:type="pct"/>
                  <w:gridSpan w:val="2"/>
                  <w:vAlign w:val="center"/>
                </w:tcPr>
                <w:p w14:paraId="0F407C12">
                  <w:pPr>
                    <w:pStyle w:val="94"/>
                    <w:rPr>
                      <w:color w:val="auto"/>
                    </w:rPr>
                  </w:pPr>
                  <w:r>
                    <w:rPr>
                      <w:rFonts w:hint="eastAsia"/>
                      <w:color w:val="auto"/>
                    </w:rPr>
                    <w:t>占地</w:t>
                  </w:r>
                  <w:r>
                    <w:rPr>
                      <w:color w:val="auto"/>
                    </w:rPr>
                    <w:t>面积</w:t>
                  </w:r>
                </w:p>
              </w:tc>
              <w:tc>
                <w:tcPr>
                  <w:tcW w:w="476" w:type="pct"/>
                  <w:vAlign w:val="center"/>
                </w:tcPr>
                <w:p w14:paraId="37E47FBA">
                  <w:pPr>
                    <w:pStyle w:val="94"/>
                    <w:rPr>
                      <w:color w:val="auto"/>
                    </w:rPr>
                  </w:pPr>
                  <w:r>
                    <w:rPr>
                      <w:rFonts w:hint="eastAsia"/>
                      <w:color w:val="auto"/>
                    </w:rPr>
                    <w:t>hm</w:t>
                  </w:r>
                  <w:r>
                    <w:rPr>
                      <w:color w:val="auto"/>
                      <w:vertAlign w:val="superscript"/>
                    </w:rPr>
                    <w:t>2</w:t>
                  </w:r>
                </w:p>
              </w:tc>
              <w:tc>
                <w:tcPr>
                  <w:tcW w:w="592" w:type="pct"/>
                  <w:vAlign w:val="center"/>
                </w:tcPr>
                <w:p w14:paraId="5404DD75">
                  <w:pPr>
                    <w:pStyle w:val="94"/>
                    <w:rPr>
                      <w:color w:val="auto"/>
                    </w:rPr>
                  </w:pPr>
                  <w:r>
                    <w:rPr>
                      <w:rFonts w:hint="eastAsia"/>
                      <w:color w:val="auto"/>
                    </w:rPr>
                    <w:t>22.</w:t>
                  </w:r>
                  <w:r>
                    <w:rPr>
                      <w:color w:val="auto"/>
                    </w:rPr>
                    <w:t>91</w:t>
                  </w:r>
                </w:p>
              </w:tc>
              <w:tc>
                <w:tcPr>
                  <w:tcW w:w="2041" w:type="pct"/>
                  <w:vAlign w:val="center"/>
                </w:tcPr>
                <w:p w14:paraId="59B0B801">
                  <w:pPr>
                    <w:pStyle w:val="94"/>
                    <w:rPr>
                      <w:color w:val="auto"/>
                    </w:rPr>
                  </w:pPr>
                  <w:r>
                    <w:rPr>
                      <w:rFonts w:hint="eastAsia"/>
                      <w:color w:val="auto"/>
                    </w:rPr>
                    <w:t>/</w:t>
                  </w:r>
                </w:p>
              </w:tc>
            </w:tr>
          </w:tbl>
          <w:p w14:paraId="0B2EF47E">
            <w:pPr>
              <w:pStyle w:val="96"/>
              <w:ind w:firstLine="480"/>
            </w:pPr>
            <w:r>
              <w:rPr>
                <w:rFonts w:hint="eastAsia"/>
              </w:rPr>
              <w:t>（6）原材料用量</w:t>
            </w:r>
          </w:p>
          <w:p w14:paraId="236646BD">
            <w:pPr>
              <w:pStyle w:val="96"/>
              <w:ind w:firstLine="480"/>
            </w:pPr>
            <w:r>
              <w:rPr>
                <w:rFonts w:hint="eastAsia"/>
              </w:rPr>
              <w:t>①</w:t>
            </w:r>
            <w:r>
              <w:t>钻井液</w:t>
            </w:r>
          </w:p>
          <w:p w14:paraId="25B486A5">
            <w:pPr>
              <w:pStyle w:val="96"/>
              <w:ind w:firstLine="480"/>
            </w:pPr>
            <w:r>
              <w:rPr>
                <w:rFonts w:hint="eastAsia"/>
              </w:rPr>
              <w:t>钻井液，俗称泥浆，是钻探过程中，孔内使用的循环冲洗介质，现场调配，一开采用膨润土水基钻井液，二开采用聚合物水基钻井液，钻井液储存区进行重点防渗。</w:t>
            </w:r>
          </w:p>
          <w:p w14:paraId="199E3472">
            <w:pPr>
              <w:pStyle w:val="96"/>
              <w:ind w:firstLine="480"/>
            </w:pPr>
            <w:r>
              <w:rPr>
                <w:rFonts w:hint="eastAsia"/>
              </w:rPr>
              <w:t>钻井液主要功用是：A冷却钻头、清净孔底、带出岩屑；B润滑钻具；C停钻时悬浮岩屑，保护孔壁防止坍塌，平衡地层压力、压住高压油气水层；D输送岩芯，为孔底动力机传递破碎孔底岩石需要的动力等。本项目不同井型采用钻井液配方及用量如下表所示。各井场钻井过程中钻井液通过泥浆系统循环利用。</w:t>
            </w:r>
          </w:p>
          <w:p w14:paraId="654EBE59">
            <w:pPr>
              <w:pStyle w:val="19"/>
              <w:keepNext/>
            </w:pPr>
            <w:bookmarkStart w:id="26" w:name="_Ref169209314"/>
            <w:bookmarkStart w:id="27" w:name="_Ref169209339"/>
            <w:r>
              <w:t xml:space="preserve">表 </w:t>
            </w:r>
            <w:r>
              <w:fldChar w:fldCharType="begin"/>
            </w:r>
            <w:r>
              <w:instrText xml:space="preserve"> SEQ 表 \* ARABIC </w:instrText>
            </w:r>
            <w:r>
              <w:fldChar w:fldCharType="separate"/>
            </w:r>
            <w:r>
              <w:t>13</w:t>
            </w:r>
            <w:r>
              <w:fldChar w:fldCharType="end"/>
            </w:r>
            <w:bookmarkEnd w:id="26"/>
            <w:r>
              <w:rPr>
                <w:rFonts w:hint="eastAsia"/>
              </w:rPr>
              <w:t>钻井液主要成分及单口井用量一览表</w:t>
            </w:r>
            <w:bookmarkEnd w:id="27"/>
          </w:p>
          <w:tbl>
            <w:tblPr>
              <w:tblStyle w:val="7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 w:type="dxa"/>
                <w:bottom w:w="0" w:type="dxa"/>
                <w:right w:w="10" w:type="dxa"/>
              </w:tblCellMar>
            </w:tblPr>
            <w:tblGrid>
              <w:gridCol w:w="1170"/>
              <w:gridCol w:w="606"/>
              <w:gridCol w:w="2728"/>
              <w:gridCol w:w="1300"/>
              <w:gridCol w:w="2662"/>
            </w:tblGrid>
            <w:tr w14:paraId="3A3459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1049" w:type="pct"/>
                  <w:gridSpan w:val="2"/>
                  <w:vAlign w:val="center"/>
                </w:tcPr>
                <w:p w14:paraId="18E93A5F">
                  <w:pPr>
                    <w:pStyle w:val="94"/>
                    <w:rPr>
                      <w:color w:val="auto"/>
                    </w:rPr>
                  </w:pPr>
                  <w:r>
                    <w:rPr>
                      <w:rFonts w:hint="eastAsia"/>
                      <w:color w:val="auto"/>
                    </w:rPr>
                    <w:t>指标</w:t>
                  </w:r>
                  <w:r>
                    <w:rPr>
                      <w:color w:val="auto"/>
                    </w:rPr>
                    <w:t>名称</w:t>
                  </w:r>
                </w:p>
              </w:tc>
              <w:tc>
                <w:tcPr>
                  <w:tcW w:w="1611" w:type="pct"/>
                  <w:vAlign w:val="center"/>
                </w:tcPr>
                <w:p w14:paraId="4671006A">
                  <w:pPr>
                    <w:pStyle w:val="94"/>
                    <w:rPr>
                      <w:color w:val="auto"/>
                    </w:rPr>
                  </w:pPr>
                  <w:r>
                    <w:rPr>
                      <w:rFonts w:hint="eastAsia"/>
                      <w:color w:val="auto"/>
                    </w:rPr>
                    <w:t>单位</w:t>
                  </w:r>
                </w:p>
              </w:tc>
              <w:tc>
                <w:tcPr>
                  <w:tcW w:w="768" w:type="pct"/>
                  <w:vAlign w:val="center"/>
                </w:tcPr>
                <w:p w14:paraId="7829BB4B">
                  <w:pPr>
                    <w:pStyle w:val="94"/>
                    <w:rPr>
                      <w:color w:val="auto"/>
                    </w:rPr>
                  </w:pPr>
                  <w:r>
                    <w:rPr>
                      <w:rFonts w:hint="eastAsia"/>
                      <w:color w:val="auto"/>
                    </w:rPr>
                    <w:t>指标</w:t>
                  </w:r>
                </w:p>
              </w:tc>
              <w:tc>
                <w:tcPr>
                  <w:tcW w:w="1572" w:type="pct"/>
                  <w:vAlign w:val="center"/>
                </w:tcPr>
                <w:p w14:paraId="740335D0">
                  <w:pPr>
                    <w:pStyle w:val="94"/>
                    <w:rPr>
                      <w:color w:val="auto"/>
                    </w:rPr>
                  </w:pPr>
                  <w:r>
                    <w:rPr>
                      <w:rFonts w:hint="eastAsia"/>
                      <w:color w:val="auto"/>
                    </w:rPr>
                    <w:t>备注</w:t>
                  </w:r>
                </w:p>
              </w:tc>
            </w:tr>
            <w:tr w14:paraId="6C7802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691" w:type="pct"/>
                  <w:vMerge w:val="restart"/>
                  <w:vAlign w:val="center"/>
                </w:tcPr>
                <w:p w14:paraId="05520E94">
                  <w:pPr>
                    <w:pStyle w:val="94"/>
                    <w:rPr>
                      <w:color w:val="auto"/>
                    </w:rPr>
                  </w:pPr>
                  <w:r>
                    <w:rPr>
                      <w:rFonts w:hint="eastAsia"/>
                      <w:color w:val="auto"/>
                    </w:rPr>
                    <w:t>直井/定向井</w:t>
                  </w:r>
                </w:p>
              </w:tc>
              <w:tc>
                <w:tcPr>
                  <w:tcW w:w="358" w:type="pct"/>
                  <w:vMerge w:val="restart"/>
                  <w:vAlign w:val="center"/>
                </w:tcPr>
                <w:p w14:paraId="3805FB10">
                  <w:pPr>
                    <w:pStyle w:val="94"/>
                    <w:rPr>
                      <w:color w:val="auto"/>
                    </w:rPr>
                  </w:pPr>
                  <w:r>
                    <w:rPr>
                      <w:rFonts w:hint="eastAsia"/>
                      <w:color w:val="auto"/>
                    </w:rPr>
                    <w:t>一开</w:t>
                  </w:r>
                </w:p>
              </w:tc>
              <w:tc>
                <w:tcPr>
                  <w:tcW w:w="1611" w:type="pct"/>
                  <w:vAlign w:val="center"/>
                </w:tcPr>
                <w:p w14:paraId="587D7099">
                  <w:pPr>
                    <w:pStyle w:val="94"/>
                    <w:rPr>
                      <w:color w:val="auto"/>
                    </w:rPr>
                  </w:pPr>
                  <w:r>
                    <w:rPr>
                      <w:rFonts w:hint="eastAsia"/>
                      <w:color w:val="auto"/>
                    </w:rPr>
                    <w:t>清水</w:t>
                  </w:r>
                </w:p>
              </w:tc>
              <w:tc>
                <w:tcPr>
                  <w:tcW w:w="768" w:type="pct"/>
                  <w:vAlign w:val="center"/>
                </w:tcPr>
                <w:p w14:paraId="5F558AFA">
                  <w:pPr>
                    <w:pStyle w:val="94"/>
                    <w:rPr>
                      <w:color w:val="auto"/>
                    </w:rPr>
                  </w:pPr>
                  <w:r>
                    <w:rPr>
                      <w:rFonts w:hint="eastAsia"/>
                      <w:color w:val="auto"/>
                    </w:rPr>
                    <w:t>100m</w:t>
                  </w:r>
                  <w:r>
                    <w:rPr>
                      <w:rFonts w:hint="eastAsia"/>
                      <w:color w:val="auto"/>
                      <w:vertAlign w:val="superscript"/>
                    </w:rPr>
                    <w:t>3</w:t>
                  </w:r>
                  <w:r>
                    <w:rPr>
                      <w:rFonts w:hint="eastAsia"/>
                      <w:color w:val="auto"/>
                    </w:rPr>
                    <w:t>/口井（循环）</w:t>
                  </w:r>
                </w:p>
              </w:tc>
              <w:tc>
                <w:tcPr>
                  <w:tcW w:w="1572" w:type="pct"/>
                  <w:vAlign w:val="center"/>
                </w:tcPr>
                <w:p w14:paraId="6FC17A26">
                  <w:pPr>
                    <w:pStyle w:val="94"/>
                    <w:rPr>
                      <w:color w:val="auto"/>
                    </w:rPr>
                  </w:pPr>
                  <w:r>
                    <w:rPr>
                      <w:rFonts w:hint="eastAsia"/>
                      <w:color w:val="auto"/>
                    </w:rPr>
                    <w:t>周边村庄水井、其他井场采出水/罐+清水池</w:t>
                  </w:r>
                </w:p>
              </w:tc>
            </w:tr>
            <w:tr w14:paraId="063DA5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691" w:type="pct"/>
                  <w:vMerge w:val="continue"/>
                  <w:vAlign w:val="center"/>
                </w:tcPr>
                <w:p w14:paraId="52F6B5C8">
                  <w:pPr>
                    <w:pStyle w:val="94"/>
                    <w:rPr>
                      <w:color w:val="auto"/>
                    </w:rPr>
                  </w:pPr>
                </w:p>
              </w:tc>
              <w:tc>
                <w:tcPr>
                  <w:tcW w:w="358" w:type="pct"/>
                  <w:vMerge w:val="continue"/>
                  <w:vAlign w:val="center"/>
                </w:tcPr>
                <w:p w14:paraId="5DA894FE">
                  <w:pPr>
                    <w:pStyle w:val="94"/>
                    <w:rPr>
                      <w:color w:val="auto"/>
                    </w:rPr>
                  </w:pPr>
                </w:p>
              </w:tc>
              <w:tc>
                <w:tcPr>
                  <w:tcW w:w="1611" w:type="pct"/>
                  <w:vAlign w:val="center"/>
                </w:tcPr>
                <w:p w14:paraId="2768BE39">
                  <w:pPr>
                    <w:pStyle w:val="94"/>
                    <w:rPr>
                      <w:color w:val="auto"/>
                    </w:rPr>
                  </w:pPr>
                  <w:r>
                    <w:rPr>
                      <w:rFonts w:hint="eastAsia"/>
                      <w:color w:val="auto"/>
                    </w:rPr>
                    <w:t>膨润土</w:t>
                  </w:r>
                </w:p>
              </w:tc>
              <w:tc>
                <w:tcPr>
                  <w:tcW w:w="768" w:type="pct"/>
                  <w:vAlign w:val="center"/>
                </w:tcPr>
                <w:p w14:paraId="78566466">
                  <w:pPr>
                    <w:pStyle w:val="94"/>
                    <w:rPr>
                      <w:color w:val="auto"/>
                    </w:rPr>
                  </w:pPr>
                  <w:r>
                    <w:rPr>
                      <w:rFonts w:hint="eastAsia"/>
                      <w:color w:val="auto"/>
                    </w:rPr>
                    <w:t>6</w:t>
                  </w:r>
                  <w:r>
                    <w:rPr>
                      <w:color w:val="auto"/>
                    </w:rPr>
                    <w:t>t</w:t>
                  </w:r>
                </w:p>
              </w:tc>
              <w:tc>
                <w:tcPr>
                  <w:tcW w:w="1572" w:type="pct"/>
                  <w:vAlign w:val="center"/>
                </w:tcPr>
                <w:p w14:paraId="25569923">
                  <w:pPr>
                    <w:pStyle w:val="94"/>
                    <w:rPr>
                      <w:color w:val="auto"/>
                    </w:rPr>
                  </w:pPr>
                  <w:r>
                    <w:rPr>
                      <w:rFonts w:hint="eastAsia"/>
                      <w:color w:val="auto"/>
                    </w:rPr>
                    <w:t>外购/袋装</w:t>
                  </w:r>
                </w:p>
              </w:tc>
            </w:tr>
            <w:tr w14:paraId="373462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691" w:type="pct"/>
                  <w:vMerge w:val="continue"/>
                  <w:vAlign w:val="center"/>
                </w:tcPr>
                <w:p w14:paraId="060CFFB6">
                  <w:pPr>
                    <w:pStyle w:val="94"/>
                    <w:rPr>
                      <w:color w:val="auto"/>
                    </w:rPr>
                  </w:pPr>
                </w:p>
              </w:tc>
              <w:tc>
                <w:tcPr>
                  <w:tcW w:w="358" w:type="pct"/>
                  <w:vMerge w:val="restart"/>
                  <w:vAlign w:val="center"/>
                </w:tcPr>
                <w:p w14:paraId="3BBAA2BD">
                  <w:pPr>
                    <w:pStyle w:val="94"/>
                    <w:rPr>
                      <w:color w:val="auto"/>
                    </w:rPr>
                  </w:pPr>
                  <w:r>
                    <w:rPr>
                      <w:rFonts w:hint="eastAsia"/>
                      <w:color w:val="auto"/>
                    </w:rPr>
                    <w:t>二开</w:t>
                  </w:r>
                </w:p>
              </w:tc>
              <w:tc>
                <w:tcPr>
                  <w:tcW w:w="1611" w:type="pct"/>
                  <w:vAlign w:val="center"/>
                </w:tcPr>
                <w:p w14:paraId="0201FA4A">
                  <w:pPr>
                    <w:pStyle w:val="94"/>
                    <w:rPr>
                      <w:color w:val="auto"/>
                    </w:rPr>
                  </w:pPr>
                  <w:r>
                    <w:rPr>
                      <w:rFonts w:hint="eastAsia"/>
                      <w:color w:val="auto"/>
                    </w:rPr>
                    <w:t>膨润土</w:t>
                  </w:r>
                </w:p>
              </w:tc>
              <w:tc>
                <w:tcPr>
                  <w:tcW w:w="768" w:type="pct"/>
                  <w:vAlign w:val="center"/>
                </w:tcPr>
                <w:p w14:paraId="20EBA341">
                  <w:pPr>
                    <w:pStyle w:val="94"/>
                    <w:rPr>
                      <w:color w:val="auto"/>
                    </w:rPr>
                  </w:pPr>
                  <w:r>
                    <w:rPr>
                      <w:rFonts w:hint="eastAsia"/>
                      <w:color w:val="auto"/>
                    </w:rPr>
                    <w:t>6</w:t>
                  </w:r>
                  <w:r>
                    <w:rPr>
                      <w:color w:val="auto"/>
                    </w:rPr>
                    <w:t>t</w:t>
                  </w:r>
                </w:p>
              </w:tc>
              <w:tc>
                <w:tcPr>
                  <w:tcW w:w="1572" w:type="pct"/>
                  <w:vAlign w:val="center"/>
                </w:tcPr>
                <w:p w14:paraId="0AE2BB34">
                  <w:pPr>
                    <w:pStyle w:val="94"/>
                    <w:rPr>
                      <w:color w:val="auto"/>
                    </w:rPr>
                  </w:pPr>
                  <w:r>
                    <w:rPr>
                      <w:rFonts w:hint="eastAsia"/>
                      <w:color w:val="auto"/>
                    </w:rPr>
                    <w:t>外购/袋装</w:t>
                  </w:r>
                </w:p>
              </w:tc>
            </w:tr>
            <w:tr w14:paraId="75FFEC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691" w:type="pct"/>
                  <w:vMerge w:val="continue"/>
                  <w:vAlign w:val="center"/>
                </w:tcPr>
                <w:p w14:paraId="629A6E90">
                  <w:pPr>
                    <w:pStyle w:val="94"/>
                    <w:rPr>
                      <w:color w:val="auto"/>
                    </w:rPr>
                  </w:pPr>
                </w:p>
              </w:tc>
              <w:tc>
                <w:tcPr>
                  <w:tcW w:w="358" w:type="pct"/>
                  <w:vMerge w:val="continue"/>
                  <w:vAlign w:val="center"/>
                </w:tcPr>
                <w:p w14:paraId="5990723D">
                  <w:pPr>
                    <w:pStyle w:val="94"/>
                    <w:rPr>
                      <w:color w:val="auto"/>
                    </w:rPr>
                  </w:pPr>
                </w:p>
              </w:tc>
              <w:tc>
                <w:tcPr>
                  <w:tcW w:w="1611" w:type="pct"/>
                </w:tcPr>
                <w:p w14:paraId="157B6588">
                  <w:pPr>
                    <w:pStyle w:val="94"/>
                    <w:rPr>
                      <w:color w:val="auto"/>
                    </w:rPr>
                  </w:pPr>
                  <w:r>
                    <w:rPr>
                      <w:rFonts w:hint="eastAsia"/>
                    </w:rPr>
                    <w:t>纯碱</w:t>
                  </w:r>
                </w:p>
              </w:tc>
              <w:tc>
                <w:tcPr>
                  <w:tcW w:w="768" w:type="pct"/>
                  <w:vAlign w:val="center"/>
                </w:tcPr>
                <w:p w14:paraId="39F2BDF1">
                  <w:pPr>
                    <w:pStyle w:val="94"/>
                    <w:rPr>
                      <w:color w:val="auto"/>
                    </w:rPr>
                  </w:pPr>
                  <w:r>
                    <w:rPr>
                      <w:rFonts w:hint="eastAsia"/>
                    </w:rPr>
                    <w:t>1.5t</w:t>
                  </w:r>
                </w:p>
              </w:tc>
              <w:tc>
                <w:tcPr>
                  <w:tcW w:w="1572" w:type="pct"/>
                </w:tcPr>
                <w:p w14:paraId="306D8E7C">
                  <w:pPr>
                    <w:pStyle w:val="94"/>
                    <w:rPr>
                      <w:color w:val="auto"/>
                    </w:rPr>
                  </w:pPr>
                  <w:r>
                    <w:rPr>
                      <w:rFonts w:hint="eastAsia"/>
                      <w:color w:val="auto"/>
                    </w:rPr>
                    <w:t>外购/袋装</w:t>
                  </w:r>
                </w:p>
              </w:tc>
            </w:tr>
            <w:tr w14:paraId="307F0A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691" w:type="pct"/>
                  <w:vMerge w:val="continue"/>
                  <w:vAlign w:val="center"/>
                </w:tcPr>
                <w:p w14:paraId="5A58BFED">
                  <w:pPr>
                    <w:pStyle w:val="94"/>
                    <w:rPr>
                      <w:color w:val="auto"/>
                    </w:rPr>
                  </w:pPr>
                </w:p>
              </w:tc>
              <w:tc>
                <w:tcPr>
                  <w:tcW w:w="358" w:type="pct"/>
                  <w:vMerge w:val="continue"/>
                  <w:vAlign w:val="center"/>
                </w:tcPr>
                <w:p w14:paraId="19C7D6D2">
                  <w:pPr>
                    <w:pStyle w:val="94"/>
                    <w:rPr>
                      <w:color w:val="auto"/>
                    </w:rPr>
                  </w:pPr>
                </w:p>
              </w:tc>
              <w:tc>
                <w:tcPr>
                  <w:tcW w:w="1611" w:type="pct"/>
                </w:tcPr>
                <w:p w14:paraId="2288E319">
                  <w:pPr>
                    <w:pStyle w:val="94"/>
                    <w:rPr>
                      <w:color w:val="auto"/>
                    </w:rPr>
                  </w:pPr>
                  <w:r>
                    <w:rPr>
                      <w:rFonts w:hint="eastAsia"/>
                    </w:rPr>
                    <w:t>高粘</w:t>
                  </w:r>
                </w:p>
              </w:tc>
              <w:tc>
                <w:tcPr>
                  <w:tcW w:w="768" w:type="pct"/>
                  <w:vAlign w:val="center"/>
                </w:tcPr>
                <w:p w14:paraId="787D0162">
                  <w:pPr>
                    <w:pStyle w:val="94"/>
                    <w:rPr>
                      <w:color w:val="auto"/>
                    </w:rPr>
                  </w:pPr>
                  <w:r>
                    <w:rPr>
                      <w:rFonts w:hint="eastAsia"/>
                    </w:rPr>
                    <w:t>1t</w:t>
                  </w:r>
                </w:p>
              </w:tc>
              <w:tc>
                <w:tcPr>
                  <w:tcW w:w="1572" w:type="pct"/>
                </w:tcPr>
                <w:p w14:paraId="6EAAFB7E">
                  <w:pPr>
                    <w:pStyle w:val="94"/>
                    <w:rPr>
                      <w:color w:val="auto"/>
                    </w:rPr>
                  </w:pPr>
                  <w:r>
                    <w:rPr>
                      <w:rFonts w:hint="eastAsia"/>
                      <w:color w:val="auto"/>
                    </w:rPr>
                    <w:t>外购/袋装</w:t>
                  </w:r>
                </w:p>
              </w:tc>
            </w:tr>
            <w:tr w14:paraId="23E89A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691" w:type="pct"/>
                  <w:vMerge w:val="continue"/>
                  <w:vAlign w:val="center"/>
                </w:tcPr>
                <w:p w14:paraId="292D05FA">
                  <w:pPr>
                    <w:pStyle w:val="94"/>
                    <w:rPr>
                      <w:color w:val="auto"/>
                    </w:rPr>
                  </w:pPr>
                </w:p>
              </w:tc>
              <w:tc>
                <w:tcPr>
                  <w:tcW w:w="358" w:type="pct"/>
                  <w:vMerge w:val="continue"/>
                  <w:vAlign w:val="center"/>
                </w:tcPr>
                <w:p w14:paraId="3F4B06D6">
                  <w:pPr>
                    <w:pStyle w:val="94"/>
                    <w:rPr>
                      <w:color w:val="auto"/>
                    </w:rPr>
                  </w:pPr>
                </w:p>
              </w:tc>
              <w:tc>
                <w:tcPr>
                  <w:tcW w:w="1611" w:type="pct"/>
                </w:tcPr>
                <w:p w14:paraId="3C52105E">
                  <w:pPr>
                    <w:pStyle w:val="94"/>
                    <w:rPr>
                      <w:color w:val="auto"/>
                    </w:rPr>
                  </w:pPr>
                  <w:r>
                    <w:rPr>
                      <w:rFonts w:hint="eastAsia"/>
                    </w:rPr>
                    <w:t>烧碱</w:t>
                  </w:r>
                </w:p>
              </w:tc>
              <w:tc>
                <w:tcPr>
                  <w:tcW w:w="768" w:type="pct"/>
                  <w:vAlign w:val="center"/>
                </w:tcPr>
                <w:p w14:paraId="334AAAB5">
                  <w:pPr>
                    <w:pStyle w:val="94"/>
                    <w:rPr>
                      <w:color w:val="auto"/>
                    </w:rPr>
                  </w:pPr>
                  <w:r>
                    <w:rPr>
                      <w:rFonts w:hint="eastAsia"/>
                    </w:rPr>
                    <w:t>1t</w:t>
                  </w:r>
                </w:p>
              </w:tc>
              <w:tc>
                <w:tcPr>
                  <w:tcW w:w="1572" w:type="pct"/>
                </w:tcPr>
                <w:p w14:paraId="5283C34F">
                  <w:pPr>
                    <w:pStyle w:val="94"/>
                    <w:rPr>
                      <w:color w:val="auto"/>
                    </w:rPr>
                  </w:pPr>
                  <w:r>
                    <w:rPr>
                      <w:rFonts w:hint="eastAsia"/>
                      <w:color w:val="auto"/>
                    </w:rPr>
                    <w:t>外购/袋装</w:t>
                  </w:r>
                </w:p>
              </w:tc>
            </w:tr>
            <w:tr w14:paraId="4BDCFA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691" w:type="pct"/>
                  <w:vMerge w:val="continue"/>
                  <w:vAlign w:val="center"/>
                </w:tcPr>
                <w:p w14:paraId="797DDFBB">
                  <w:pPr>
                    <w:pStyle w:val="94"/>
                    <w:rPr>
                      <w:color w:val="auto"/>
                    </w:rPr>
                  </w:pPr>
                </w:p>
              </w:tc>
              <w:tc>
                <w:tcPr>
                  <w:tcW w:w="358" w:type="pct"/>
                  <w:vMerge w:val="continue"/>
                  <w:vAlign w:val="center"/>
                </w:tcPr>
                <w:p w14:paraId="6CFD1499">
                  <w:pPr>
                    <w:pStyle w:val="94"/>
                    <w:rPr>
                      <w:color w:val="auto"/>
                    </w:rPr>
                  </w:pPr>
                </w:p>
              </w:tc>
              <w:tc>
                <w:tcPr>
                  <w:tcW w:w="1611" w:type="pct"/>
                </w:tcPr>
                <w:p w14:paraId="440C219A">
                  <w:pPr>
                    <w:pStyle w:val="94"/>
                    <w:rPr>
                      <w:color w:val="auto"/>
                    </w:rPr>
                  </w:pPr>
                  <w:r>
                    <w:rPr>
                      <w:rFonts w:hint="eastAsia"/>
                    </w:rPr>
                    <w:t>有机硅腐植酸钾</w:t>
                  </w:r>
                </w:p>
              </w:tc>
              <w:tc>
                <w:tcPr>
                  <w:tcW w:w="768" w:type="pct"/>
                  <w:vAlign w:val="center"/>
                </w:tcPr>
                <w:p w14:paraId="2071D9B4">
                  <w:pPr>
                    <w:pStyle w:val="94"/>
                    <w:rPr>
                      <w:color w:val="auto"/>
                    </w:rPr>
                  </w:pPr>
                  <w:r>
                    <w:rPr>
                      <w:rFonts w:hint="eastAsia"/>
                    </w:rPr>
                    <w:t>4t</w:t>
                  </w:r>
                </w:p>
              </w:tc>
              <w:tc>
                <w:tcPr>
                  <w:tcW w:w="1572" w:type="pct"/>
                </w:tcPr>
                <w:p w14:paraId="4AB9902D">
                  <w:pPr>
                    <w:pStyle w:val="94"/>
                    <w:rPr>
                      <w:color w:val="auto"/>
                    </w:rPr>
                  </w:pPr>
                  <w:r>
                    <w:rPr>
                      <w:rFonts w:hint="eastAsia"/>
                      <w:color w:val="auto"/>
                    </w:rPr>
                    <w:t>外购/袋装</w:t>
                  </w:r>
                </w:p>
              </w:tc>
            </w:tr>
            <w:tr w14:paraId="3C2DBF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691" w:type="pct"/>
                  <w:vMerge w:val="continue"/>
                  <w:vAlign w:val="center"/>
                </w:tcPr>
                <w:p w14:paraId="3B39AB35">
                  <w:pPr>
                    <w:pStyle w:val="94"/>
                    <w:rPr>
                      <w:color w:val="auto"/>
                    </w:rPr>
                  </w:pPr>
                </w:p>
              </w:tc>
              <w:tc>
                <w:tcPr>
                  <w:tcW w:w="358" w:type="pct"/>
                  <w:vMerge w:val="continue"/>
                  <w:vAlign w:val="center"/>
                </w:tcPr>
                <w:p w14:paraId="2E69EBAB">
                  <w:pPr>
                    <w:pStyle w:val="94"/>
                    <w:rPr>
                      <w:color w:val="auto"/>
                    </w:rPr>
                  </w:pPr>
                </w:p>
              </w:tc>
              <w:tc>
                <w:tcPr>
                  <w:tcW w:w="1611" w:type="pct"/>
                </w:tcPr>
                <w:p w14:paraId="3082C9AD">
                  <w:pPr>
                    <w:pStyle w:val="94"/>
                    <w:rPr>
                      <w:color w:val="auto"/>
                    </w:rPr>
                  </w:pPr>
                  <w:r>
                    <w:rPr>
                      <w:rFonts w:hint="eastAsia"/>
                    </w:rPr>
                    <w:t>固体润滑剂</w:t>
                  </w:r>
                </w:p>
              </w:tc>
              <w:tc>
                <w:tcPr>
                  <w:tcW w:w="768" w:type="pct"/>
                  <w:vAlign w:val="center"/>
                </w:tcPr>
                <w:p w14:paraId="247FC16C">
                  <w:pPr>
                    <w:pStyle w:val="94"/>
                    <w:rPr>
                      <w:color w:val="auto"/>
                    </w:rPr>
                  </w:pPr>
                  <w:r>
                    <w:rPr>
                      <w:rFonts w:hint="eastAsia"/>
                    </w:rPr>
                    <w:t>2t</w:t>
                  </w:r>
                </w:p>
              </w:tc>
              <w:tc>
                <w:tcPr>
                  <w:tcW w:w="1572" w:type="pct"/>
                </w:tcPr>
                <w:p w14:paraId="542C2253">
                  <w:pPr>
                    <w:pStyle w:val="94"/>
                    <w:rPr>
                      <w:color w:val="auto"/>
                    </w:rPr>
                  </w:pPr>
                  <w:r>
                    <w:rPr>
                      <w:rFonts w:hint="eastAsia"/>
                      <w:color w:val="auto"/>
                    </w:rPr>
                    <w:t>外购/袋装</w:t>
                  </w:r>
                </w:p>
              </w:tc>
            </w:tr>
            <w:tr w14:paraId="6A0D6C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691" w:type="pct"/>
                  <w:vMerge w:val="continue"/>
                  <w:vAlign w:val="center"/>
                </w:tcPr>
                <w:p w14:paraId="4CBF63CF">
                  <w:pPr>
                    <w:pStyle w:val="94"/>
                    <w:rPr>
                      <w:color w:val="auto"/>
                    </w:rPr>
                  </w:pPr>
                </w:p>
              </w:tc>
              <w:tc>
                <w:tcPr>
                  <w:tcW w:w="358" w:type="pct"/>
                  <w:vMerge w:val="continue"/>
                  <w:vAlign w:val="center"/>
                </w:tcPr>
                <w:p w14:paraId="6564DC7B">
                  <w:pPr>
                    <w:pStyle w:val="94"/>
                    <w:rPr>
                      <w:color w:val="auto"/>
                    </w:rPr>
                  </w:pPr>
                </w:p>
              </w:tc>
              <w:tc>
                <w:tcPr>
                  <w:tcW w:w="1611" w:type="pct"/>
                </w:tcPr>
                <w:p w14:paraId="696B442E">
                  <w:pPr>
                    <w:pStyle w:val="94"/>
                    <w:rPr>
                      <w:color w:val="auto"/>
                    </w:rPr>
                  </w:pPr>
                  <w:r>
                    <w:t>80A-51</w:t>
                  </w:r>
                </w:p>
              </w:tc>
              <w:tc>
                <w:tcPr>
                  <w:tcW w:w="768" w:type="pct"/>
                  <w:vAlign w:val="center"/>
                </w:tcPr>
                <w:p w14:paraId="53238F52">
                  <w:pPr>
                    <w:pStyle w:val="94"/>
                    <w:rPr>
                      <w:color w:val="auto"/>
                    </w:rPr>
                  </w:pPr>
                  <w:r>
                    <w:rPr>
                      <w:rFonts w:hint="eastAsia"/>
                    </w:rPr>
                    <w:t>1t</w:t>
                  </w:r>
                </w:p>
              </w:tc>
              <w:tc>
                <w:tcPr>
                  <w:tcW w:w="1572" w:type="pct"/>
                </w:tcPr>
                <w:p w14:paraId="163E2B3C">
                  <w:pPr>
                    <w:pStyle w:val="94"/>
                    <w:rPr>
                      <w:color w:val="auto"/>
                    </w:rPr>
                  </w:pPr>
                  <w:r>
                    <w:rPr>
                      <w:rFonts w:hint="eastAsia"/>
                      <w:color w:val="auto"/>
                    </w:rPr>
                    <w:t>外购/袋装</w:t>
                  </w:r>
                </w:p>
              </w:tc>
            </w:tr>
            <w:tr w14:paraId="4F2CD1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691" w:type="pct"/>
                  <w:vMerge w:val="continue"/>
                  <w:vAlign w:val="center"/>
                </w:tcPr>
                <w:p w14:paraId="115A7978">
                  <w:pPr>
                    <w:pStyle w:val="94"/>
                    <w:rPr>
                      <w:color w:val="auto"/>
                    </w:rPr>
                  </w:pPr>
                </w:p>
              </w:tc>
              <w:tc>
                <w:tcPr>
                  <w:tcW w:w="358" w:type="pct"/>
                  <w:vMerge w:val="continue"/>
                  <w:vAlign w:val="center"/>
                </w:tcPr>
                <w:p w14:paraId="56F2B214">
                  <w:pPr>
                    <w:pStyle w:val="94"/>
                    <w:rPr>
                      <w:color w:val="auto"/>
                    </w:rPr>
                  </w:pPr>
                </w:p>
              </w:tc>
              <w:tc>
                <w:tcPr>
                  <w:tcW w:w="1611" w:type="pct"/>
                </w:tcPr>
                <w:p w14:paraId="37A6A007">
                  <w:pPr>
                    <w:pStyle w:val="94"/>
                    <w:rPr>
                      <w:color w:val="auto"/>
                    </w:rPr>
                  </w:pPr>
                  <w:r>
                    <w:rPr>
                      <w:rFonts w:hint="eastAsia"/>
                    </w:rPr>
                    <w:t>磺化沥青粉</w:t>
                  </w:r>
                </w:p>
              </w:tc>
              <w:tc>
                <w:tcPr>
                  <w:tcW w:w="768" w:type="pct"/>
                  <w:vAlign w:val="center"/>
                </w:tcPr>
                <w:p w14:paraId="0E560290">
                  <w:pPr>
                    <w:pStyle w:val="94"/>
                    <w:rPr>
                      <w:color w:val="auto"/>
                    </w:rPr>
                  </w:pPr>
                  <w:r>
                    <w:rPr>
                      <w:rFonts w:hint="eastAsia"/>
                    </w:rPr>
                    <w:t>1t</w:t>
                  </w:r>
                </w:p>
              </w:tc>
              <w:tc>
                <w:tcPr>
                  <w:tcW w:w="1572" w:type="pct"/>
                </w:tcPr>
                <w:p w14:paraId="14AD15DF">
                  <w:pPr>
                    <w:pStyle w:val="94"/>
                    <w:rPr>
                      <w:color w:val="auto"/>
                    </w:rPr>
                  </w:pPr>
                  <w:r>
                    <w:rPr>
                      <w:rFonts w:hint="eastAsia"/>
                      <w:color w:val="auto"/>
                    </w:rPr>
                    <w:t>外购/袋装</w:t>
                  </w:r>
                </w:p>
              </w:tc>
            </w:tr>
            <w:tr w14:paraId="7FC31A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691" w:type="pct"/>
                  <w:vMerge w:val="continue"/>
                  <w:vAlign w:val="center"/>
                </w:tcPr>
                <w:p w14:paraId="4317B05E">
                  <w:pPr>
                    <w:pStyle w:val="94"/>
                    <w:rPr>
                      <w:color w:val="auto"/>
                    </w:rPr>
                  </w:pPr>
                </w:p>
              </w:tc>
              <w:tc>
                <w:tcPr>
                  <w:tcW w:w="358" w:type="pct"/>
                  <w:vMerge w:val="continue"/>
                  <w:vAlign w:val="center"/>
                </w:tcPr>
                <w:p w14:paraId="7ED5E648">
                  <w:pPr>
                    <w:pStyle w:val="94"/>
                    <w:rPr>
                      <w:color w:val="auto"/>
                    </w:rPr>
                  </w:pPr>
                </w:p>
              </w:tc>
              <w:tc>
                <w:tcPr>
                  <w:tcW w:w="1611" w:type="pct"/>
                </w:tcPr>
                <w:p w14:paraId="6EF04AB8">
                  <w:pPr>
                    <w:pStyle w:val="94"/>
                    <w:rPr>
                      <w:color w:val="auto"/>
                    </w:rPr>
                  </w:pPr>
                  <w:r>
                    <w:rPr>
                      <w:rFonts w:hint="eastAsia"/>
                    </w:rPr>
                    <w:t>抗高温降虑失剂</w:t>
                  </w:r>
                </w:p>
              </w:tc>
              <w:tc>
                <w:tcPr>
                  <w:tcW w:w="768" w:type="pct"/>
                  <w:vAlign w:val="center"/>
                </w:tcPr>
                <w:p w14:paraId="136F6AB6">
                  <w:pPr>
                    <w:pStyle w:val="94"/>
                    <w:rPr>
                      <w:color w:val="auto"/>
                    </w:rPr>
                  </w:pPr>
                  <w:r>
                    <w:rPr>
                      <w:rFonts w:hint="eastAsia"/>
                    </w:rPr>
                    <w:t>2.5t</w:t>
                  </w:r>
                </w:p>
              </w:tc>
              <w:tc>
                <w:tcPr>
                  <w:tcW w:w="1572" w:type="pct"/>
                </w:tcPr>
                <w:p w14:paraId="345D70F4">
                  <w:pPr>
                    <w:pStyle w:val="94"/>
                    <w:rPr>
                      <w:color w:val="auto"/>
                    </w:rPr>
                  </w:pPr>
                  <w:r>
                    <w:rPr>
                      <w:rFonts w:hint="eastAsia"/>
                      <w:color w:val="auto"/>
                    </w:rPr>
                    <w:t>外购/袋装</w:t>
                  </w:r>
                </w:p>
              </w:tc>
            </w:tr>
            <w:tr w14:paraId="5125F6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691" w:type="pct"/>
                  <w:vMerge w:val="continue"/>
                  <w:vAlign w:val="center"/>
                </w:tcPr>
                <w:p w14:paraId="09FA755F">
                  <w:pPr>
                    <w:pStyle w:val="94"/>
                    <w:rPr>
                      <w:color w:val="auto"/>
                    </w:rPr>
                  </w:pPr>
                </w:p>
              </w:tc>
              <w:tc>
                <w:tcPr>
                  <w:tcW w:w="358" w:type="pct"/>
                  <w:vMerge w:val="continue"/>
                  <w:vAlign w:val="center"/>
                </w:tcPr>
                <w:p w14:paraId="68756200">
                  <w:pPr>
                    <w:pStyle w:val="94"/>
                    <w:rPr>
                      <w:color w:val="auto"/>
                    </w:rPr>
                  </w:pPr>
                </w:p>
              </w:tc>
              <w:tc>
                <w:tcPr>
                  <w:tcW w:w="1611" w:type="pct"/>
                </w:tcPr>
                <w:p w14:paraId="7A3D8572">
                  <w:pPr>
                    <w:pStyle w:val="94"/>
                    <w:rPr>
                      <w:color w:val="auto"/>
                    </w:rPr>
                  </w:pPr>
                  <w:r>
                    <w:rPr>
                      <w:rFonts w:hint="eastAsia"/>
                    </w:rPr>
                    <w:t>阳性离职包被剂 </w:t>
                  </w:r>
                  <w:r>
                    <w:t>FA-367</w:t>
                  </w:r>
                </w:p>
              </w:tc>
              <w:tc>
                <w:tcPr>
                  <w:tcW w:w="768" w:type="pct"/>
                  <w:vAlign w:val="center"/>
                </w:tcPr>
                <w:p w14:paraId="25355263">
                  <w:pPr>
                    <w:pStyle w:val="94"/>
                    <w:rPr>
                      <w:color w:val="auto"/>
                    </w:rPr>
                  </w:pPr>
                  <w:r>
                    <w:rPr>
                      <w:rFonts w:hint="eastAsia"/>
                    </w:rPr>
                    <w:t>1t</w:t>
                  </w:r>
                </w:p>
              </w:tc>
              <w:tc>
                <w:tcPr>
                  <w:tcW w:w="1572" w:type="pct"/>
                </w:tcPr>
                <w:p w14:paraId="09A67011">
                  <w:pPr>
                    <w:pStyle w:val="94"/>
                    <w:rPr>
                      <w:color w:val="auto"/>
                    </w:rPr>
                  </w:pPr>
                  <w:r>
                    <w:rPr>
                      <w:rFonts w:hint="eastAsia"/>
                      <w:color w:val="auto"/>
                    </w:rPr>
                    <w:t>外购/袋装</w:t>
                  </w:r>
                </w:p>
              </w:tc>
            </w:tr>
            <w:tr w14:paraId="6BFAB4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691" w:type="pct"/>
                  <w:vMerge w:val="continue"/>
                  <w:vAlign w:val="center"/>
                </w:tcPr>
                <w:p w14:paraId="397F5731">
                  <w:pPr>
                    <w:pStyle w:val="94"/>
                    <w:rPr>
                      <w:color w:val="auto"/>
                    </w:rPr>
                  </w:pPr>
                </w:p>
              </w:tc>
              <w:tc>
                <w:tcPr>
                  <w:tcW w:w="358" w:type="pct"/>
                  <w:vMerge w:val="continue"/>
                  <w:vAlign w:val="center"/>
                </w:tcPr>
                <w:p w14:paraId="6540CD76">
                  <w:pPr>
                    <w:pStyle w:val="94"/>
                    <w:rPr>
                      <w:color w:val="auto"/>
                    </w:rPr>
                  </w:pPr>
                </w:p>
              </w:tc>
              <w:tc>
                <w:tcPr>
                  <w:tcW w:w="1611" w:type="pct"/>
                </w:tcPr>
                <w:p w14:paraId="02171FD5">
                  <w:pPr>
                    <w:pStyle w:val="94"/>
                    <w:rPr>
                      <w:color w:val="auto"/>
                    </w:rPr>
                  </w:pPr>
                  <w:r>
                    <w:rPr>
                      <w:rFonts w:hint="eastAsia"/>
                    </w:rPr>
                    <w:t>重晶石</w:t>
                  </w:r>
                </w:p>
              </w:tc>
              <w:tc>
                <w:tcPr>
                  <w:tcW w:w="768" w:type="pct"/>
                  <w:vAlign w:val="center"/>
                </w:tcPr>
                <w:p w14:paraId="4C2CDA70">
                  <w:pPr>
                    <w:pStyle w:val="94"/>
                    <w:rPr>
                      <w:color w:val="auto"/>
                    </w:rPr>
                  </w:pPr>
                  <w:r>
                    <w:rPr>
                      <w:rFonts w:hint="eastAsia"/>
                    </w:rPr>
                    <w:t>/</w:t>
                  </w:r>
                </w:p>
              </w:tc>
              <w:tc>
                <w:tcPr>
                  <w:tcW w:w="1572" w:type="pct"/>
                </w:tcPr>
                <w:p w14:paraId="6FC4CD09">
                  <w:pPr>
                    <w:pStyle w:val="94"/>
                    <w:rPr>
                      <w:color w:val="auto"/>
                    </w:rPr>
                  </w:pPr>
                  <w:r>
                    <w:rPr>
                      <w:rFonts w:hint="eastAsia"/>
                      <w:color w:val="auto"/>
                    </w:rPr>
                    <w:t>外购/袋装</w:t>
                  </w:r>
                </w:p>
              </w:tc>
            </w:tr>
            <w:tr w14:paraId="03EBE3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691" w:type="pct"/>
                  <w:vMerge w:val="continue"/>
                  <w:vAlign w:val="center"/>
                </w:tcPr>
                <w:p w14:paraId="3BF542DD">
                  <w:pPr>
                    <w:pStyle w:val="94"/>
                    <w:rPr>
                      <w:color w:val="auto"/>
                    </w:rPr>
                  </w:pPr>
                </w:p>
              </w:tc>
              <w:tc>
                <w:tcPr>
                  <w:tcW w:w="358" w:type="pct"/>
                  <w:vMerge w:val="continue"/>
                  <w:vAlign w:val="center"/>
                </w:tcPr>
                <w:p w14:paraId="4B12F3FF">
                  <w:pPr>
                    <w:pStyle w:val="94"/>
                    <w:rPr>
                      <w:color w:val="auto"/>
                    </w:rPr>
                  </w:pPr>
                </w:p>
              </w:tc>
              <w:tc>
                <w:tcPr>
                  <w:tcW w:w="1611" w:type="pct"/>
                </w:tcPr>
                <w:p w14:paraId="31276411">
                  <w:pPr>
                    <w:pStyle w:val="94"/>
                    <w:rPr>
                      <w:color w:val="auto"/>
                    </w:rPr>
                  </w:pPr>
                  <w:r>
                    <w:t>LV-CMC</w:t>
                  </w:r>
                </w:p>
              </w:tc>
              <w:tc>
                <w:tcPr>
                  <w:tcW w:w="768" w:type="pct"/>
                  <w:vAlign w:val="center"/>
                </w:tcPr>
                <w:p w14:paraId="4F369F44">
                  <w:pPr>
                    <w:pStyle w:val="94"/>
                    <w:rPr>
                      <w:color w:val="auto"/>
                    </w:rPr>
                  </w:pPr>
                  <w:r>
                    <w:rPr>
                      <w:rFonts w:hint="eastAsia"/>
                    </w:rPr>
                    <w:t>1.5t</w:t>
                  </w:r>
                </w:p>
              </w:tc>
              <w:tc>
                <w:tcPr>
                  <w:tcW w:w="1572" w:type="pct"/>
                </w:tcPr>
                <w:p w14:paraId="7D88CB4A">
                  <w:pPr>
                    <w:pStyle w:val="94"/>
                    <w:rPr>
                      <w:color w:val="auto"/>
                    </w:rPr>
                  </w:pPr>
                  <w:r>
                    <w:rPr>
                      <w:rFonts w:hint="eastAsia"/>
                      <w:color w:val="auto"/>
                    </w:rPr>
                    <w:t>外购/袋装</w:t>
                  </w:r>
                </w:p>
              </w:tc>
            </w:tr>
            <w:tr w14:paraId="351D1A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691" w:type="pct"/>
                  <w:vMerge w:val="continue"/>
                  <w:vAlign w:val="center"/>
                </w:tcPr>
                <w:p w14:paraId="1A40AB1E">
                  <w:pPr>
                    <w:pStyle w:val="94"/>
                    <w:rPr>
                      <w:color w:val="auto"/>
                    </w:rPr>
                  </w:pPr>
                </w:p>
              </w:tc>
              <w:tc>
                <w:tcPr>
                  <w:tcW w:w="358" w:type="pct"/>
                  <w:vMerge w:val="continue"/>
                  <w:vAlign w:val="center"/>
                </w:tcPr>
                <w:p w14:paraId="3DF162E8">
                  <w:pPr>
                    <w:pStyle w:val="94"/>
                    <w:rPr>
                      <w:color w:val="auto"/>
                    </w:rPr>
                  </w:pPr>
                </w:p>
              </w:tc>
              <w:tc>
                <w:tcPr>
                  <w:tcW w:w="1611" w:type="pct"/>
                </w:tcPr>
                <w:p w14:paraId="706C4348">
                  <w:pPr>
                    <w:pStyle w:val="94"/>
                    <w:rPr>
                      <w:color w:val="auto"/>
                    </w:rPr>
                  </w:pPr>
                  <w:r>
                    <w:rPr>
                      <w:rFonts w:hint="eastAsia"/>
                    </w:rPr>
                    <w:t>聚丙烯酸钾</w:t>
                  </w:r>
                </w:p>
              </w:tc>
              <w:tc>
                <w:tcPr>
                  <w:tcW w:w="768" w:type="pct"/>
                  <w:vAlign w:val="center"/>
                </w:tcPr>
                <w:p w14:paraId="045E1BAB">
                  <w:pPr>
                    <w:pStyle w:val="94"/>
                    <w:rPr>
                      <w:color w:val="auto"/>
                    </w:rPr>
                  </w:pPr>
                  <w:r>
                    <w:rPr>
                      <w:rFonts w:hint="eastAsia"/>
                    </w:rPr>
                    <w:t>1t</w:t>
                  </w:r>
                </w:p>
              </w:tc>
              <w:tc>
                <w:tcPr>
                  <w:tcW w:w="1572" w:type="pct"/>
                </w:tcPr>
                <w:p w14:paraId="29582200">
                  <w:pPr>
                    <w:pStyle w:val="94"/>
                    <w:rPr>
                      <w:color w:val="auto"/>
                    </w:rPr>
                  </w:pPr>
                  <w:r>
                    <w:rPr>
                      <w:rFonts w:hint="eastAsia"/>
                      <w:color w:val="auto"/>
                    </w:rPr>
                    <w:t>外购/袋装</w:t>
                  </w:r>
                </w:p>
              </w:tc>
            </w:tr>
            <w:tr w14:paraId="4F109F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691" w:type="pct"/>
                  <w:vMerge w:val="continue"/>
                  <w:vAlign w:val="center"/>
                </w:tcPr>
                <w:p w14:paraId="65DAD3A5">
                  <w:pPr>
                    <w:pStyle w:val="94"/>
                    <w:rPr>
                      <w:color w:val="auto"/>
                    </w:rPr>
                  </w:pPr>
                </w:p>
              </w:tc>
              <w:tc>
                <w:tcPr>
                  <w:tcW w:w="358" w:type="pct"/>
                  <w:vMerge w:val="continue"/>
                  <w:vAlign w:val="center"/>
                </w:tcPr>
                <w:p w14:paraId="16F65023">
                  <w:pPr>
                    <w:pStyle w:val="94"/>
                    <w:rPr>
                      <w:color w:val="auto"/>
                    </w:rPr>
                  </w:pPr>
                </w:p>
              </w:tc>
              <w:tc>
                <w:tcPr>
                  <w:tcW w:w="1611" w:type="pct"/>
                </w:tcPr>
                <w:p w14:paraId="026D1779">
                  <w:pPr>
                    <w:pStyle w:val="94"/>
                    <w:rPr>
                      <w:color w:val="auto"/>
                    </w:rPr>
                  </w:pPr>
                  <w:r>
                    <w:rPr>
                      <w:rFonts w:hint="eastAsia"/>
                    </w:rPr>
                    <w:t>石灰石</w:t>
                  </w:r>
                </w:p>
              </w:tc>
              <w:tc>
                <w:tcPr>
                  <w:tcW w:w="768" w:type="pct"/>
                  <w:vAlign w:val="center"/>
                </w:tcPr>
                <w:p w14:paraId="2E2A3EBF">
                  <w:pPr>
                    <w:pStyle w:val="94"/>
                    <w:rPr>
                      <w:color w:val="auto"/>
                    </w:rPr>
                  </w:pPr>
                  <w:r>
                    <w:rPr>
                      <w:rFonts w:hint="eastAsia"/>
                    </w:rPr>
                    <w:t>20t</w:t>
                  </w:r>
                </w:p>
              </w:tc>
              <w:tc>
                <w:tcPr>
                  <w:tcW w:w="1572" w:type="pct"/>
                </w:tcPr>
                <w:p w14:paraId="25B5EB4D">
                  <w:pPr>
                    <w:pStyle w:val="94"/>
                    <w:rPr>
                      <w:color w:val="auto"/>
                    </w:rPr>
                  </w:pPr>
                  <w:r>
                    <w:rPr>
                      <w:rFonts w:hint="eastAsia"/>
                      <w:color w:val="auto"/>
                    </w:rPr>
                    <w:t>外购/袋装</w:t>
                  </w:r>
                </w:p>
              </w:tc>
            </w:tr>
          </w:tbl>
          <w:p w14:paraId="4ED017EC">
            <w:pPr>
              <w:pStyle w:val="96"/>
              <w:ind w:firstLine="480"/>
            </w:pPr>
            <w:r>
              <w:rPr>
                <w:rFonts w:hint="eastAsia"/>
              </w:rPr>
              <w:t>②压裂液配方</w:t>
            </w:r>
          </w:p>
          <w:p w14:paraId="2032926D">
            <w:pPr>
              <w:pStyle w:val="96"/>
              <w:ind w:firstLine="480"/>
            </w:pPr>
            <w:r>
              <w:rPr>
                <w:rFonts w:hint="eastAsia"/>
              </w:rPr>
              <w:t>压裂液主要为胍胶压裂液，单口井压裂用水约800m</w:t>
            </w:r>
            <w:r>
              <w:rPr>
                <w:rFonts w:hint="eastAsia"/>
                <w:vertAlign w:val="superscript"/>
              </w:rPr>
              <w:t>3</w:t>
            </w:r>
            <w:r>
              <w:rPr>
                <w:rFonts w:hint="eastAsia"/>
              </w:rPr>
              <w:t>。压裂用水来自处理后的返排液，不足时从就近村庄购买。压裂液在储罐内调配储存，压裂结束后返排液进入储罐视情况处理后回用或运输至回注场站，压裂液储罐区进行重点防渗。</w:t>
            </w:r>
          </w:p>
          <w:p w14:paraId="4F282355">
            <w:pPr>
              <w:pStyle w:val="96"/>
              <w:ind w:firstLine="480"/>
            </w:pPr>
            <w:r>
              <w:rPr>
                <w:rFonts w:hint="eastAsia"/>
              </w:rPr>
              <w:t>压裂支撑剂采用石英砂或陶粒，单口井用量约84m</w:t>
            </w:r>
            <w:r>
              <w:rPr>
                <w:rFonts w:hint="eastAsia"/>
                <w:vertAlign w:val="superscript"/>
              </w:rPr>
              <w:t>3</w:t>
            </w:r>
            <w:r>
              <w:rPr>
                <w:rFonts w:hint="eastAsia"/>
              </w:rPr>
              <w:t>。</w:t>
            </w:r>
          </w:p>
          <w:p w14:paraId="51E05582">
            <w:pPr>
              <w:pStyle w:val="96"/>
              <w:ind w:firstLine="480"/>
            </w:pPr>
            <w:r>
              <w:rPr>
                <w:rFonts w:hint="eastAsia"/>
              </w:rPr>
              <w:t>③其他材料</w:t>
            </w:r>
          </w:p>
          <w:p w14:paraId="263D5011">
            <w:pPr>
              <w:pStyle w:val="96"/>
              <w:ind w:firstLine="480"/>
            </w:pPr>
            <w:r>
              <w:rPr>
                <w:rFonts w:hint="eastAsia"/>
              </w:rPr>
              <w:t>本项目勘探期限内期采用柴油发电机，燃料主要为柴油，钻井、完井期每口井平均用量8t柴油。井场设油罐区，柴油储罐规格为15t，要求对柴油罐区铺设防渗膜防渗，周边设置围堰，防止柴油渗漏影响土壤。</w:t>
            </w:r>
          </w:p>
          <w:p w14:paraId="19356EF9">
            <w:pPr>
              <w:pStyle w:val="96"/>
              <w:ind w:firstLine="480"/>
            </w:pPr>
            <w:r>
              <w:rPr>
                <w:rFonts w:hint="eastAsia"/>
              </w:rPr>
              <w:t>固井采用G级水泥配置，水泥浆密度为1.85g/cm</w:t>
            </w:r>
            <w:r>
              <w:rPr>
                <w:rFonts w:hint="eastAsia"/>
                <w:vertAlign w:val="superscript"/>
              </w:rPr>
              <w:t>3</w:t>
            </w:r>
            <w:r>
              <w:rPr>
                <w:rFonts w:hint="eastAsia"/>
              </w:rPr>
              <w:t>，水泥用量为14t/井。</w:t>
            </w:r>
          </w:p>
          <w:p w14:paraId="31EF1548">
            <w:pPr>
              <w:pStyle w:val="96"/>
              <w:ind w:firstLine="480"/>
              <w:rPr>
                <w:b/>
                <w:bCs/>
                <w:szCs w:val="21"/>
              </w:rPr>
            </w:pPr>
            <w:r>
              <w:rPr>
                <w:rFonts w:hint="eastAsia"/>
              </w:rPr>
              <w:t>本项目压裂及其他阶段原辅材料消耗情况见下表。</w:t>
            </w:r>
          </w:p>
          <w:p w14:paraId="3C10484B">
            <w:pPr>
              <w:pStyle w:val="19"/>
              <w:keepNext/>
            </w:pPr>
            <w:bookmarkStart w:id="28" w:name="_Ref169209316"/>
            <w:bookmarkStart w:id="29" w:name="_Ref169209332"/>
            <w:r>
              <w:t xml:space="preserve">表 </w:t>
            </w:r>
            <w:r>
              <w:fldChar w:fldCharType="begin"/>
            </w:r>
            <w:r>
              <w:instrText xml:space="preserve"> SEQ 表 \* ARABIC </w:instrText>
            </w:r>
            <w:r>
              <w:fldChar w:fldCharType="separate"/>
            </w:r>
            <w:r>
              <w:t>14</w:t>
            </w:r>
            <w:r>
              <w:fldChar w:fldCharType="end"/>
            </w:r>
            <w:bookmarkEnd w:id="28"/>
            <w:r>
              <w:rPr>
                <w:rFonts w:hint="eastAsia"/>
              </w:rPr>
              <w:t>压裂液主要成分及单口井用量一览表</w:t>
            </w:r>
            <w:bookmarkEnd w:id="29"/>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92"/>
              <w:gridCol w:w="611"/>
              <w:gridCol w:w="1879"/>
              <w:gridCol w:w="1842"/>
              <w:gridCol w:w="2267"/>
              <w:gridCol w:w="975"/>
            </w:tblGrid>
            <w:tr w14:paraId="7584FB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27" w:type="pct"/>
                  <w:vAlign w:val="center"/>
                </w:tcPr>
                <w:p w14:paraId="57B2369E">
                  <w:pPr>
                    <w:pStyle w:val="94"/>
                  </w:pPr>
                  <w:r>
                    <w:rPr>
                      <w:rFonts w:hint="eastAsia"/>
                    </w:rPr>
                    <w:t>阶段</w:t>
                  </w:r>
                </w:p>
              </w:tc>
              <w:tc>
                <w:tcPr>
                  <w:tcW w:w="1471" w:type="pct"/>
                  <w:gridSpan w:val="2"/>
                  <w:vAlign w:val="center"/>
                </w:tcPr>
                <w:p w14:paraId="6AE62F47">
                  <w:pPr>
                    <w:pStyle w:val="94"/>
                  </w:pPr>
                  <w:r>
                    <w:rPr>
                      <w:rFonts w:hint="eastAsia"/>
                    </w:rPr>
                    <w:t>名称</w:t>
                  </w:r>
                </w:p>
              </w:tc>
              <w:tc>
                <w:tcPr>
                  <w:tcW w:w="1088" w:type="pct"/>
                  <w:vAlign w:val="center"/>
                </w:tcPr>
                <w:p w14:paraId="1BB09581">
                  <w:pPr>
                    <w:pStyle w:val="94"/>
                  </w:pPr>
                  <w:r>
                    <w:rPr>
                      <w:rFonts w:hint="eastAsia"/>
                    </w:rPr>
                    <w:t>用量/井</w:t>
                  </w:r>
                </w:p>
              </w:tc>
              <w:tc>
                <w:tcPr>
                  <w:tcW w:w="1339" w:type="pct"/>
                  <w:vAlign w:val="center"/>
                </w:tcPr>
                <w:p w14:paraId="6064401E">
                  <w:pPr>
                    <w:pStyle w:val="94"/>
                  </w:pPr>
                  <w:r>
                    <w:rPr>
                      <w:rFonts w:hint="eastAsia"/>
                    </w:rPr>
                    <w:t>来源/运输</w:t>
                  </w:r>
                </w:p>
              </w:tc>
              <w:tc>
                <w:tcPr>
                  <w:tcW w:w="575" w:type="pct"/>
                  <w:vAlign w:val="center"/>
                </w:tcPr>
                <w:p w14:paraId="00FC98F7">
                  <w:pPr>
                    <w:pStyle w:val="94"/>
                  </w:pPr>
                  <w:r>
                    <w:rPr>
                      <w:rFonts w:hint="eastAsia"/>
                    </w:rPr>
                    <w:t>备注</w:t>
                  </w:r>
                </w:p>
              </w:tc>
            </w:tr>
            <w:tr w14:paraId="01163C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27" w:type="pct"/>
                  <w:vMerge w:val="restart"/>
                  <w:vAlign w:val="center"/>
                </w:tcPr>
                <w:p w14:paraId="09C23FF2">
                  <w:pPr>
                    <w:pStyle w:val="94"/>
                  </w:pPr>
                  <w:r>
                    <w:rPr>
                      <w:rFonts w:hint="eastAsia"/>
                    </w:rPr>
                    <w:t>压裂期</w:t>
                  </w:r>
                </w:p>
              </w:tc>
              <w:tc>
                <w:tcPr>
                  <w:tcW w:w="361" w:type="pct"/>
                  <w:vMerge w:val="restart"/>
                  <w:vAlign w:val="center"/>
                </w:tcPr>
                <w:p w14:paraId="7C1BDB6F">
                  <w:pPr>
                    <w:pStyle w:val="94"/>
                  </w:pPr>
                  <w:r>
                    <w:rPr>
                      <w:rFonts w:hint="eastAsia"/>
                    </w:rPr>
                    <w:t>压裂液</w:t>
                  </w:r>
                </w:p>
              </w:tc>
              <w:tc>
                <w:tcPr>
                  <w:tcW w:w="1110" w:type="pct"/>
                  <w:vAlign w:val="center"/>
                </w:tcPr>
                <w:p w14:paraId="53BE3E30">
                  <w:pPr>
                    <w:pStyle w:val="94"/>
                  </w:pPr>
                  <w:r>
                    <w:rPr>
                      <w:rFonts w:hint="eastAsia"/>
                    </w:rPr>
                    <w:t>水</w:t>
                  </w:r>
                </w:p>
              </w:tc>
              <w:tc>
                <w:tcPr>
                  <w:tcW w:w="1088" w:type="pct"/>
                  <w:vAlign w:val="center"/>
                </w:tcPr>
                <w:p w14:paraId="4464A3DC">
                  <w:pPr>
                    <w:pStyle w:val="94"/>
                  </w:pPr>
                  <w:r>
                    <w:t>8</w:t>
                  </w:r>
                  <w:r>
                    <w:rPr>
                      <w:rFonts w:hint="eastAsia"/>
                    </w:rPr>
                    <w:t>00</w:t>
                  </w:r>
                  <w:r>
                    <w:t>m</w:t>
                  </w:r>
                  <w:r>
                    <w:rPr>
                      <w:vertAlign w:val="superscript"/>
                    </w:rPr>
                    <w:t>3</w:t>
                  </w:r>
                  <w:r>
                    <w:rPr>
                      <w:rFonts w:hint="eastAsia"/>
                    </w:rPr>
                    <w:t>（直井/定向井）</w:t>
                  </w:r>
                </w:p>
              </w:tc>
              <w:tc>
                <w:tcPr>
                  <w:tcW w:w="1339" w:type="pct"/>
                  <w:vAlign w:val="center"/>
                </w:tcPr>
                <w:p w14:paraId="63EF0264">
                  <w:pPr>
                    <w:pStyle w:val="94"/>
                  </w:pPr>
                  <w:r>
                    <w:rPr>
                      <w:rFonts w:hint="eastAsia"/>
                    </w:rPr>
                    <w:t>取自附近村庄/采排水处理站处理后的水</w:t>
                  </w:r>
                </w:p>
              </w:tc>
              <w:tc>
                <w:tcPr>
                  <w:tcW w:w="575" w:type="pct"/>
                  <w:vAlign w:val="center"/>
                </w:tcPr>
                <w:p w14:paraId="633B9D81">
                  <w:pPr>
                    <w:pStyle w:val="94"/>
                  </w:pPr>
                  <w:r>
                    <w:rPr>
                      <w:rFonts w:hint="eastAsia"/>
                    </w:rPr>
                    <w:t>/</w:t>
                  </w:r>
                </w:p>
              </w:tc>
            </w:tr>
            <w:tr w14:paraId="307B63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27" w:type="pct"/>
                  <w:vMerge w:val="continue"/>
                  <w:vAlign w:val="center"/>
                </w:tcPr>
                <w:p w14:paraId="6D08D110">
                  <w:pPr>
                    <w:pStyle w:val="94"/>
                  </w:pPr>
                </w:p>
              </w:tc>
              <w:tc>
                <w:tcPr>
                  <w:tcW w:w="361" w:type="pct"/>
                  <w:vMerge w:val="continue"/>
                  <w:vAlign w:val="center"/>
                </w:tcPr>
                <w:p w14:paraId="06494130">
                  <w:pPr>
                    <w:pStyle w:val="94"/>
                  </w:pPr>
                </w:p>
              </w:tc>
              <w:tc>
                <w:tcPr>
                  <w:tcW w:w="1110" w:type="pct"/>
                  <w:vAlign w:val="center"/>
                </w:tcPr>
                <w:p w14:paraId="435670FB">
                  <w:pPr>
                    <w:pStyle w:val="94"/>
                  </w:pPr>
                  <w:r>
                    <w:rPr>
                      <w:rStyle w:val="98"/>
                      <w:rFonts w:hint="default"/>
                    </w:rPr>
                    <w:t>瓜胶稠化剂 CJ2-6</w:t>
                  </w:r>
                </w:p>
              </w:tc>
              <w:tc>
                <w:tcPr>
                  <w:tcW w:w="1088" w:type="pct"/>
                  <w:vAlign w:val="center"/>
                </w:tcPr>
                <w:p w14:paraId="66391CE8">
                  <w:pPr>
                    <w:pStyle w:val="94"/>
                  </w:pPr>
                  <w:r>
                    <w:rPr>
                      <w:rFonts w:hint="eastAsia"/>
                    </w:rPr>
                    <w:t>1.8t</w:t>
                  </w:r>
                </w:p>
              </w:tc>
              <w:tc>
                <w:tcPr>
                  <w:tcW w:w="1339" w:type="pct"/>
                  <w:vAlign w:val="center"/>
                </w:tcPr>
                <w:p w14:paraId="3816D450">
                  <w:pPr>
                    <w:pStyle w:val="94"/>
                  </w:pPr>
                  <w:r>
                    <w:rPr>
                      <w:rFonts w:hint="eastAsia"/>
                    </w:rPr>
                    <w:t>外购，汽车运输</w:t>
                  </w:r>
                </w:p>
              </w:tc>
              <w:tc>
                <w:tcPr>
                  <w:tcW w:w="575" w:type="pct"/>
                  <w:vAlign w:val="center"/>
                </w:tcPr>
                <w:p w14:paraId="5EDBC758">
                  <w:pPr>
                    <w:pStyle w:val="94"/>
                  </w:pPr>
                </w:p>
              </w:tc>
            </w:tr>
            <w:tr w14:paraId="040951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27" w:type="pct"/>
                  <w:vMerge w:val="continue"/>
                  <w:vAlign w:val="center"/>
                </w:tcPr>
                <w:p w14:paraId="539B0E78">
                  <w:pPr>
                    <w:pStyle w:val="94"/>
                  </w:pPr>
                </w:p>
              </w:tc>
              <w:tc>
                <w:tcPr>
                  <w:tcW w:w="361" w:type="pct"/>
                  <w:vMerge w:val="continue"/>
                  <w:vAlign w:val="center"/>
                </w:tcPr>
                <w:p w14:paraId="7E86E762">
                  <w:pPr>
                    <w:pStyle w:val="94"/>
                  </w:pPr>
                </w:p>
              </w:tc>
              <w:tc>
                <w:tcPr>
                  <w:tcW w:w="1110" w:type="pct"/>
                  <w:vAlign w:val="center"/>
                </w:tcPr>
                <w:p w14:paraId="186799FB">
                  <w:pPr>
                    <w:pStyle w:val="94"/>
                  </w:pPr>
                  <w:r>
                    <w:rPr>
                      <w:rStyle w:val="98"/>
                      <w:rFonts w:hint="default"/>
                    </w:rPr>
                    <w:t>氯化钾 KCl</w:t>
                  </w:r>
                </w:p>
              </w:tc>
              <w:tc>
                <w:tcPr>
                  <w:tcW w:w="1088" w:type="pct"/>
                  <w:vAlign w:val="center"/>
                </w:tcPr>
                <w:p w14:paraId="598B03EE">
                  <w:pPr>
                    <w:pStyle w:val="94"/>
                  </w:pPr>
                  <w:r>
                    <w:rPr>
                      <w:rFonts w:hint="eastAsia"/>
                    </w:rPr>
                    <w:t>6t</w:t>
                  </w:r>
                </w:p>
              </w:tc>
              <w:tc>
                <w:tcPr>
                  <w:tcW w:w="1339" w:type="pct"/>
                  <w:vAlign w:val="center"/>
                </w:tcPr>
                <w:p w14:paraId="4522A1D2">
                  <w:pPr>
                    <w:pStyle w:val="94"/>
                  </w:pPr>
                  <w:r>
                    <w:rPr>
                      <w:rFonts w:hint="eastAsia"/>
                    </w:rPr>
                    <w:t>外购，汽车运输</w:t>
                  </w:r>
                </w:p>
              </w:tc>
              <w:tc>
                <w:tcPr>
                  <w:tcW w:w="575" w:type="pct"/>
                  <w:vAlign w:val="center"/>
                </w:tcPr>
                <w:p w14:paraId="5CA6BF64">
                  <w:pPr>
                    <w:pStyle w:val="94"/>
                  </w:pPr>
                </w:p>
              </w:tc>
            </w:tr>
            <w:tr w14:paraId="2ACF02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27" w:type="pct"/>
                  <w:vMerge w:val="continue"/>
                  <w:vAlign w:val="center"/>
                </w:tcPr>
                <w:p w14:paraId="60C9E127">
                  <w:pPr>
                    <w:pStyle w:val="94"/>
                  </w:pPr>
                </w:p>
              </w:tc>
              <w:tc>
                <w:tcPr>
                  <w:tcW w:w="361" w:type="pct"/>
                  <w:vMerge w:val="continue"/>
                  <w:vAlign w:val="center"/>
                </w:tcPr>
                <w:p w14:paraId="3BCF7A2C">
                  <w:pPr>
                    <w:pStyle w:val="94"/>
                  </w:pPr>
                </w:p>
              </w:tc>
              <w:tc>
                <w:tcPr>
                  <w:tcW w:w="1110" w:type="pct"/>
                  <w:vAlign w:val="center"/>
                </w:tcPr>
                <w:p w14:paraId="218EBE22">
                  <w:pPr>
                    <w:pStyle w:val="94"/>
                  </w:pPr>
                  <w:r>
                    <w:rPr>
                      <w:rStyle w:val="98"/>
                      <w:rFonts w:hint="default"/>
                    </w:rPr>
                    <w:t>起泡剂 YFP-2</w:t>
                  </w:r>
                </w:p>
              </w:tc>
              <w:tc>
                <w:tcPr>
                  <w:tcW w:w="1088" w:type="pct"/>
                  <w:vAlign w:val="center"/>
                </w:tcPr>
                <w:p w14:paraId="7C20D126">
                  <w:pPr>
                    <w:pStyle w:val="94"/>
                  </w:pPr>
                  <w:r>
                    <w:rPr>
                      <w:rFonts w:hint="eastAsia"/>
                    </w:rPr>
                    <w:t>3t</w:t>
                  </w:r>
                </w:p>
              </w:tc>
              <w:tc>
                <w:tcPr>
                  <w:tcW w:w="1339" w:type="pct"/>
                  <w:vAlign w:val="center"/>
                </w:tcPr>
                <w:p w14:paraId="1204A4DB">
                  <w:pPr>
                    <w:pStyle w:val="94"/>
                  </w:pPr>
                  <w:r>
                    <w:rPr>
                      <w:rFonts w:hint="eastAsia"/>
                    </w:rPr>
                    <w:t>外购，汽车运输</w:t>
                  </w:r>
                </w:p>
              </w:tc>
              <w:tc>
                <w:tcPr>
                  <w:tcW w:w="575" w:type="pct"/>
                  <w:vAlign w:val="center"/>
                </w:tcPr>
                <w:p w14:paraId="57351763">
                  <w:pPr>
                    <w:pStyle w:val="94"/>
                  </w:pPr>
                </w:p>
              </w:tc>
            </w:tr>
            <w:tr w14:paraId="2F1921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27" w:type="pct"/>
                  <w:vMerge w:val="continue"/>
                  <w:vAlign w:val="center"/>
                </w:tcPr>
                <w:p w14:paraId="46B45BAF">
                  <w:pPr>
                    <w:pStyle w:val="94"/>
                  </w:pPr>
                </w:p>
              </w:tc>
              <w:tc>
                <w:tcPr>
                  <w:tcW w:w="361" w:type="pct"/>
                  <w:vMerge w:val="continue"/>
                  <w:vAlign w:val="center"/>
                </w:tcPr>
                <w:p w14:paraId="102E135B">
                  <w:pPr>
                    <w:pStyle w:val="94"/>
                  </w:pPr>
                </w:p>
              </w:tc>
              <w:tc>
                <w:tcPr>
                  <w:tcW w:w="1110" w:type="pct"/>
                  <w:vAlign w:val="center"/>
                </w:tcPr>
                <w:p w14:paraId="52A9482C">
                  <w:pPr>
                    <w:pStyle w:val="94"/>
                  </w:pPr>
                  <w:r>
                    <w:rPr>
                      <w:rStyle w:val="98"/>
                      <w:rFonts w:hint="default"/>
                    </w:rPr>
                    <w:t>气井高效助排剂 TOF-1</w:t>
                  </w:r>
                </w:p>
              </w:tc>
              <w:tc>
                <w:tcPr>
                  <w:tcW w:w="1088" w:type="pct"/>
                  <w:vAlign w:val="center"/>
                </w:tcPr>
                <w:p w14:paraId="4342B014">
                  <w:pPr>
                    <w:pStyle w:val="94"/>
                  </w:pPr>
                  <w:r>
                    <w:rPr>
                      <w:rFonts w:hint="eastAsia"/>
                    </w:rPr>
                    <w:t>1.8t</w:t>
                  </w:r>
                </w:p>
              </w:tc>
              <w:tc>
                <w:tcPr>
                  <w:tcW w:w="1339" w:type="pct"/>
                  <w:vAlign w:val="center"/>
                </w:tcPr>
                <w:p w14:paraId="7069BEE9">
                  <w:pPr>
                    <w:pStyle w:val="94"/>
                  </w:pPr>
                  <w:r>
                    <w:rPr>
                      <w:rFonts w:hint="eastAsia"/>
                    </w:rPr>
                    <w:t>外购，汽车运输</w:t>
                  </w:r>
                </w:p>
              </w:tc>
              <w:tc>
                <w:tcPr>
                  <w:tcW w:w="575" w:type="pct"/>
                  <w:vAlign w:val="center"/>
                </w:tcPr>
                <w:p w14:paraId="23CDF412">
                  <w:pPr>
                    <w:pStyle w:val="94"/>
                  </w:pPr>
                </w:p>
              </w:tc>
            </w:tr>
            <w:tr w14:paraId="783ECB9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27" w:type="pct"/>
                  <w:vMerge w:val="continue"/>
                  <w:vAlign w:val="center"/>
                </w:tcPr>
                <w:p w14:paraId="6C921F6B">
                  <w:pPr>
                    <w:pStyle w:val="94"/>
                  </w:pPr>
                </w:p>
              </w:tc>
              <w:tc>
                <w:tcPr>
                  <w:tcW w:w="361" w:type="pct"/>
                  <w:vMerge w:val="continue"/>
                  <w:vAlign w:val="center"/>
                </w:tcPr>
                <w:p w14:paraId="3CCC2D94">
                  <w:pPr>
                    <w:pStyle w:val="94"/>
                  </w:pPr>
                </w:p>
              </w:tc>
              <w:tc>
                <w:tcPr>
                  <w:tcW w:w="1110" w:type="pct"/>
                  <w:vAlign w:val="center"/>
                </w:tcPr>
                <w:p w14:paraId="7FFD5B35">
                  <w:pPr>
                    <w:pStyle w:val="94"/>
                  </w:pPr>
                  <w:r>
                    <w:rPr>
                      <w:rStyle w:val="98"/>
                      <w:rFonts w:hint="default"/>
                    </w:rPr>
                    <w:t>解水锁助排剂 SFT-10</w:t>
                  </w:r>
                </w:p>
              </w:tc>
              <w:tc>
                <w:tcPr>
                  <w:tcW w:w="1088" w:type="pct"/>
                  <w:vAlign w:val="center"/>
                </w:tcPr>
                <w:p w14:paraId="35A0F54B">
                  <w:pPr>
                    <w:pStyle w:val="94"/>
                  </w:pPr>
                  <w:r>
                    <w:rPr>
                      <w:rFonts w:hint="eastAsia"/>
                    </w:rPr>
                    <w:t>1.8t</w:t>
                  </w:r>
                </w:p>
              </w:tc>
              <w:tc>
                <w:tcPr>
                  <w:tcW w:w="1339" w:type="pct"/>
                  <w:vAlign w:val="center"/>
                </w:tcPr>
                <w:p w14:paraId="7AEF0D98">
                  <w:pPr>
                    <w:pStyle w:val="94"/>
                  </w:pPr>
                  <w:r>
                    <w:rPr>
                      <w:rFonts w:hint="eastAsia"/>
                    </w:rPr>
                    <w:t>外购，汽车运输</w:t>
                  </w:r>
                </w:p>
              </w:tc>
              <w:tc>
                <w:tcPr>
                  <w:tcW w:w="575" w:type="pct"/>
                  <w:vAlign w:val="center"/>
                </w:tcPr>
                <w:p w14:paraId="3FE967C5">
                  <w:pPr>
                    <w:pStyle w:val="94"/>
                  </w:pPr>
                </w:p>
              </w:tc>
            </w:tr>
            <w:tr w14:paraId="386012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27" w:type="pct"/>
                  <w:vMerge w:val="continue"/>
                  <w:vAlign w:val="center"/>
                </w:tcPr>
                <w:p w14:paraId="35543485">
                  <w:pPr>
                    <w:pStyle w:val="94"/>
                  </w:pPr>
                </w:p>
              </w:tc>
              <w:tc>
                <w:tcPr>
                  <w:tcW w:w="361" w:type="pct"/>
                  <w:vMerge w:val="continue"/>
                  <w:vAlign w:val="center"/>
                </w:tcPr>
                <w:p w14:paraId="7A6FACE7">
                  <w:pPr>
                    <w:pStyle w:val="94"/>
                  </w:pPr>
                </w:p>
              </w:tc>
              <w:tc>
                <w:tcPr>
                  <w:tcW w:w="1110" w:type="pct"/>
                  <w:vAlign w:val="center"/>
                </w:tcPr>
                <w:p w14:paraId="29490AE9">
                  <w:pPr>
                    <w:pStyle w:val="94"/>
                  </w:pPr>
                  <w:r>
                    <w:rPr>
                      <w:rStyle w:val="98"/>
                      <w:rFonts w:hint="default"/>
                    </w:rPr>
                    <w:t>杀菌剂 CJSJ-3</w:t>
                  </w:r>
                </w:p>
              </w:tc>
              <w:tc>
                <w:tcPr>
                  <w:tcW w:w="1088" w:type="pct"/>
                  <w:vAlign w:val="center"/>
                </w:tcPr>
                <w:p w14:paraId="7234632F">
                  <w:pPr>
                    <w:pStyle w:val="94"/>
                  </w:pPr>
                  <w:r>
                    <w:rPr>
                      <w:rFonts w:hint="eastAsia"/>
                    </w:rPr>
                    <w:t>0.6t</w:t>
                  </w:r>
                </w:p>
              </w:tc>
              <w:tc>
                <w:tcPr>
                  <w:tcW w:w="1339" w:type="pct"/>
                  <w:vAlign w:val="center"/>
                </w:tcPr>
                <w:p w14:paraId="5ECDFA68">
                  <w:pPr>
                    <w:pStyle w:val="94"/>
                  </w:pPr>
                  <w:r>
                    <w:rPr>
                      <w:rFonts w:hint="eastAsia"/>
                    </w:rPr>
                    <w:t>外购，汽车运输</w:t>
                  </w:r>
                </w:p>
              </w:tc>
              <w:tc>
                <w:tcPr>
                  <w:tcW w:w="575" w:type="pct"/>
                  <w:vAlign w:val="center"/>
                </w:tcPr>
                <w:p w14:paraId="1F0C5D32">
                  <w:pPr>
                    <w:pStyle w:val="94"/>
                  </w:pPr>
                </w:p>
              </w:tc>
            </w:tr>
            <w:tr w14:paraId="5DEE2F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27" w:type="pct"/>
                  <w:vMerge w:val="continue"/>
                  <w:vAlign w:val="center"/>
                </w:tcPr>
                <w:p w14:paraId="62EF8705">
                  <w:pPr>
                    <w:pStyle w:val="94"/>
                  </w:pPr>
                </w:p>
              </w:tc>
              <w:tc>
                <w:tcPr>
                  <w:tcW w:w="361" w:type="pct"/>
                  <w:vMerge w:val="continue"/>
                  <w:vAlign w:val="center"/>
                </w:tcPr>
                <w:p w14:paraId="1A1BB644">
                  <w:pPr>
                    <w:pStyle w:val="94"/>
                  </w:pPr>
                </w:p>
              </w:tc>
              <w:tc>
                <w:tcPr>
                  <w:tcW w:w="1110" w:type="pct"/>
                  <w:vAlign w:val="center"/>
                </w:tcPr>
                <w:p w14:paraId="342C1450">
                  <w:pPr>
                    <w:pStyle w:val="94"/>
                  </w:pPr>
                  <w:r>
                    <w:rPr>
                      <w:rStyle w:val="98"/>
                      <w:rFonts w:hint="default"/>
                    </w:rPr>
                    <w:t>防水锁剂CSF-01</w:t>
                  </w:r>
                </w:p>
              </w:tc>
              <w:tc>
                <w:tcPr>
                  <w:tcW w:w="1088" w:type="pct"/>
                  <w:vAlign w:val="center"/>
                </w:tcPr>
                <w:p w14:paraId="1A141117">
                  <w:pPr>
                    <w:pStyle w:val="94"/>
                  </w:pPr>
                  <w:r>
                    <w:rPr>
                      <w:rFonts w:hint="eastAsia"/>
                    </w:rPr>
                    <w:t>1.8t</w:t>
                  </w:r>
                </w:p>
              </w:tc>
              <w:tc>
                <w:tcPr>
                  <w:tcW w:w="1339" w:type="pct"/>
                  <w:vAlign w:val="center"/>
                </w:tcPr>
                <w:p w14:paraId="0EE05289">
                  <w:pPr>
                    <w:pStyle w:val="94"/>
                  </w:pPr>
                  <w:r>
                    <w:rPr>
                      <w:rFonts w:hint="eastAsia"/>
                    </w:rPr>
                    <w:t>外购，汽车运输</w:t>
                  </w:r>
                </w:p>
              </w:tc>
              <w:tc>
                <w:tcPr>
                  <w:tcW w:w="575" w:type="pct"/>
                  <w:vAlign w:val="center"/>
                </w:tcPr>
                <w:p w14:paraId="4ECB0791">
                  <w:pPr>
                    <w:pStyle w:val="94"/>
                  </w:pPr>
                </w:p>
              </w:tc>
            </w:tr>
            <w:tr w14:paraId="053505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27" w:type="pct"/>
                  <w:vMerge w:val="continue"/>
                  <w:vAlign w:val="center"/>
                </w:tcPr>
                <w:p w14:paraId="2F4D0CC8">
                  <w:pPr>
                    <w:pStyle w:val="94"/>
                  </w:pPr>
                </w:p>
              </w:tc>
              <w:tc>
                <w:tcPr>
                  <w:tcW w:w="361" w:type="pct"/>
                  <w:vMerge w:val="continue"/>
                  <w:vAlign w:val="center"/>
                </w:tcPr>
                <w:p w14:paraId="39F00F2D">
                  <w:pPr>
                    <w:pStyle w:val="94"/>
                  </w:pPr>
                </w:p>
              </w:tc>
              <w:tc>
                <w:tcPr>
                  <w:tcW w:w="1110" w:type="pct"/>
                  <w:vAlign w:val="center"/>
                </w:tcPr>
                <w:p w14:paraId="498305DE">
                  <w:pPr>
                    <w:pStyle w:val="94"/>
                  </w:pPr>
                  <w:r>
                    <w:rPr>
                      <w:rStyle w:val="98"/>
                      <w:rFonts w:hint="default"/>
                    </w:rPr>
                    <w:t>粘土稳定剂 TOS-1</w:t>
                  </w:r>
                </w:p>
              </w:tc>
              <w:tc>
                <w:tcPr>
                  <w:tcW w:w="1088" w:type="pct"/>
                  <w:vAlign w:val="center"/>
                </w:tcPr>
                <w:p w14:paraId="4284EB4B">
                  <w:pPr>
                    <w:pStyle w:val="94"/>
                  </w:pPr>
                  <w:r>
                    <w:rPr>
                      <w:rFonts w:hint="eastAsia"/>
                    </w:rPr>
                    <w:t>1.8t</w:t>
                  </w:r>
                </w:p>
              </w:tc>
              <w:tc>
                <w:tcPr>
                  <w:tcW w:w="1339" w:type="pct"/>
                  <w:vAlign w:val="center"/>
                </w:tcPr>
                <w:p w14:paraId="00436754">
                  <w:pPr>
                    <w:pStyle w:val="94"/>
                  </w:pPr>
                  <w:r>
                    <w:rPr>
                      <w:rFonts w:hint="eastAsia"/>
                    </w:rPr>
                    <w:t>外购，汽车运输</w:t>
                  </w:r>
                </w:p>
              </w:tc>
              <w:tc>
                <w:tcPr>
                  <w:tcW w:w="575" w:type="pct"/>
                  <w:vAlign w:val="center"/>
                </w:tcPr>
                <w:p w14:paraId="34DFB524">
                  <w:pPr>
                    <w:pStyle w:val="94"/>
                  </w:pPr>
                </w:p>
              </w:tc>
            </w:tr>
            <w:tr w14:paraId="5621D9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27" w:type="pct"/>
                  <w:vMerge w:val="continue"/>
                  <w:vAlign w:val="center"/>
                </w:tcPr>
                <w:p w14:paraId="1E09D192">
                  <w:pPr>
                    <w:pStyle w:val="94"/>
                  </w:pPr>
                </w:p>
              </w:tc>
              <w:tc>
                <w:tcPr>
                  <w:tcW w:w="361" w:type="pct"/>
                  <w:vMerge w:val="continue"/>
                  <w:vAlign w:val="center"/>
                </w:tcPr>
                <w:p w14:paraId="79B98EA0">
                  <w:pPr>
                    <w:pStyle w:val="94"/>
                  </w:pPr>
                </w:p>
              </w:tc>
              <w:tc>
                <w:tcPr>
                  <w:tcW w:w="1110" w:type="pct"/>
                  <w:vAlign w:val="center"/>
                </w:tcPr>
                <w:p w14:paraId="5EA17FFE">
                  <w:pPr>
                    <w:pStyle w:val="94"/>
                  </w:pPr>
                  <w:r>
                    <w:rPr>
                      <w:rStyle w:val="98"/>
                      <w:rFonts w:hint="default"/>
                    </w:rPr>
                    <w:t>交联剂JL-13</w:t>
                  </w:r>
                </w:p>
              </w:tc>
              <w:tc>
                <w:tcPr>
                  <w:tcW w:w="1088" w:type="pct"/>
                  <w:vAlign w:val="center"/>
                </w:tcPr>
                <w:p w14:paraId="74B81474">
                  <w:pPr>
                    <w:pStyle w:val="94"/>
                  </w:pPr>
                  <w:r>
                    <w:rPr>
                      <w:rFonts w:hint="eastAsia"/>
                    </w:rPr>
                    <w:t>1.8t</w:t>
                  </w:r>
                </w:p>
              </w:tc>
              <w:tc>
                <w:tcPr>
                  <w:tcW w:w="1339" w:type="pct"/>
                  <w:vAlign w:val="center"/>
                </w:tcPr>
                <w:p w14:paraId="54F59688">
                  <w:pPr>
                    <w:pStyle w:val="94"/>
                  </w:pPr>
                  <w:r>
                    <w:rPr>
                      <w:rFonts w:hint="eastAsia"/>
                    </w:rPr>
                    <w:t>外购，汽车运输</w:t>
                  </w:r>
                </w:p>
              </w:tc>
              <w:tc>
                <w:tcPr>
                  <w:tcW w:w="575" w:type="pct"/>
                  <w:vAlign w:val="center"/>
                </w:tcPr>
                <w:p w14:paraId="6C9CCAED">
                  <w:pPr>
                    <w:pStyle w:val="94"/>
                  </w:pPr>
                </w:p>
              </w:tc>
            </w:tr>
            <w:tr w14:paraId="3C4FA6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27" w:type="pct"/>
                  <w:vMerge w:val="continue"/>
                  <w:vAlign w:val="center"/>
                </w:tcPr>
                <w:p w14:paraId="7D50ECC0">
                  <w:pPr>
                    <w:pStyle w:val="94"/>
                  </w:pPr>
                </w:p>
              </w:tc>
              <w:tc>
                <w:tcPr>
                  <w:tcW w:w="361" w:type="pct"/>
                  <w:vMerge w:val="continue"/>
                  <w:vAlign w:val="center"/>
                </w:tcPr>
                <w:p w14:paraId="24976C9A">
                  <w:pPr>
                    <w:pStyle w:val="94"/>
                  </w:pPr>
                </w:p>
              </w:tc>
              <w:tc>
                <w:tcPr>
                  <w:tcW w:w="1110" w:type="pct"/>
                  <w:vAlign w:val="center"/>
                </w:tcPr>
                <w:p w14:paraId="602E0452">
                  <w:pPr>
                    <w:pStyle w:val="94"/>
                  </w:pPr>
                  <w:r>
                    <w:rPr>
                      <w:rStyle w:val="98"/>
                      <w:rFonts w:hint="default"/>
                    </w:rPr>
                    <w:t>促进剂 TJ-1</w:t>
                  </w:r>
                </w:p>
              </w:tc>
              <w:tc>
                <w:tcPr>
                  <w:tcW w:w="1088" w:type="pct"/>
                  <w:vAlign w:val="center"/>
                </w:tcPr>
                <w:p w14:paraId="6068965A">
                  <w:pPr>
                    <w:pStyle w:val="94"/>
                  </w:pPr>
                  <w:r>
                    <w:rPr>
                      <w:rFonts w:hint="eastAsia"/>
                    </w:rPr>
                    <w:t>0.6t</w:t>
                  </w:r>
                </w:p>
              </w:tc>
              <w:tc>
                <w:tcPr>
                  <w:tcW w:w="1339" w:type="pct"/>
                  <w:vAlign w:val="center"/>
                </w:tcPr>
                <w:p w14:paraId="275CEF5C">
                  <w:pPr>
                    <w:pStyle w:val="94"/>
                  </w:pPr>
                  <w:r>
                    <w:rPr>
                      <w:rFonts w:hint="eastAsia"/>
                    </w:rPr>
                    <w:t>外购，汽车运输</w:t>
                  </w:r>
                </w:p>
              </w:tc>
              <w:tc>
                <w:tcPr>
                  <w:tcW w:w="575" w:type="pct"/>
                  <w:vAlign w:val="center"/>
                </w:tcPr>
                <w:p w14:paraId="33576F25">
                  <w:pPr>
                    <w:pStyle w:val="94"/>
                  </w:pPr>
                </w:p>
              </w:tc>
            </w:tr>
            <w:tr w14:paraId="7AC60E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27" w:type="pct"/>
                  <w:vMerge w:val="continue"/>
                  <w:vAlign w:val="center"/>
                </w:tcPr>
                <w:p w14:paraId="21ECCFA9">
                  <w:pPr>
                    <w:pStyle w:val="94"/>
                  </w:pPr>
                </w:p>
              </w:tc>
              <w:tc>
                <w:tcPr>
                  <w:tcW w:w="361" w:type="pct"/>
                  <w:vMerge w:val="continue"/>
                  <w:vAlign w:val="center"/>
                </w:tcPr>
                <w:p w14:paraId="14E74A6F">
                  <w:pPr>
                    <w:pStyle w:val="94"/>
                  </w:pPr>
                </w:p>
              </w:tc>
              <w:tc>
                <w:tcPr>
                  <w:tcW w:w="1110" w:type="pct"/>
                  <w:vAlign w:val="center"/>
                </w:tcPr>
                <w:p w14:paraId="081F351B">
                  <w:pPr>
                    <w:pStyle w:val="94"/>
                  </w:pPr>
                  <w:r>
                    <w:rPr>
                      <w:rStyle w:val="98"/>
                      <w:rFonts w:hint="default"/>
                    </w:rPr>
                    <w:t>低温激活剂 CSP-01</w:t>
                  </w:r>
                </w:p>
              </w:tc>
              <w:tc>
                <w:tcPr>
                  <w:tcW w:w="1088" w:type="pct"/>
                  <w:vAlign w:val="center"/>
                </w:tcPr>
                <w:p w14:paraId="304509CD">
                  <w:pPr>
                    <w:pStyle w:val="94"/>
                  </w:pPr>
                  <w:r>
                    <w:rPr>
                      <w:rFonts w:hint="eastAsia"/>
                    </w:rPr>
                    <w:t>0.6t</w:t>
                  </w:r>
                </w:p>
              </w:tc>
              <w:tc>
                <w:tcPr>
                  <w:tcW w:w="1339" w:type="pct"/>
                  <w:vAlign w:val="center"/>
                </w:tcPr>
                <w:p w14:paraId="6395D1C4">
                  <w:pPr>
                    <w:pStyle w:val="94"/>
                  </w:pPr>
                  <w:r>
                    <w:rPr>
                      <w:rFonts w:hint="eastAsia"/>
                    </w:rPr>
                    <w:t>外购，汽车运输</w:t>
                  </w:r>
                </w:p>
              </w:tc>
              <w:tc>
                <w:tcPr>
                  <w:tcW w:w="575" w:type="pct"/>
                  <w:vAlign w:val="center"/>
                </w:tcPr>
                <w:p w14:paraId="059D334F">
                  <w:pPr>
                    <w:pStyle w:val="94"/>
                  </w:pPr>
                </w:p>
              </w:tc>
            </w:tr>
            <w:tr w14:paraId="4992B2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27" w:type="pct"/>
                  <w:vMerge w:val="continue"/>
                  <w:vAlign w:val="center"/>
                </w:tcPr>
                <w:p w14:paraId="05D36160">
                  <w:pPr>
                    <w:pStyle w:val="94"/>
                  </w:pPr>
                </w:p>
              </w:tc>
              <w:tc>
                <w:tcPr>
                  <w:tcW w:w="361" w:type="pct"/>
                  <w:vMerge w:val="continue"/>
                  <w:vAlign w:val="center"/>
                </w:tcPr>
                <w:p w14:paraId="194B5082">
                  <w:pPr>
                    <w:pStyle w:val="94"/>
                  </w:pPr>
                </w:p>
              </w:tc>
              <w:tc>
                <w:tcPr>
                  <w:tcW w:w="1110" w:type="pct"/>
                  <w:vAlign w:val="center"/>
                </w:tcPr>
                <w:p w14:paraId="795C3A47">
                  <w:pPr>
                    <w:pStyle w:val="94"/>
                  </w:pPr>
                  <w:r>
                    <w:rPr>
                      <w:rStyle w:val="98"/>
                      <w:rFonts w:hint="default"/>
                    </w:rPr>
                    <w:t>水化剂 APS</w:t>
                  </w:r>
                </w:p>
              </w:tc>
              <w:tc>
                <w:tcPr>
                  <w:tcW w:w="1088" w:type="pct"/>
                  <w:vAlign w:val="center"/>
                </w:tcPr>
                <w:p w14:paraId="6234B8B1">
                  <w:pPr>
                    <w:pStyle w:val="94"/>
                  </w:pPr>
                  <w:r>
                    <w:rPr>
                      <w:rFonts w:hint="eastAsia"/>
                    </w:rPr>
                    <w:t>0.3t</w:t>
                  </w:r>
                </w:p>
              </w:tc>
              <w:tc>
                <w:tcPr>
                  <w:tcW w:w="1339" w:type="pct"/>
                  <w:vAlign w:val="center"/>
                </w:tcPr>
                <w:p w14:paraId="1B9E44BB">
                  <w:pPr>
                    <w:pStyle w:val="94"/>
                  </w:pPr>
                  <w:r>
                    <w:rPr>
                      <w:rFonts w:hint="eastAsia"/>
                    </w:rPr>
                    <w:t>外购，汽车运输</w:t>
                  </w:r>
                </w:p>
              </w:tc>
              <w:tc>
                <w:tcPr>
                  <w:tcW w:w="575" w:type="pct"/>
                  <w:vAlign w:val="center"/>
                </w:tcPr>
                <w:p w14:paraId="21BF7907">
                  <w:pPr>
                    <w:pStyle w:val="94"/>
                  </w:pPr>
                </w:p>
              </w:tc>
            </w:tr>
            <w:tr w14:paraId="573663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27" w:type="pct"/>
                  <w:vMerge w:val="continue"/>
                  <w:vAlign w:val="center"/>
                </w:tcPr>
                <w:p w14:paraId="1AC5B804">
                  <w:pPr>
                    <w:pStyle w:val="94"/>
                  </w:pPr>
                </w:p>
              </w:tc>
              <w:tc>
                <w:tcPr>
                  <w:tcW w:w="361" w:type="pct"/>
                  <w:vMerge w:val="continue"/>
                  <w:vAlign w:val="center"/>
                </w:tcPr>
                <w:p w14:paraId="2E3136D7">
                  <w:pPr>
                    <w:pStyle w:val="94"/>
                  </w:pPr>
                </w:p>
              </w:tc>
              <w:tc>
                <w:tcPr>
                  <w:tcW w:w="1110" w:type="pct"/>
                  <w:vAlign w:val="center"/>
                </w:tcPr>
                <w:p w14:paraId="3111913A">
                  <w:pPr>
                    <w:pStyle w:val="94"/>
                  </w:pPr>
                  <w:r>
                    <w:rPr>
                      <w:rStyle w:val="98"/>
                      <w:rFonts w:hint="default"/>
                    </w:rPr>
                    <w:t>生物酶 BBK100</w:t>
                  </w:r>
                </w:p>
              </w:tc>
              <w:tc>
                <w:tcPr>
                  <w:tcW w:w="1088" w:type="pct"/>
                  <w:vAlign w:val="center"/>
                </w:tcPr>
                <w:p w14:paraId="09FD1D9D">
                  <w:pPr>
                    <w:pStyle w:val="94"/>
                  </w:pPr>
                  <w:r>
                    <w:rPr>
                      <w:rFonts w:hint="eastAsia"/>
                    </w:rPr>
                    <w:t>1.8t</w:t>
                  </w:r>
                </w:p>
              </w:tc>
              <w:tc>
                <w:tcPr>
                  <w:tcW w:w="1339" w:type="pct"/>
                  <w:vAlign w:val="center"/>
                </w:tcPr>
                <w:p w14:paraId="4E65C4B6">
                  <w:pPr>
                    <w:pStyle w:val="94"/>
                  </w:pPr>
                  <w:r>
                    <w:rPr>
                      <w:rFonts w:hint="eastAsia"/>
                    </w:rPr>
                    <w:t>外购，汽车运输</w:t>
                  </w:r>
                </w:p>
              </w:tc>
              <w:tc>
                <w:tcPr>
                  <w:tcW w:w="575" w:type="pct"/>
                  <w:vAlign w:val="center"/>
                </w:tcPr>
                <w:p w14:paraId="31384832">
                  <w:pPr>
                    <w:pStyle w:val="94"/>
                  </w:pPr>
                </w:p>
              </w:tc>
            </w:tr>
            <w:tr w14:paraId="3F005F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27" w:type="pct"/>
                  <w:vMerge w:val="continue"/>
                  <w:vAlign w:val="center"/>
                </w:tcPr>
                <w:p w14:paraId="5A1AFBA7">
                  <w:pPr>
                    <w:pStyle w:val="94"/>
                  </w:pPr>
                </w:p>
              </w:tc>
              <w:tc>
                <w:tcPr>
                  <w:tcW w:w="361" w:type="pct"/>
                  <w:vMerge w:val="continue"/>
                  <w:vAlign w:val="center"/>
                </w:tcPr>
                <w:p w14:paraId="58351367">
                  <w:pPr>
                    <w:pStyle w:val="94"/>
                  </w:pPr>
                </w:p>
              </w:tc>
              <w:tc>
                <w:tcPr>
                  <w:tcW w:w="1110" w:type="pct"/>
                  <w:vAlign w:val="center"/>
                </w:tcPr>
                <w:p w14:paraId="0736392D">
                  <w:pPr>
                    <w:pStyle w:val="94"/>
                  </w:pPr>
                  <w:r>
                    <w:rPr>
                      <w:rStyle w:val="98"/>
                      <w:rFonts w:hint="default"/>
                    </w:rPr>
                    <w:t>过硫酸铵</w:t>
                  </w:r>
                </w:p>
              </w:tc>
              <w:tc>
                <w:tcPr>
                  <w:tcW w:w="1088" w:type="pct"/>
                  <w:vAlign w:val="center"/>
                </w:tcPr>
                <w:p w14:paraId="463C3642">
                  <w:pPr>
                    <w:pStyle w:val="94"/>
                  </w:pPr>
                  <w:r>
                    <w:rPr>
                      <w:rFonts w:hint="eastAsia"/>
                    </w:rPr>
                    <w:t>6t</w:t>
                  </w:r>
                </w:p>
              </w:tc>
              <w:tc>
                <w:tcPr>
                  <w:tcW w:w="1339" w:type="pct"/>
                  <w:vAlign w:val="center"/>
                </w:tcPr>
                <w:p w14:paraId="0EFA63B0">
                  <w:pPr>
                    <w:pStyle w:val="94"/>
                  </w:pPr>
                  <w:r>
                    <w:rPr>
                      <w:rFonts w:hint="eastAsia"/>
                    </w:rPr>
                    <w:t>外购，汽车运输</w:t>
                  </w:r>
                </w:p>
              </w:tc>
              <w:tc>
                <w:tcPr>
                  <w:tcW w:w="575" w:type="pct"/>
                  <w:vAlign w:val="center"/>
                </w:tcPr>
                <w:p w14:paraId="36CF0505">
                  <w:pPr>
                    <w:pStyle w:val="94"/>
                  </w:pPr>
                </w:p>
              </w:tc>
            </w:tr>
            <w:tr w14:paraId="04199F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27" w:type="pct"/>
                  <w:vMerge w:val="continue"/>
                  <w:vAlign w:val="center"/>
                </w:tcPr>
                <w:p w14:paraId="31C31FA6">
                  <w:pPr>
                    <w:pStyle w:val="94"/>
                  </w:pPr>
                </w:p>
              </w:tc>
              <w:tc>
                <w:tcPr>
                  <w:tcW w:w="361" w:type="pct"/>
                  <w:vMerge w:val="continue"/>
                  <w:vAlign w:val="center"/>
                </w:tcPr>
                <w:p w14:paraId="25A1EF35">
                  <w:pPr>
                    <w:pStyle w:val="94"/>
                  </w:pPr>
                </w:p>
              </w:tc>
              <w:tc>
                <w:tcPr>
                  <w:tcW w:w="1110" w:type="pct"/>
                  <w:vAlign w:val="center"/>
                </w:tcPr>
                <w:p w14:paraId="50629E2B">
                  <w:pPr>
                    <w:pStyle w:val="94"/>
                  </w:pPr>
                  <w:r>
                    <w:rPr>
                      <w:rStyle w:val="98"/>
                      <w:rFonts w:hint="default"/>
                    </w:rPr>
                    <w:t>胶囊破胶剂</w:t>
                  </w:r>
                </w:p>
              </w:tc>
              <w:tc>
                <w:tcPr>
                  <w:tcW w:w="1088" w:type="pct"/>
                  <w:vAlign w:val="center"/>
                </w:tcPr>
                <w:p w14:paraId="725AB042">
                  <w:pPr>
                    <w:pStyle w:val="94"/>
                  </w:pPr>
                  <w:r>
                    <w:rPr>
                      <w:rFonts w:hint="eastAsia"/>
                    </w:rPr>
                    <w:t>3t</w:t>
                  </w:r>
                </w:p>
              </w:tc>
              <w:tc>
                <w:tcPr>
                  <w:tcW w:w="1339" w:type="pct"/>
                  <w:vAlign w:val="center"/>
                </w:tcPr>
                <w:p w14:paraId="1C28CF9C">
                  <w:pPr>
                    <w:pStyle w:val="94"/>
                  </w:pPr>
                  <w:r>
                    <w:rPr>
                      <w:rFonts w:hint="eastAsia"/>
                    </w:rPr>
                    <w:t>外购，汽车运输</w:t>
                  </w:r>
                </w:p>
              </w:tc>
              <w:tc>
                <w:tcPr>
                  <w:tcW w:w="575" w:type="pct"/>
                  <w:vAlign w:val="center"/>
                </w:tcPr>
                <w:p w14:paraId="64B1626B">
                  <w:pPr>
                    <w:pStyle w:val="94"/>
                  </w:pPr>
                </w:p>
              </w:tc>
            </w:tr>
            <w:tr w14:paraId="1234CE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27" w:type="pct"/>
                  <w:vMerge w:val="continue"/>
                  <w:vAlign w:val="center"/>
                </w:tcPr>
                <w:p w14:paraId="34E11AC5">
                  <w:pPr>
                    <w:pStyle w:val="94"/>
                  </w:pPr>
                </w:p>
              </w:tc>
              <w:tc>
                <w:tcPr>
                  <w:tcW w:w="1471" w:type="pct"/>
                  <w:gridSpan w:val="2"/>
                  <w:vAlign w:val="center"/>
                </w:tcPr>
                <w:p w14:paraId="3ACCB888">
                  <w:pPr>
                    <w:pStyle w:val="94"/>
                  </w:pPr>
                  <w:r>
                    <w:rPr>
                      <w:rFonts w:hint="eastAsia"/>
                    </w:rPr>
                    <w:t>压裂支撑剂</w:t>
                  </w:r>
                </w:p>
              </w:tc>
              <w:tc>
                <w:tcPr>
                  <w:tcW w:w="1088" w:type="pct"/>
                  <w:vAlign w:val="center"/>
                </w:tcPr>
                <w:p w14:paraId="5ACFFF63">
                  <w:pPr>
                    <w:pStyle w:val="94"/>
                  </w:pPr>
                  <w:r>
                    <w:rPr>
                      <w:rFonts w:hint="eastAsia"/>
                    </w:rPr>
                    <w:t>84m</w:t>
                  </w:r>
                  <w:r>
                    <w:rPr>
                      <w:rFonts w:hint="eastAsia"/>
                      <w:vertAlign w:val="superscript"/>
                    </w:rPr>
                    <w:t>3</w:t>
                  </w:r>
                  <w:r>
                    <w:rPr>
                      <w:rFonts w:hint="eastAsia"/>
                    </w:rPr>
                    <w:t>/口井</w:t>
                  </w:r>
                </w:p>
              </w:tc>
              <w:tc>
                <w:tcPr>
                  <w:tcW w:w="1339" w:type="pct"/>
                  <w:vAlign w:val="center"/>
                </w:tcPr>
                <w:p w14:paraId="78856BD4">
                  <w:pPr>
                    <w:pStyle w:val="94"/>
                  </w:pPr>
                  <w:r>
                    <w:rPr>
                      <w:rFonts w:hint="eastAsia"/>
                    </w:rPr>
                    <w:t>外购，汽车运输</w:t>
                  </w:r>
                </w:p>
              </w:tc>
              <w:tc>
                <w:tcPr>
                  <w:tcW w:w="575" w:type="pct"/>
                  <w:vAlign w:val="center"/>
                </w:tcPr>
                <w:p w14:paraId="31868F50">
                  <w:pPr>
                    <w:pStyle w:val="94"/>
                  </w:pPr>
                  <w:r>
                    <w:rPr>
                      <w:rFonts w:hint="eastAsia"/>
                    </w:rPr>
                    <w:t>石英砂</w:t>
                  </w:r>
                  <w:r>
                    <w:t>或陶粒</w:t>
                  </w:r>
                </w:p>
              </w:tc>
            </w:tr>
            <w:tr w14:paraId="3C9378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27" w:type="pct"/>
                  <w:vAlign w:val="center"/>
                </w:tcPr>
                <w:p w14:paraId="0ED36D5A">
                  <w:pPr>
                    <w:pStyle w:val="94"/>
                  </w:pPr>
                  <w:r>
                    <w:rPr>
                      <w:rFonts w:hint="eastAsia"/>
                    </w:rPr>
                    <w:t>钻、完井</w:t>
                  </w:r>
                </w:p>
              </w:tc>
              <w:tc>
                <w:tcPr>
                  <w:tcW w:w="1471" w:type="pct"/>
                  <w:gridSpan w:val="2"/>
                  <w:vAlign w:val="center"/>
                </w:tcPr>
                <w:p w14:paraId="6016C81F">
                  <w:pPr>
                    <w:pStyle w:val="94"/>
                  </w:pPr>
                  <w:r>
                    <w:rPr>
                      <w:rFonts w:hint="eastAsia"/>
                    </w:rPr>
                    <w:t>柴油</w:t>
                  </w:r>
                </w:p>
              </w:tc>
              <w:tc>
                <w:tcPr>
                  <w:tcW w:w="1088" w:type="pct"/>
                  <w:vAlign w:val="center"/>
                </w:tcPr>
                <w:p w14:paraId="65083077">
                  <w:pPr>
                    <w:pStyle w:val="94"/>
                  </w:pPr>
                  <w:r>
                    <w:rPr>
                      <w:rFonts w:hint="eastAsia"/>
                    </w:rPr>
                    <w:t>1</w:t>
                  </w:r>
                  <w:r>
                    <w:t>t/</w:t>
                  </w:r>
                  <w:r>
                    <w:rPr>
                      <w:rFonts w:hint="eastAsia"/>
                    </w:rPr>
                    <w:t>口</w:t>
                  </w:r>
                </w:p>
              </w:tc>
              <w:tc>
                <w:tcPr>
                  <w:tcW w:w="1339" w:type="pct"/>
                  <w:vAlign w:val="center"/>
                </w:tcPr>
                <w:p w14:paraId="063831F5">
                  <w:pPr>
                    <w:pStyle w:val="94"/>
                  </w:pPr>
                  <w:r>
                    <w:rPr>
                      <w:rFonts w:hint="eastAsia"/>
                    </w:rPr>
                    <w:t>外购，罐车运输</w:t>
                  </w:r>
                </w:p>
              </w:tc>
              <w:tc>
                <w:tcPr>
                  <w:tcW w:w="575" w:type="pct"/>
                  <w:vAlign w:val="center"/>
                </w:tcPr>
                <w:p w14:paraId="34E1269F">
                  <w:pPr>
                    <w:pStyle w:val="94"/>
                  </w:pPr>
                  <w:r>
                    <w:rPr>
                      <w:rFonts w:hint="eastAsia"/>
                    </w:rPr>
                    <w:t>井场设柴油储罐</w:t>
                  </w:r>
                </w:p>
              </w:tc>
            </w:tr>
            <w:tr w14:paraId="1056FD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27" w:type="pct"/>
                  <w:vAlign w:val="center"/>
                </w:tcPr>
                <w:p w14:paraId="0080DA0E">
                  <w:pPr>
                    <w:pStyle w:val="94"/>
                  </w:pPr>
                  <w:r>
                    <w:rPr>
                      <w:rFonts w:hint="eastAsia"/>
                    </w:rPr>
                    <w:t>固井</w:t>
                  </w:r>
                </w:p>
              </w:tc>
              <w:tc>
                <w:tcPr>
                  <w:tcW w:w="1471" w:type="pct"/>
                  <w:gridSpan w:val="2"/>
                  <w:vAlign w:val="center"/>
                </w:tcPr>
                <w:p w14:paraId="6A39EB61">
                  <w:pPr>
                    <w:pStyle w:val="94"/>
                  </w:pPr>
                  <w:r>
                    <w:rPr>
                      <w:rFonts w:hint="eastAsia"/>
                    </w:rPr>
                    <w:t>水泥</w:t>
                  </w:r>
                </w:p>
              </w:tc>
              <w:tc>
                <w:tcPr>
                  <w:tcW w:w="1088" w:type="pct"/>
                  <w:vAlign w:val="center"/>
                </w:tcPr>
                <w:p w14:paraId="4B07CD18">
                  <w:pPr>
                    <w:pStyle w:val="94"/>
                  </w:pPr>
                  <w:r>
                    <w:rPr>
                      <w:rFonts w:hint="eastAsia"/>
                    </w:rPr>
                    <w:t>14</w:t>
                  </w:r>
                  <w:r>
                    <w:t>t/</w:t>
                  </w:r>
                  <w:r>
                    <w:rPr>
                      <w:rFonts w:hint="eastAsia"/>
                    </w:rPr>
                    <w:t>井</w:t>
                  </w:r>
                </w:p>
              </w:tc>
              <w:tc>
                <w:tcPr>
                  <w:tcW w:w="1339" w:type="pct"/>
                  <w:vAlign w:val="center"/>
                </w:tcPr>
                <w:p w14:paraId="0553E365">
                  <w:pPr>
                    <w:pStyle w:val="94"/>
                  </w:pPr>
                  <w:r>
                    <w:rPr>
                      <w:rFonts w:hint="eastAsia"/>
                    </w:rPr>
                    <w:t>外购，汽车运输</w:t>
                  </w:r>
                </w:p>
              </w:tc>
              <w:tc>
                <w:tcPr>
                  <w:tcW w:w="575" w:type="pct"/>
                  <w:vAlign w:val="center"/>
                </w:tcPr>
                <w:p w14:paraId="7E474CB7">
                  <w:pPr>
                    <w:pStyle w:val="94"/>
                  </w:pPr>
                  <w:r>
                    <w:rPr>
                      <w:rFonts w:hint="eastAsia"/>
                    </w:rPr>
                    <w:t>/</w:t>
                  </w:r>
                </w:p>
              </w:tc>
            </w:tr>
          </w:tbl>
          <w:p w14:paraId="7437674A">
            <w:pPr>
              <w:pStyle w:val="96"/>
              <w:ind w:firstLine="480"/>
            </w:pPr>
            <w:r>
              <w:rPr>
                <w:rFonts w:hint="eastAsia"/>
              </w:rPr>
              <w:t>（7）工作制度及劳动定员</w:t>
            </w:r>
          </w:p>
          <w:p w14:paraId="0C82743A">
            <w:pPr>
              <w:pStyle w:val="96"/>
              <w:ind w:firstLine="480"/>
            </w:pPr>
            <w:r>
              <w:rPr>
                <w:rFonts w:hint="eastAsia"/>
              </w:rPr>
              <w:t>①钻井期和完井期</w:t>
            </w:r>
          </w:p>
          <w:p w14:paraId="03B18FBE">
            <w:pPr>
              <w:pStyle w:val="96"/>
              <w:ind w:firstLine="480"/>
            </w:pPr>
            <w:r>
              <w:rPr>
                <w:rFonts w:hint="eastAsia"/>
              </w:rPr>
              <w:t>本项目因地制宜地选择施工季节，尽量避开农作物的生长和收获期，减少农业当季损失。单口直井/</w:t>
            </w:r>
            <w:r>
              <w:t>定向井</w:t>
            </w:r>
            <w:r>
              <w:rPr>
                <w:rFonts w:hint="eastAsia"/>
              </w:rPr>
              <w:t>钻井期约18天，完井期（压准、压裂）19天。实行3班制，每班8小时。单个井场劳动定员20人。</w:t>
            </w:r>
          </w:p>
          <w:p w14:paraId="4DE4281E">
            <w:pPr>
              <w:pStyle w:val="96"/>
              <w:ind w:firstLine="480"/>
            </w:pPr>
            <w:r>
              <w:rPr>
                <w:rFonts w:hint="eastAsia"/>
              </w:rPr>
              <w:t>②试气期</w:t>
            </w:r>
          </w:p>
          <w:p w14:paraId="44E3D44D">
            <w:pPr>
              <w:pStyle w:val="96"/>
              <w:ind w:firstLine="480"/>
            </w:pPr>
            <w:r>
              <w:rPr>
                <w:rFonts w:hint="eastAsia"/>
              </w:rPr>
              <w:t>本项目单口</w:t>
            </w:r>
            <w:r>
              <w:t>井</w:t>
            </w:r>
            <w:r>
              <w:rPr>
                <w:rFonts w:hint="eastAsia"/>
              </w:rPr>
              <w:t>试气期60天，每天24小时工作。试气期实行3班制，每班8小时。单个井场劳动定员20人。</w:t>
            </w:r>
          </w:p>
          <w:p w14:paraId="2CEF0401">
            <w:pPr>
              <w:pStyle w:val="96"/>
              <w:ind w:firstLine="480"/>
            </w:pPr>
            <w:r>
              <w:rPr>
                <w:rFonts w:hint="eastAsia"/>
              </w:rPr>
              <w:t>③本项目施工计划</w:t>
            </w:r>
          </w:p>
          <w:p w14:paraId="1A1B9394">
            <w:pPr>
              <w:pStyle w:val="19"/>
              <w:keepNext/>
            </w:pPr>
            <w:bookmarkStart w:id="30" w:name="_Ref169210096"/>
            <w:bookmarkStart w:id="31" w:name="_Ref169210091"/>
            <w:r>
              <w:t xml:space="preserve">表 </w:t>
            </w:r>
            <w:r>
              <w:fldChar w:fldCharType="begin"/>
            </w:r>
            <w:r>
              <w:instrText xml:space="preserve"> SEQ 表 \* ARABIC </w:instrText>
            </w:r>
            <w:r>
              <w:fldChar w:fldCharType="separate"/>
            </w:r>
            <w:r>
              <w:t>15</w:t>
            </w:r>
            <w:r>
              <w:fldChar w:fldCharType="end"/>
            </w:r>
            <w:bookmarkEnd w:id="30"/>
            <w:r>
              <w:rPr>
                <w:rFonts w:hint="eastAsia"/>
              </w:rPr>
              <w:t>项目施工计划</w:t>
            </w:r>
            <w:bookmarkEnd w:id="31"/>
          </w:p>
          <w:tbl>
            <w:tblPr>
              <w:tblStyle w:val="114"/>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90"/>
              <w:gridCol w:w="1703"/>
              <w:gridCol w:w="1703"/>
              <w:gridCol w:w="1703"/>
              <w:gridCol w:w="1667"/>
            </w:tblGrid>
            <w:tr w14:paraId="58FC35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98" w:type="pct"/>
                  <w:vAlign w:val="center"/>
                </w:tcPr>
                <w:p w14:paraId="2E109AD7">
                  <w:pPr>
                    <w:pStyle w:val="94"/>
                    <w:rPr>
                      <w:kern w:val="2"/>
                    </w:rPr>
                  </w:pPr>
                  <w:r>
                    <w:rPr>
                      <w:rFonts w:hint="eastAsia"/>
                    </w:rPr>
                    <w:t>时间</w:t>
                  </w:r>
                </w:p>
              </w:tc>
              <w:tc>
                <w:tcPr>
                  <w:tcW w:w="1006" w:type="pct"/>
                  <w:vAlign w:val="center"/>
                </w:tcPr>
                <w:p w14:paraId="4E10E586">
                  <w:pPr>
                    <w:pStyle w:val="94"/>
                  </w:pPr>
                  <w:r>
                    <w:rPr>
                      <w:rFonts w:hint="eastAsia"/>
                    </w:rPr>
                    <w:t>钻井（口）</w:t>
                  </w:r>
                </w:p>
              </w:tc>
              <w:tc>
                <w:tcPr>
                  <w:tcW w:w="1006" w:type="pct"/>
                  <w:vAlign w:val="center"/>
                </w:tcPr>
                <w:p w14:paraId="79422117">
                  <w:pPr>
                    <w:pStyle w:val="94"/>
                  </w:pPr>
                  <w:r>
                    <w:rPr>
                      <w:rFonts w:hint="eastAsia"/>
                    </w:rPr>
                    <w:t>压裂（口）</w:t>
                  </w:r>
                </w:p>
              </w:tc>
              <w:tc>
                <w:tcPr>
                  <w:tcW w:w="1006" w:type="pct"/>
                  <w:vAlign w:val="center"/>
                </w:tcPr>
                <w:p w14:paraId="78FC6045">
                  <w:pPr>
                    <w:pStyle w:val="94"/>
                  </w:pPr>
                  <w:r>
                    <w:rPr>
                      <w:rFonts w:hint="eastAsia"/>
                    </w:rPr>
                    <w:t>试采（口）</w:t>
                  </w:r>
                </w:p>
              </w:tc>
              <w:tc>
                <w:tcPr>
                  <w:tcW w:w="985" w:type="pct"/>
                  <w:vAlign w:val="center"/>
                </w:tcPr>
                <w:p w14:paraId="05062D15">
                  <w:pPr>
                    <w:pStyle w:val="94"/>
                  </w:pPr>
                  <w:r>
                    <w:rPr>
                      <w:rFonts w:hint="eastAsia"/>
                    </w:rPr>
                    <w:t>备注</w:t>
                  </w:r>
                </w:p>
              </w:tc>
            </w:tr>
            <w:tr w14:paraId="78C1E3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98" w:type="pct"/>
                  <w:vAlign w:val="center"/>
                </w:tcPr>
                <w:p w14:paraId="5E9981CA">
                  <w:pPr>
                    <w:pStyle w:val="94"/>
                  </w:pPr>
                  <w:r>
                    <w:rPr>
                      <w:rFonts w:hint="eastAsia"/>
                    </w:rPr>
                    <w:t>2024年8月</w:t>
                  </w:r>
                </w:p>
              </w:tc>
              <w:tc>
                <w:tcPr>
                  <w:tcW w:w="1006" w:type="pct"/>
                  <w:vAlign w:val="center"/>
                </w:tcPr>
                <w:p w14:paraId="42150643">
                  <w:pPr>
                    <w:pStyle w:val="94"/>
                  </w:pPr>
                  <w:r>
                    <w:rPr>
                      <w:rFonts w:hint="eastAsia"/>
                    </w:rPr>
                    <w:t>7</w:t>
                  </w:r>
                </w:p>
              </w:tc>
              <w:tc>
                <w:tcPr>
                  <w:tcW w:w="1006" w:type="pct"/>
                  <w:vAlign w:val="center"/>
                </w:tcPr>
                <w:p w14:paraId="3B9E170D">
                  <w:pPr>
                    <w:pStyle w:val="94"/>
                  </w:pPr>
                  <w:r>
                    <w:rPr>
                      <w:rFonts w:hint="eastAsia"/>
                    </w:rPr>
                    <w:t>/</w:t>
                  </w:r>
                </w:p>
              </w:tc>
              <w:tc>
                <w:tcPr>
                  <w:tcW w:w="1006" w:type="pct"/>
                  <w:vAlign w:val="center"/>
                </w:tcPr>
                <w:p w14:paraId="3AE717FA">
                  <w:pPr>
                    <w:pStyle w:val="94"/>
                  </w:pPr>
                  <w:r>
                    <w:rPr>
                      <w:rFonts w:hint="eastAsia"/>
                    </w:rPr>
                    <w:t>/</w:t>
                  </w:r>
                </w:p>
              </w:tc>
              <w:tc>
                <w:tcPr>
                  <w:tcW w:w="985" w:type="pct"/>
                  <w:vMerge w:val="restart"/>
                  <w:vAlign w:val="center"/>
                </w:tcPr>
                <w:p w14:paraId="4E8FABE2">
                  <w:pPr>
                    <w:pStyle w:val="94"/>
                  </w:pPr>
                  <w:r>
                    <w:rPr>
                      <w:rFonts w:hint="eastAsia"/>
                    </w:rPr>
                    <w:t>钻井18天+完井（压准和压裂19天）+</w:t>
                  </w:r>
                  <w:r>
                    <w:rPr>
                      <w:rFonts w:hint="eastAsia"/>
                      <w:color w:val="FF0000"/>
                    </w:rPr>
                    <w:t>考虑钻井和完井设备搬迁</w:t>
                  </w:r>
                  <w:r>
                    <w:rPr>
                      <w:rFonts w:hint="eastAsia"/>
                    </w:rPr>
                    <w:t>共</w:t>
                  </w:r>
                  <w:r>
                    <w:rPr>
                      <w:rFonts w:hint="eastAsia"/>
                      <w:color w:val="FF0000"/>
                    </w:rPr>
                    <w:t>45天</w:t>
                  </w:r>
                  <w:r>
                    <w:rPr>
                      <w:rFonts w:hint="eastAsia"/>
                    </w:rPr>
                    <w:t>，</w:t>
                  </w:r>
                  <w:r>
                    <w:rPr>
                      <w:rFonts w:hint="eastAsia"/>
                      <w:color w:val="auto"/>
                    </w:rPr>
                    <w:t>试气期</w:t>
                  </w:r>
                  <w:r>
                    <w:rPr>
                      <w:rFonts w:hint="eastAsia"/>
                    </w:rPr>
                    <w:t>60天</w:t>
                  </w:r>
                </w:p>
              </w:tc>
            </w:tr>
            <w:tr w14:paraId="686170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98" w:type="pct"/>
                  <w:vAlign w:val="center"/>
                </w:tcPr>
                <w:p w14:paraId="4148573D">
                  <w:pPr>
                    <w:pStyle w:val="94"/>
                  </w:pPr>
                  <w:r>
                    <w:rPr>
                      <w:rFonts w:hint="eastAsia"/>
                    </w:rPr>
                    <w:t>2024年9月</w:t>
                  </w:r>
                </w:p>
              </w:tc>
              <w:tc>
                <w:tcPr>
                  <w:tcW w:w="1006" w:type="pct"/>
                  <w:vAlign w:val="center"/>
                </w:tcPr>
                <w:p w14:paraId="0F478E83">
                  <w:pPr>
                    <w:pStyle w:val="94"/>
                  </w:pPr>
                  <w:r>
                    <w:rPr>
                      <w:rFonts w:hint="eastAsia"/>
                    </w:rPr>
                    <w:t>5</w:t>
                  </w:r>
                </w:p>
              </w:tc>
              <w:tc>
                <w:tcPr>
                  <w:tcW w:w="1006" w:type="pct"/>
                  <w:vAlign w:val="center"/>
                </w:tcPr>
                <w:p w14:paraId="4732F8C7">
                  <w:pPr>
                    <w:pStyle w:val="94"/>
                  </w:pPr>
                  <w:r>
                    <w:rPr>
                      <w:rFonts w:hint="eastAsia"/>
                    </w:rPr>
                    <w:t>7</w:t>
                  </w:r>
                </w:p>
              </w:tc>
              <w:tc>
                <w:tcPr>
                  <w:tcW w:w="1006" w:type="pct"/>
                  <w:vAlign w:val="center"/>
                </w:tcPr>
                <w:p w14:paraId="097EC52F">
                  <w:pPr>
                    <w:pStyle w:val="94"/>
                  </w:pPr>
                  <w:r>
                    <w:rPr>
                      <w:rFonts w:hint="eastAsia"/>
                    </w:rPr>
                    <w:t>/</w:t>
                  </w:r>
                </w:p>
              </w:tc>
              <w:tc>
                <w:tcPr>
                  <w:tcW w:w="985" w:type="pct"/>
                  <w:vMerge w:val="continue"/>
                  <w:vAlign w:val="center"/>
                </w:tcPr>
                <w:p w14:paraId="5F5F5C36">
                  <w:pPr>
                    <w:pStyle w:val="94"/>
                    <w:rPr>
                      <w:rFonts w:ascii="等线" w:hAnsi="等线" w:eastAsia="等线"/>
                      <w:kern w:val="2"/>
                    </w:rPr>
                  </w:pPr>
                </w:p>
              </w:tc>
            </w:tr>
            <w:tr w14:paraId="0273AF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98" w:type="pct"/>
                  <w:vAlign w:val="center"/>
                </w:tcPr>
                <w:p w14:paraId="7D140319">
                  <w:pPr>
                    <w:pStyle w:val="94"/>
                  </w:pPr>
                  <w:r>
                    <w:rPr>
                      <w:rFonts w:hint="eastAsia"/>
                    </w:rPr>
                    <w:t>2024年10月</w:t>
                  </w:r>
                </w:p>
              </w:tc>
              <w:tc>
                <w:tcPr>
                  <w:tcW w:w="1006" w:type="pct"/>
                  <w:vAlign w:val="center"/>
                </w:tcPr>
                <w:p w14:paraId="03C7E3A0">
                  <w:pPr>
                    <w:pStyle w:val="94"/>
                  </w:pPr>
                  <w:r>
                    <w:rPr>
                      <w:rFonts w:hint="eastAsia"/>
                    </w:rPr>
                    <w:t>5</w:t>
                  </w:r>
                </w:p>
              </w:tc>
              <w:tc>
                <w:tcPr>
                  <w:tcW w:w="1006" w:type="pct"/>
                  <w:vAlign w:val="center"/>
                </w:tcPr>
                <w:p w14:paraId="26742940">
                  <w:pPr>
                    <w:pStyle w:val="94"/>
                  </w:pPr>
                  <w:r>
                    <w:rPr>
                      <w:rFonts w:hint="eastAsia"/>
                    </w:rPr>
                    <w:t>5</w:t>
                  </w:r>
                </w:p>
              </w:tc>
              <w:tc>
                <w:tcPr>
                  <w:tcW w:w="1006" w:type="pct"/>
                  <w:vAlign w:val="center"/>
                </w:tcPr>
                <w:p w14:paraId="515F3199">
                  <w:pPr>
                    <w:pStyle w:val="94"/>
                  </w:pPr>
                  <w:r>
                    <w:rPr>
                      <w:rFonts w:hint="eastAsia"/>
                    </w:rPr>
                    <w:t>7</w:t>
                  </w:r>
                </w:p>
              </w:tc>
              <w:tc>
                <w:tcPr>
                  <w:tcW w:w="985" w:type="pct"/>
                  <w:vMerge w:val="continue"/>
                  <w:vAlign w:val="center"/>
                </w:tcPr>
                <w:p w14:paraId="4BFEA102">
                  <w:pPr>
                    <w:pStyle w:val="94"/>
                    <w:rPr>
                      <w:rFonts w:ascii="等线" w:hAnsi="等线" w:eastAsia="等线"/>
                      <w:kern w:val="2"/>
                    </w:rPr>
                  </w:pPr>
                </w:p>
              </w:tc>
            </w:tr>
            <w:tr w14:paraId="5E6D5798">
              <w:tblPrEx>
                <w:tblCellMar>
                  <w:top w:w="0" w:type="dxa"/>
                  <w:left w:w="108" w:type="dxa"/>
                  <w:bottom w:w="0" w:type="dxa"/>
                  <w:right w:w="108" w:type="dxa"/>
                </w:tblCellMar>
              </w:tblPrEx>
              <w:tc>
                <w:tcPr>
                  <w:tcW w:w="998" w:type="pct"/>
                  <w:vAlign w:val="center"/>
                </w:tcPr>
                <w:p w14:paraId="2B144F4E">
                  <w:pPr>
                    <w:pStyle w:val="94"/>
                  </w:pPr>
                  <w:r>
                    <w:rPr>
                      <w:rFonts w:hint="eastAsia"/>
                    </w:rPr>
                    <w:t>2024年11月</w:t>
                  </w:r>
                </w:p>
              </w:tc>
              <w:tc>
                <w:tcPr>
                  <w:tcW w:w="1006" w:type="pct"/>
                  <w:vAlign w:val="center"/>
                </w:tcPr>
                <w:p w14:paraId="453323C7">
                  <w:pPr>
                    <w:pStyle w:val="94"/>
                  </w:pPr>
                  <w:r>
                    <w:rPr>
                      <w:rFonts w:hint="eastAsia"/>
                    </w:rPr>
                    <w:t>4</w:t>
                  </w:r>
                </w:p>
              </w:tc>
              <w:tc>
                <w:tcPr>
                  <w:tcW w:w="1006" w:type="pct"/>
                  <w:vAlign w:val="center"/>
                </w:tcPr>
                <w:p w14:paraId="55F05BDD">
                  <w:pPr>
                    <w:pStyle w:val="94"/>
                  </w:pPr>
                  <w:r>
                    <w:rPr>
                      <w:rFonts w:hint="eastAsia"/>
                    </w:rPr>
                    <w:t>5</w:t>
                  </w:r>
                </w:p>
              </w:tc>
              <w:tc>
                <w:tcPr>
                  <w:tcW w:w="1006" w:type="pct"/>
                  <w:vAlign w:val="center"/>
                </w:tcPr>
                <w:p w14:paraId="01010D92">
                  <w:pPr>
                    <w:pStyle w:val="94"/>
                  </w:pPr>
                  <w:r>
                    <w:rPr>
                      <w:rFonts w:hint="eastAsia"/>
                    </w:rPr>
                    <w:t>12</w:t>
                  </w:r>
                </w:p>
              </w:tc>
              <w:tc>
                <w:tcPr>
                  <w:tcW w:w="985" w:type="pct"/>
                  <w:vMerge w:val="continue"/>
                  <w:vAlign w:val="center"/>
                </w:tcPr>
                <w:p w14:paraId="20725D2D">
                  <w:pPr>
                    <w:pStyle w:val="94"/>
                    <w:rPr>
                      <w:rFonts w:ascii="等线" w:hAnsi="等线" w:eastAsia="等线"/>
                      <w:kern w:val="2"/>
                    </w:rPr>
                  </w:pPr>
                </w:p>
              </w:tc>
            </w:tr>
            <w:tr w14:paraId="5D0EE4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98" w:type="pct"/>
                  <w:vAlign w:val="center"/>
                </w:tcPr>
                <w:p w14:paraId="23C65C2B">
                  <w:pPr>
                    <w:pStyle w:val="94"/>
                  </w:pPr>
                  <w:r>
                    <w:rPr>
                      <w:rFonts w:hint="eastAsia"/>
                    </w:rPr>
                    <w:t>2024年12月</w:t>
                  </w:r>
                </w:p>
              </w:tc>
              <w:tc>
                <w:tcPr>
                  <w:tcW w:w="1006" w:type="pct"/>
                  <w:vAlign w:val="center"/>
                </w:tcPr>
                <w:p w14:paraId="0BCA95AC">
                  <w:pPr>
                    <w:pStyle w:val="94"/>
                  </w:pPr>
                  <w:r>
                    <w:rPr>
                      <w:rFonts w:hint="eastAsia"/>
                    </w:rPr>
                    <w:t>/</w:t>
                  </w:r>
                </w:p>
              </w:tc>
              <w:tc>
                <w:tcPr>
                  <w:tcW w:w="1006" w:type="pct"/>
                  <w:vAlign w:val="center"/>
                </w:tcPr>
                <w:p w14:paraId="75DC95DD">
                  <w:pPr>
                    <w:pStyle w:val="94"/>
                  </w:pPr>
                  <w:r>
                    <w:rPr>
                      <w:rFonts w:hint="eastAsia"/>
                    </w:rPr>
                    <w:t>4</w:t>
                  </w:r>
                </w:p>
              </w:tc>
              <w:tc>
                <w:tcPr>
                  <w:tcW w:w="1006" w:type="pct"/>
                  <w:vAlign w:val="center"/>
                </w:tcPr>
                <w:p w14:paraId="2A6E29D6">
                  <w:pPr>
                    <w:pStyle w:val="94"/>
                  </w:pPr>
                  <w:r>
                    <w:rPr>
                      <w:rFonts w:hint="eastAsia"/>
                    </w:rPr>
                    <w:t>10</w:t>
                  </w:r>
                </w:p>
              </w:tc>
              <w:tc>
                <w:tcPr>
                  <w:tcW w:w="985" w:type="pct"/>
                  <w:vMerge w:val="continue"/>
                  <w:vAlign w:val="center"/>
                </w:tcPr>
                <w:p w14:paraId="5F47B59B">
                  <w:pPr>
                    <w:pStyle w:val="94"/>
                    <w:rPr>
                      <w:rFonts w:ascii="等线" w:hAnsi="等线" w:eastAsia="等线"/>
                      <w:kern w:val="2"/>
                    </w:rPr>
                  </w:pPr>
                </w:p>
              </w:tc>
            </w:tr>
            <w:tr w14:paraId="6DA718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98" w:type="pct"/>
                  <w:vAlign w:val="center"/>
                </w:tcPr>
                <w:p w14:paraId="1F5B6A3A">
                  <w:pPr>
                    <w:pStyle w:val="94"/>
                  </w:pPr>
                  <w:r>
                    <w:rPr>
                      <w:rFonts w:hint="eastAsia"/>
                    </w:rPr>
                    <w:t>2025年1月</w:t>
                  </w:r>
                </w:p>
              </w:tc>
              <w:tc>
                <w:tcPr>
                  <w:tcW w:w="1006" w:type="pct"/>
                  <w:vAlign w:val="center"/>
                </w:tcPr>
                <w:p w14:paraId="1106ED84">
                  <w:pPr>
                    <w:pStyle w:val="94"/>
                  </w:pPr>
                  <w:r>
                    <w:rPr>
                      <w:rFonts w:hint="eastAsia"/>
                    </w:rPr>
                    <w:t>/</w:t>
                  </w:r>
                </w:p>
              </w:tc>
              <w:tc>
                <w:tcPr>
                  <w:tcW w:w="1006" w:type="pct"/>
                  <w:vAlign w:val="center"/>
                </w:tcPr>
                <w:p w14:paraId="51D2AE81">
                  <w:pPr>
                    <w:pStyle w:val="94"/>
                  </w:pPr>
                  <w:r>
                    <w:rPr>
                      <w:rFonts w:hint="eastAsia"/>
                    </w:rPr>
                    <w:t>/</w:t>
                  </w:r>
                </w:p>
              </w:tc>
              <w:tc>
                <w:tcPr>
                  <w:tcW w:w="1006" w:type="pct"/>
                  <w:vAlign w:val="center"/>
                </w:tcPr>
                <w:p w14:paraId="1A7D64A1">
                  <w:pPr>
                    <w:pStyle w:val="94"/>
                  </w:pPr>
                  <w:r>
                    <w:rPr>
                      <w:rFonts w:hint="eastAsia"/>
                    </w:rPr>
                    <w:t>9</w:t>
                  </w:r>
                </w:p>
              </w:tc>
              <w:tc>
                <w:tcPr>
                  <w:tcW w:w="985" w:type="pct"/>
                  <w:vMerge w:val="continue"/>
                  <w:vAlign w:val="center"/>
                </w:tcPr>
                <w:p w14:paraId="578A3F31">
                  <w:pPr>
                    <w:pStyle w:val="94"/>
                    <w:rPr>
                      <w:rFonts w:ascii="等线" w:hAnsi="等线" w:eastAsia="等线"/>
                      <w:kern w:val="2"/>
                    </w:rPr>
                  </w:pPr>
                </w:p>
              </w:tc>
            </w:tr>
            <w:tr w14:paraId="7D43BE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98" w:type="pct"/>
                  <w:vAlign w:val="center"/>
                </w:tcPr>
                <w:p w14:paraId="3E5C82EA">
                  <w:pPr>
                    <w:pStyle w:val="94"/>
                  </w:pPr>
                  <w:r>
                    <w:rPr>
                      <w:rFonts w:hint="eastAsia"/>
                    </w:rPr>
                    <w:t>2025年2月</w:t>
                  </w:r>
                </w:p>
              </w:tc>
              <w:tc>
                <w:tcPr>
                  <w:tcW w:w="1006" w:type="pct"/>
                  <w:vAlign w:val="center"/>
                </w:tcPr>
                <w:p w14:paraId="7E171A5A">
                  <w:pPr>
                    <w:pStyle w:val="94"/>
                  </w:pPr>
                  <w:r>
                    <w:rPr>
                      <w:rFonts w:hint="eastAsia"/>
                    </w:rPr>
                    <w:t>/</w:t>
                  </w:r>
                </w:p>
              </w:tc>
              <w:tc>
                <w:tcPr>
                  <w:tcW w:w="1006" w:type="pct"/>
                  <w:vAlign w:val="center"/>
                </w:tcPr>
                <w:p w14:paraId="575AFC9C">
                  <w:pPr>
                    <w:pStyle w:val="94"/>
                  </w:pPr>
                  <w:r>
                    <w:rPr>
                      <w:rFonts w:hint="eastAsia"/>
                    </w:rPr>
                    <w:t>/</w:t>
                  </w:r>
                </w:p>
              </w:tc>
              <w:tc>
                <w:tcPr>
                  <w:tcW w:w="1006" w:type="pct"/>
                  <w:vAlign w:val="center"/>
                </w:tcPr>
                <w:p w14:paraId="5899C7B5">
                  <w:pPr>
                    <w:pStyle w:val="94"/>
                  </w:pPr>
                  <w:r>
                    <w:rPr>
                      <w:rFonts w:hint="eastAsia"/>
                    </w:rPr>
                    <w:t>4</w:t>
                  </w:r>
                </w:p>
              </w:tc>
              <w:tc>
                <w:tcPr>
                  <w:tcW w:w="985" w:type="pct"/>
                  <w:vMerge w:val="continue"/>
                  <w:vAlign w:val="center"/>
                </w:tcPr>
                <w:p w14:paraId="1E8F5F32">
                  <w:pPr>
                    <w:pStyle w:val="94"/>
                    <w:rPr>
                      <w:rFonts w:ascii="等线" w:hAnsi="等线" w:eastAsia="等线"/>
                      <w:kern w:val="2"/>
                    </w:rPr>
                  </w:pPr>
                </w:p>
              </w:tc>
            </w:tr>
          </w:tbl>
          <w:p w14:paraId="735459CC">
            <w:pPr>
              <w:pStyle w:val="96"/>
              <w:ind w:firstLine="480"/>
            </w:pPr>
            <w:r>
              <w:rPr>
                <w:rFonts w:hint="eastAsia"/>
              </w:rPr>
              <w:t>（8）项目总投资及来源</w:t>
            </w:r>
          </w:p>
          <w:p w14:paraId="0605E06C">
            <w:pPr>
              <w:pStyle w:val="96"/>
              <w:ind w:firstLine="480"/>
            </w:pPr>
            <w:r>
              <w:rPr>
                <w:rFonts w:hint="eastAsia"/>
              </w:rPr>
              <w:t>项目总投资为9219万元（单口直井/定向井439万元），资金来源为企业自筹。</w:t>
            </w:r>
          </w:p>
          <w:p w14:paraId="2A7F45B5">
            <w:pPr>
              <w:pStyle w:val="96"/>
              <w:ind w:firstLine="480"/>
            </w:pPr>
            <w:r>
              <w:rPr>
                <w:rFonts w:hint="eastAsia"/>
              </w:rPr>
              <w:t>（9）占地</w:t>
            </w:r>
          </w:p>
          <w:p w14:paraId="6FA20C9D">
            <w:pPr>
              <w:pStyle w:val="96"/>
              <w:ind w:firstLine="480"/>
              <w:rPr>
                <w:b/>
                <w:bCs/>
                <w:szCs w:val="21"/>
              </w:rPr>
            </w:pPr>
            <w:r>
              <w:rPr>
                <w:rFonts w:hint="eastAsia"/>
              </w:rPr>
              <w:t>本项目设21座井场，总占地面积22.</w:t>
            </w:r>
            <w:r>
              <w:t>91</w:t>
            </w:r>
            <w:r>
              <w:rPr>
                <w:rFonts w:hint="eastAsia"/>
              </w:rPr>
              <w:t>hm</w:t>
            </w:r>
            <w:r>
              <w:rPr>
                <w:rFonts w:hint="eastAsia"/>
                <w:vertAlign w:val="superscript"/>
              </w:rPr>
              <w:t>2</w:t>
            </w:r>
            <w:r>
              <w:rPr>
                <w:rFonts w:hint="eastAsia"/>
              </w:rPr>
              <w:t>，</w:t>
            </w:r>
            <w:r>
              <w:t>临时占地类型见</w:t>
            </w:r>
            <w:r>
              <w:rPr>
                <w:rFonts w:hint="eastAsia"/>
              </w:rPr>
              <w:t>表</w:t>
            </w:r>
            <w:r>
              <w:t xml:space="preserve"> 46</w:t>
            </w:r>
            <w:r>
              <w:rPr>
                <w:rFonts w:hint="eastAsia"/>
              </w:rPr>
              <w:t>。</w:t>
            </w:r>
          </w:p>
          <w:p w14:paraId="36CAD766">
            <w:pPr>
              <w:pStyle w:val="96"/>
              <w:ind w:firstLine="480"/>
            </w:pPr>
            <w:r>
              <w:rPr>
                <w:rFonts w:hint="eastAsia"/>
              </w:rPr>
              <w:t>井场进场</w:t>
            </w:r>
            <w:r>
              <w:t>道路</w:t>
            </w:r>
            <w:r>
              <w:rPr>
                <w:rFonts w:hint="eastAsia"/>
              </w:rPr>
              <w:t>原则利用现有乡村道路，无</w:t>
            </w:r>
            <w:r>
              <w:t>现有道路利用的需</w:t>
            </w:r>
            <w:r>
              <w:rPr>
                <w:rFonts w:hint="eastAsia"/>
              </w:rPr>
              <w:t>开挖</w:t>
            </w:r>
            <w:r>
              <w:t>临时道路，</w:t>
            </w:r>
            <w:r>
              <w:rPr>
                <w:rFonts w:hint="eastAsia"/>
              </w:rPr>
              <w:t>开挖路面宽3.5m。</w:t>
            </w:r>
          </w:p>
          <w:p w14:paraId="1EB64158">
            <w:pPr>
              <w:pStyle w:val="96"/>
              <w:ind w:firstLine="480"/>
            </w:pPr>
            <w:r>
              <w:rPr>
                <w:rFonts w:hint="eastAsia"/>
              </w:rPr>
              <w:t>本项目21座井场主要占地类型为耕地（不占基本农田）</w:t>
            </w:r>
            <w:r>
              <w:t>、</w:t>
            </w:r>
            <w:r>
              <w:rPr>
                <w:rFonts w:hint="eastAsia"/>
              </w:rPr>
              <w:t>其他草地等，占地均为临时占地。钻井期结束后箱式房搬出井场，转移至其他待钻井场，泥浆池固化无害化处理。进入试气期后，占地面积为150m</w:t>
            </w:r>
            <w:r>
              <w:rPr>
                <w:rFonts w:hint="eastAsia"/>
                <w:vertAlign w:val="superscript"/>
              </w:rPr>
              <w:t>2</w:t>
            </w:r>
            <w:r>
              <w:rPr>
                <w:rFonts w:hint="eastAsia"/>
              </w:rPr>
              <w:t>。井场内除试采工作区、蓄液罐、柴油罐区外，其余部分均在施工结束后进行分层回填，将表层土置于最上层，</w:t>
            </w:r>
            <w:r>
              <w:t>恢复原有地貌</w:t>
            </w:r>
            <w:r>
              <w:rPr>
                <w:rFonts w:hint="eastAsia"/>
              </w:rPr>
              <w:t>。</w:t>
            </w:r>
          </w:p>
          <w:p w14:paraId="50F585EA">
            <w:pPr>
              <w:pStyle w:val="96"/>
              <w:ind w:firstLine="482"/>
              <w:rPr>
                <w:b/>
                <w:bCs/>
              </w:rPr>
            </w:pPr>
            <w:r>
              <w:rPr>
                <w:b/>
                <w:bCs/>
              </w:rPr>
              <w:t>3</w:t>
            </w:r>
            <w:r>
              <w:rPr>
                <w:rFonts w:hint="eastAsia"/>
                <w:b/>
                <w:bCs/>
              </w:rPr>
              <w:t>、公用工程</w:t>
            </w:r>
          </w:p>
          <w:p w14:paraId="761F3DA4">
            <w:pPr>
              <w:pStyle w:val="96"/>
              <w:ind w:firstLine="480"/>
            </w:pPr>
            <w:r>
              <w:rPr>
                <w:rFonts w:hint="eastAsia"/>
              </w:rPr>
              <w:t>（1）供电</w:t>
            </w:r>
          </w:p>
          <w:p w14:paraId="278CC267">
            <w:pPr>
              <w:pStyle w:val="96"/>
              <w:ind w:firstLine="480"/>
            </w:pPr>
            <w:r>
              <w:rPr>
                <w:rFonts w:hint="eastAsia"/>
              </w:rPr>
              <w:t>本工程勘探周期内每个井场供电均采用自备柴油发电机发电，进入试气期后同样使用井场备用发电机。</w:t>
            </w:r>
          </w:p>
          <w:p w14:paraId="5E0AACC7">
            <w:pPr>
              <w:pStyle w:val="96"/>
              <w:ind w:firstLine="480"/>
            </w:pPr>
            <w:r>
              <w:rPr>
                <w:rFonts w:hint="eastAsia"/>
              </w:rPr>
              <w:t>（2）给排水工程</w:t>
            </w:r>
          </w:p>
          <w:p w14:paraId="5A933372">
            <w:pPr>
              <w:pStyle w:val="96"/>
              <w:ind w:firstLine="480"/>
            </w:pPr>
            <w:r>
              <w:rPr>
                <w:rFonts w:hint="eastAsia"/>
              </w:rPr>
              <w:t>①</w:t>
            </w:r>
            <w:r>
              <w:t>钻井期</w:t>
            </w:r>
          </w:p>
          <w:p w14:paraId="5C297E7E">
            <w:pPr>
              <w:pStyle w:val="96"/>
              <w:ind w:firstLine="480"/>
            </w:pPr>
            <w:r>
              <w:t>A</w:t>
            </w:r>
            <w:r>
              <w:rPr>
                <w:rFonts w:hint="eastAsia"/>
              </w:rPr>
              <w:t>水源</w:t>
            </w:r>
          </w:p>
          <w:p w14:paraId="3EE69F0F">
            <w:pPr>
              <w:pStyle w:val="96"/>
              <w:ind w:firstLine="480"/>
            </w:pPr>
            <w:r>
              <w:rPr>
                <w:rFonts w:hint="eastAsia"/>
              </w:rPr>
              <w:t>本项目新鲜水由临近村庄水井供给，采用水罐车由水井运至井场，井场生产区设贮水池，生活区设有水箱，保障井场施工生产用水和施工人员生活临时用水。钻井液配置所用清水优先利用周边其他井场采出水。</w:t>
            </w:r>
          </w:p>
          <w:p w14:paraId="3070E2E2">
            <w:pPr>
              <w:pStyle w:val="96"/>
              <w:ind w:firstLine="480"/>
            </w:pPr>
            <w:r>
              <w:t>B用水量</w:t>
            </w:r>
          </w:p>
          <w:p w14:paraId="75BCC92C">
            <w:pPr>
              <w:pStyle w:val="96"/>
              <w:ind w:firstLine="480"/>
            </w:pPr>
            <w:r>
              <w:t>根据建设单位提供</w:t>
            </w:r>
            <w:r>
              <w:rPr>
                <w:rFonts w:hint="eastAsia"/>
              </w:rPr>
              <w:t>的</w:t>
            </w:r>
            <w:r>
              <w:t>资料，单口直井、定向井在钻井过程中使用水量约</w:t>
            </w:r>
            <w:r>
              <w:rPr>
                <w:rFonts w:hint="eastAsia"/>
              </w:rPr>
              <w:t>1</w:t>
            </w:r>
            <w:r>
              <w:t>00m</w:t>
            </w:r>
            <w:r>
              <w:rPr>
                <w:vertAlign w:val="superscript"/>
              </w:rPr>
              <w:t>3</w:t>
            </w:r>
            <w:r>
              <w:t>，配置成钻井液后通过泥浆循环系统重复使用。</w:t>
            </w:r>
          </w:p>
          <w:p w14:paraId="667E8B5A">
            <w:pPr>
              <w:pStyle w:val="96"/>
              <w:ind w:firstLine="480"/>
            </w:pPr>
            <w:r>
              <w:t>钻井过程中补充水量为1~2m</w:t>
            </w:r>
            <w:r>
              <w:rPr>
                <w:vertAlign w:val="superscript"/>
              </w:rPr>
              <w:t>3</w:t>
            </w:r>
            <w:r>
              <w:t>/d·口，评价取均值1.5m</w:t>
            </w:r>
            <w:r>
              <w:rPr>
                <w:vertAlign w:val="superscript"/>
              </w:rPr>
              <w:t>3</w:t>
            </w:r>
            <w:r>
              <w:t>/d·口；固井水泥浆配料用水约为2m</w:t>
            </w:r>
            <w:r>
              <w:rPr>
                <w:vertAlign w:val="superscript"/>
              </w:rPr>
              <w:t>3</w:t>
            </w:r>
            <w:r>
              <w:t>/d·口；设备和钻台冲洗用水量约为0.6m</w:t>
            </w:r>
            <w:r>
              <w:rPr>
                <w:vertAlign w:val="superscript"/>
              </w:rPr>
              <w:t>3</w:t>
            </w:r>
            <w:r>
              <w:t>/d·口。</w:t>
            </w:r>
            <w:r>
              <w:rPr>
                <w:rFonts w:hint="eastAsia"/>
              </w:rPr>
              <w:t>根据施工计划本项目最多是7口井同时钻井，因此</w:t>
            </w:r>
            <w:r>
              <w:t>钻井水量</w:t>
            </w:r>
            <w:r>
              <w:rPr>
                <w:rFonts w:hint="eastAsia"/>
              </w:rPr>
              <w:t>最高为7</w:t>
            </w:r>
            <w:r>
              <w:t>*4.1</w:t>
            </w:r>
            <w:r>
              <w:rPr>
                <w:rFonts w:hint="eastAsia"/>
              </w:rPr>
              <w:t>=2</w:t>
            </w:r>
            <w:r>
              <w:t>8.7m</w:t>
            </w:r>
            <w:r>
              <w:rPr>
                <w:vertAlign w:val="superscript"/>
              </w:rPr>
              <w:t>3</w:t>
            </w:r>
            <w:r>
              <w:t>/d</w:t>
            </w:r>
            <w:r>
              <w:rPr>
                <w:rFonts w:hint="eastAsia"/>
              </w:rPr>
              <w:t>。</w:t>
            </w:r>
          </w:p>
          <w:p w14:paraId="1FB4EAF7">
            <w:pPr>
              <w:pStyle w:val="96"/>
              <w:ind w:firstLine="480"/>
            </w:pPr>
            <w:r>
              <w:t>施工人员食宿都在井场内集装箱式房内，现场施工人员生活用水量70L/人·d</w:t>
            </w:r>
            <w:r>
              <w:rPr>
                <w:rFonts w:hint="eastAsia"/>
              </w:rPr>
              <w:t>，</w:t>
            </w:r>
            <w:r>
              <w:t>则用水量为</w:t>
            </w:r>
            <w:r>
              <w:rPr>
                <w:rFonts w:hint="eastAsia"/>
              </w:rPr>
              <w:t>1.40m</w:t>
            </w:r>
            <w:r>
              <w:rPr>
                <w:rFonts w:hint="eastAsia"/>
                <w:vertAlign w:val="superscript"/>
              </w:rPr>
              <w:t>3</w:t>
            </w:r>
            <w:r>
              <w:rPr>
                <w:rFonts w:hint="eastAsia"/>
              </w:rPr>
              <w:t>/d</w:t>
            </w:r>
            <w:r>
              <w:t>。</w:t>
            </w:r>
          </w:p>
          <w:p w14:paraId="7AA6D573">
            <w:pPr>
              <w:pStyle w:val="96"/>
              <w:ind w:firstLine="480"/>
            </w:pPr>
            <w:r>
              <w:rPr>
                <w:rFonts w:hint="eastAsia"/>
              </w:rPr>
              <w:t>C排水量</w:t>
            </w:r>
          </w:p>
          <w:p w14:paraId="6D57A72B">
            <w:pPr>
              <w:pStyle w:val="96"/>
              <w:ind w:firstLine="480"/>
            </w:pPr>
            <w:r>
              <w:rPr>
                <w:rFonts w:hint="eastAsia"/>
              </w:rPr>
              <w:t>钻井期废水主要为钻井废水、设备和钻台清洗废水，废水全部进入泥浆池经沉淀后循环使用，不外排。</w:t>
            </w:r>
          </w:p>
          <w:p w14:paraId="56B50957">
            <w:pPr>
              <w:pStyle w:val="96"/>
              <w:ind w:firstLine="480"/>
            </w:pPr>
            <w:r>
              <w:rPr>
                <w:rFonts w:hint="eastAsia"/>
              </w:rPr>
              <w:t>生活污水主要为井场钻井期施工人员生活废水等，按用水量80%计算，生活污水量为1.12m</w:t>
            </w:r>
            <w:r>
              <w:rPr>
                <w:rFonts w:hint="eastAsia"/>
                <w:vertAlign w:val="superscript"/>
              </w:rPr>
              <w:t>3</w:t>
            </w:r>
            <w:r>
              <w:rPr>
                <w:rFonts w:hint="eastAsia"/>
              </w:rPr>
              <w:t>/d，产生量较少，井场设临时简易沉淀池，生活污水经沉淀后用于周边道路洒水。</w:t>
            </w:r>
          </w:p>
          <w:p w14:paraId="7A343E05">
            <w:pPr>
              <w:pStyle w:val="19"/>
              <w:keepNext/>
            </w:pPr>
            <w:r>
              <w:t xml:space="preserve">表 </w:t>
            </w:r>
            <w:r>
              <w:fldChar w:fldCharType="begin"/>
            </w:r>
            <w:r>
              <w:instrText xml:space="preserve"> SEQ 表 \* ARABIC </w:instrText>
            </w:r>
            <w:r>
              <w:fldChar w:fldCharType="separate"/>
            </w:r>
            <w:r>
              <w:t>16</w:t>
            </w:r>
            <w:r>
              <w:fldChar w:fldCharType="end"/>
            </w:r>
            <w:r>
              <w:rPr>
                <w:rFonts w:hint="eastAsia"/>
              </w:rPr>
              <w:t>单口直井</w:t>
            </w:r>
            <w:r>
              <w:t>/定向井钻井期用、排水量表 单位：m</w:t>
            </w:r>
            <w:r>
              <w:rPr>
                <w:vertAlign w:val="superscript"/>
              </w:rPr>
              <w:t>3</w:t>
            </w:r>
            <w:r>
              <w:t>/d</w:t>
            </w:r>
          </w:p>
          <w:tbl>
            <w:tblPr>
              <w:tblStyle w:val="7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 w:type="dxa"/>
                <w:bottom w:w="0" w:type="dxa"/>
                <w:right w:w="10" w:type="dxa"/>
              </w:tblCellMar>
            </w:tblPr>
            <w:tblGrid>
              <w:gridCol w:w="699"/>
              <w:gridCol w:w="1619"/>
              <w:gridCol w:w="1448"/>
              <w:gridCol w:w="931"/>
              <w:gridCol w:w="1458"/>
              <w:gridCol w:w="2311"/>
            </w:tblGrid>
            <w:tr w14:paraId="7621BC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13" w:type="pct"/>
                  <w:vAlign w:val="center"/>
                </w:tcPr>
                <w:p w14:paraId="413C49D7">
                  <w:pPr>
                    <w:pStyle w:val="94"/>
                    <w:rPr>
                      <w:color w:val="auto"/>
                    </w:rPr>
                  </w:pPr>
                  <w:r>
                    <w:rPr>
                      <w:rFonts w:hint="eastAsia"/>
                      <w:color w:val="auto"/>
                    </w:rPr>
                    <w:t>序号</w:t>
                  </w:r>
                </w:p>
              </w:tc>
              <w:tc>
                <w:tcPr>
                  <w:tcW w:w="956" w:type="pct"/>
                  <w:vAlign w:val="center"/>
                </w:tcPr>
                <w:p w14:paraId="40E9990B">
                  <w:pPr>
                    <w:pStyle w:val="94"/>
                    <w:rPr>
                      <w:color w:val="auto"/>
                    </w:rPr>
                  </w:pPr>
                  <w:r>
                    <w:rPr>
                      <w:rFonts w:hint="eastAsia"/>
                      <w:color w:val="auto"/>
                    </w:rPr>
                    <w:t>项目</w:t>
                  </w:r>
                </w:p>
              </w:tc>
              <w:tc>
                <w:tcPr>
                  <w:tcW w:w="855" w:type="pct"/>
                  <w:vAlign w:val="center"/>
                </w:tcPr>
                <w:p w14:paraId="5CA10FF7">
                  <w:pPr>
                    <w:pStyle w:val="94"/>
                    <w:rPr>
                      <w:color w:val="auto"/>
                    </w:rPr>
                  </w:pPr>
                  <w:r>
                    <w:rPr>
                      <w:rFonts w:hint="eastAsia"/>
                      <w:color w:val="auto"/>
                    </w:rPr>
                    <w:t>用水量</w:t>
                  </w:r>
                </w:p>
              </w:tc>
              <w:tc>
                <w:tcPr>
                  <w:tcW w:w="550" w:type="pct"/>
                  <w:vAlign w:val="center"/>
                </w:tcPr>
                <w:p w14:paraId="29EE4FD2">
                  <w:pPr>
                    <w:pStyle w:val="94"/>
                    <w:rPr>
                      <w:color w:val="auto"/>
                    </w:rPr>
                  </w:pPr>
                  <w:r>
                    <w:rPr>
                      <w:rFonts w:hint="eastAsia"/>
                      <w:color w:val="auto"/>
                    </w:rPr>
                    <w:t>损耗量</w:t>
                  </w:r>
                </w:p>
              </w:tc>
              <w:tc>
                <w:tcPr>
                  <w:tcW w:w="861" w:type="pct"/>
                  <w:vAlign w:val="center"/>
                </w:tcPr>
                <w:p w14:paraId="36790401">
                  <w:pPr>
                    <w:pStyle w:val="94"/>
                    <w:rPr>
                      <w:color w:val="auto"/>
                    </w:rPr>
                  </w:pPr>
                  <w:r>
                    <w:rPr>
                      <w:rFonts w:hint="eastAsia"/>
                      <w:color w:val="auto"/>
                    </w:rPr>
                    <w:t>回用/利用量</w:t>
                  </w:r>
                </w:p>
              </w:tc>
              <w:tc>
                <w:tcPr>
                  <w:tcW w:w="1365" w:type="pct"/>
                  <w:vAlign w:val="center"/>
                </w:tcPr>
                <w:p w14:paraId="5B9B7699">
                  <w:pPr>
                    <w:pStyle w:val="94"/>
                    <w:rPr>
                      <w:color w:val="auto"/>
                    </w:rPr>
                  </w:pPr>
                  <w:r>
                    <w:rPr>
                      <w:rFonts w:hint="eastAsia"/>
                      <w:color w:val="auto"/>
                    </w:rPr>
                    <w:t>备注</w:t>
                  </w:r>
                </w:p>
              </w:tc>
            </w:tr>
            <w:tr w14:paraId="3AF1C3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13" w:type="pct"/>
                  <w:vAlign w:val="center"/>
                </w:tcPr>
                <w:p w14:paraId="07466A35">
                  <w:pPr>
                    <w:pStyle w:val="94"/>
                    <w:rPr>
                      <w:color w:val="auto"/>
                    </w:rPr>
                  </w:pPr>
                  <w:r>
                    <w:rPr>
                      <w:rFonts w:hint="eastAsia"/>
                      <w:color w:val="auto"/>
                    </w:rPr>
                    <w:t>1</w:t>
                  </w:r>
                </w:p>
              </w:tc>
              <w:tc>
                <w:tcPr>
                  <w:tcW w:w="956" w:type="pct"/>
                  <w:vAlign w:val="center"/>
                </w:tcPr>
                <w:p w14:paraId="3365272E">
                  <w:pPr>
                    <w:pStyle w:val="94"/>
                    <w:rPr>
                      <w:color w:val="auto"/>
                    </w:rPr>
                  </w:pPr>
                  <w:r>
                    <w:rPr>
                      <w:rFonts w:hint="eastAsia"/>
                      <w:color w:val="auto"/>
                    </w:rPr>
                    <w:t>钻井液</w:t>
                  </w:r>
                </w:p>
              </w:tc>
              <w:tc>
                <w:tcPr>
                  <w:tcW w:w="855" w:type="pct"/>
                  <w:vAlign w:val="center"/>
                </w:tcPr>
                <w:p w14:paraId="4A9CE4D4">
                  <w:pPr>
                    <w:pStyle w:val="94"/>
                    <w:rPr>
                      <w:color w:val="auto"/>
                    </w:rPr>
                  </w:pPr>
                  <w:r>
                    <w:rPr>
                      <w:rFonts w:hint="eastAsia"/>
                      <w:color w:val="auto"/>
                    </w:rPr>
                    <w:t>1.5（补充）</w:t>
                  </w:r>
                </w:p>
              </w:tc>
              <w:tc>
                <w:tcPr>
                  <w:tcW w:w="550" w:type="pct"/>
                  <w:vAlign w:val="center"/>
                </w:tcPr>
                <w:p w14:paraId="0003800C">
                  <w:pPr>
                    <w:pStyle w:val="94"/>
                    <w:rPr>
                      <w:color w:val="auto"/>
                    </w:rPr>
                  </w:pPr>
                  <w:r>
                    <w:rPr>
                      <w:rFonts w:hint="eastAsia"/>
                      <w:color w:val="auto"/>
                    </w:rPr>
                    <w:t>1.5</w:t>
                  </w:r>
                </w:p>
              </w:tc>
              <w:tc>
                <w:tcPr>
                  <w:tcW w:w="861" w:type="pct"/>
                  <w:vAlign w:val="center"/>
                </w:tcPr>
                <w:p w14:paraId="2153F679">
                  <w:pPr>
                    <w:pStyle w:val="94"/>
                    <w:rPr>
                      <w:color w:val="auto"/>
                    </w:rPr>
                  </w:pPr>
                  <w:r>
                    <w:rPr>
                      <w:rFonts w:hint="eastAsia"/>
                      <w:color w:val="auto"/>
                    </w:rPr>
                    <w:t>0</w:t>
                  </w:r>
                </w:p>
              </w:tc>
              <w:tc>
                <w:tcPr>
                  <w:tcW w:w="1365" w:type="pct"/>
                  <w:vAlign w:val="center"/>
                </w:tcPr>
                <w:p w14:paraId="2D233695">
                  <w:pPr>
                    <w:pStyle w:val="94"/>
                    <w:rPr>
                      <w:color w:val="auto"/>
                    </w:rPr>
                  </w:pPr>
                  <w:r>
                    <w:rPr>
                      <w:rFonts w:hint="eastAsia"/>
                      <w:color w:val="auto"/>
                    </w:rPr>
                    <w:t>钻井液</w:t>
                  </w:r>
                  <w:r>
                    <w:rPr>
                      <w:color w:val="auto"/>
                    </w:rPr>
                    <w:t>循环</w:t>
                  </w:r>
                </w:p>
              </w:tc>
            </w:tr>
            <w:tr w14:paraId="0B0177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13" w:type="pct"/>
                  <w:vAlign w:val="center"/>
                </w:tcPr>
                <w:p w14:paraId="67E19992">
                  <w:pPr>
                    <w:pStyle w:val="94"/>
                    <w:rPr>
                      <w:color w:val="auto"/>
                    </w:rPr>
                  </w:pPr>
                  <w:r>
                    <w:rPr>
                      <w:rFonts w:hint="eastAsia"/>
                      <w:color w:val="auto"/>
                    </w:rPr>
                    <w:t>2</w:t>
                  </w:r>
                </w:p>
              </w:tc>
              <w:tc>
                <w:tcPr>
                  <w:tcW w:w="956" w:type="pct"/>
                  <w:vAlign w:val="center"/>
                </w:tcPr>
                <w:p w14:paraId="54CD6E13">
                  <w:pPr>
                    <w:pStyle w:val="94"/>
                    <w:rPr>
                      <w:color w:val="auto"/>
                    </w:rPr>
                  </w:pPr>
                  <w:r>
                    <w:rPr>
                      <w:rFonts w:hint="eastAsia"/>
                      <w:color w:val="auto"/>
                    </w:rPr>
                    <w:t>固井泥浆</w:t>
                  </w:r>
                </w:p>
              </w:tc>
              <w:tc>
                <w:tcPr>
                  <w:tcW w:w="855" w:type="pct"/>
                  <w:vAlign w:val="center"/>
                </w:tcPr>
                <w:p w14:paraId="6804A84A">
                  <w:pPr>
                    <w:pStyle w:val="94"/>
                    <w:rPr>
                      <w:color w:val="auto"/>
                    </w:rPr>
                  </w:pPr>
                  <w:r>
                    <w:rPr>
                      <w:rFonts w:hint="eastAsia"/>
                      <w:color w:val="auto"/>
                    </w:rPr>
                    <w:t>2</w:t>
                  </w:r>
                </w:p>
              </w:tc>
              <w:tc>
                <w:tcPr>
                  <w:tcW w:w="550" w:type="pct"/>
                  <w:vAlign w:val="center"/>
                </w:tcPr>
                <w:p w14:paraId="15B91379">
                  <w:pPr>
                    <w:pStyle w:val="94"/>
                    <w:rPr>
                      <w:color w:val="auto"/>
                    </w:rPr>
                  </w:pPr>
                  <w:r>
                    <w:rPr>
                      <w:rFonts w:hint="eastAsia"/>
                      <w:color w:val="auto"/>
                    </w:rPr>
                    <w:t>2</w:t>
                  </w:r>
                </w:p>
              </w:tc>
              <w:tc>
                <w:tcPr>
                  <w:tcW w:w="861" w:type="pct"/>
                  <w:vAlign w:val="center"/>
                </w:tcPr>
                <w:p w14:paraId="782CD4B5">
                  <w:pPr>
                    <w:pStyle w:val="94"/>
                    <w:rPr>
                      <w:color w:val="auto"/>
                    </w:rPr>
                  </w:pPr>
                  <w:r>
                    <w:rPr>
                      <w:rFonts w:hint="eastAsia"/>
                      <w:color w:val="auto"/>
                    </w:rPr>
                    <w:t>0</w:t>
                  </w:r>
                </w:p>
              </w:tc>
              <w:tc>
                <w:tcPr>
                  <w:tcW w:w="1365" w:type="pct"/>
                  <w:vAlign w:val="center"/>
                </w:tcPr>
                <w:p w14:paraId="6AE91618">
                  <w:pPr>
                    <w:pStyle w:val="94"/>
                    <w:rPr>
                      <w:color w:val="auto"/>
                    </w:rPr>
                  </w:pPr>
                </w:p>
              </w:tc>
            </w:tr>
            <w:tr w14:paraId="024302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13" w:type="pct"/>
                  <w:vAlign w:val="center"/>
                </w:tcPr>
                <w:p w14:paraId="525BE348">
                  <w:pPr>
                    <w:pStyle w:val="94"/>
                    <w:rPr>
                      <w:color w:val="auto"/>
                    </w:rPr>
                  </w:pPr>
                  <w:r>
                    <w:rPr>
                      <w:rFonts w:hint="eastAsia"/>
                      <w:color w:val="auto"/>
                    </w:rPr>
                    <w:t>3</w:t>
                  </w:r>
                </w:p>
              </w:tc>
              <w:tc>
                <w:tcPr>
                  <w:tcW w:w="956" w:type="pct"/>
                  <w:vAlign w:val="center"/>
                </w:tcPr>
                <w:p w14:paraId="2A2B1587">
                  <w:pPr>
                    <w:pStyle w:val="94"/>
                    <w:rPr>
                      <w:color w:val="auto"/>
                    </w:rPr>
                  </w:pPr>
                  <w:r>
                    <w:rPr>
                      <w:rFonts w:hint="eastAsia"/>
                      <w:color w:val="auto"/>
                    </w:rPr>
                    <w:t>设备</w:t>
                  </w:r>
                  <w:r>
                    <w:rPr>
                      <w:color w:val="auto"/>
                    </w:rPr>
                    <w:t>冲洗</w:t>
                  </w:r>
                </w:p>
              </w:tc>
              <w:tc>
                <w:tcPr>
                  <w:tcW w:w="855" w:type="pct"/>
                  <w:vAlign w:val="center"/>
                </w:tcPr>
                <w:p w14:paraId="51E5A3C0">
                  <w:pPr>
                    <w:pStyle w:val="94"/>
                    <w:rPr>
                      <w:color w:val="auto"/>
                    </w:rPr>
                  </w:pPr>
                  <w:r>
                    <w:rPr>
                      <w:rFonts w:hint="eastAsia"/>
                      <w:color w:val="auto"/>
                    </w:rPr>
                    <w:t>0.6</w:t>
                  </w:r>
                </w:p>
              </w:tc>
              <w:tc>
                <w:tcPr>
                  <w:tcW w:w="550" w:type="pct"/>
                  <w:vAlign w:val="center"/>
                </w:tcPr>
                <w:p w14:paraId="71C7D011">
                  <w:pPr>
                    <w:pStyle w:val="94"/>
                    <w:rPr>
                      <w:color w:val="auto"/>
                    </w:rPr>
                  </w:pPr>
                  <w:r>
                    <w:rPr>
                      <w:rFonts w:hint="eastAsia"/>
                      <w:color w:val="auto"/>
                    </w:rPr>
                    <w:t>0.06</w:t>
                  </w:r>
                </w:p>
              </w:tc>
              <w:tc>
                <w:tcPr>
                  <w:tcW w:w="861" w:type="pct"/>
                  <w:vAlign w:val="center"/>
                </w:tcPr>
                <w:p w14:paraId="19861BC8">
                  <w:pPr>
                    <w:pStyle w:val="94"/>
                    <w:rPr>
                      <w:color w:val="auto"/>
                    </w:rPr>
                  </w:pPr>
                  <w:r>
                    <w:rPr>
                      <w:rFonts w:hint="eastAsia"/>
                      <w:color w:val="auto"/>
                    </w:rPr>
                    <w:t>0.54</w:t>
                  </w:r>
                </w:p>
              </w:tc>
              <w:tc>
                <w:tcPr>
                  <w:tcW w:w="1365" w:type="pct"/>
                  <w:vAlign w:val="center"/>
                </w:tcPr>
                <w:p w14:paraId="48E48805">
                  <w:pPr>
                    <w:pStyle w:val="94"/>
                    <w:rPr>
                      <w:color w:val="auto"/>
                    </w:rPr>
                  </w:pPr>
                  <w:r>
                    <w:rPr>
                      <w:rFonts w:hint="eastAsia"/>
                      <w:color w:val="auto"/>
                    </w:rPr>
                    <w:t>进入</w:t>
                  </w:r>
                  <w:r>
                    <w:rPr>
                      <w:color w:val="auto"/>
                    </w:rPr>
                    <w:t>钻井泥浆池</w:t>
                  </w:r>
                </w:p>
              </w:tc>
            </w:tr>
            <w:tr w14:paraId="4BBF90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413" w:type="pct"/>
                  <w:vAlign w:val="center"/>
                </w:tcPr>
                <w:p w14:paraId="5FCE79C3">
                  <w:pPr>
                    <w:pStyle w:val="94"/>
                    <w:rPr>
                      <w:color w:val="auto"/>
                    </w:rPr>
                  </w:pPr>
                  <w:r>
                    <w:rPr>
                      <w:rFonts w:hint="eastAsia"/>
                      <w:color w:val="auto"/>
                    </w:rPr>
                    <w:t>4</w:t>
                  </w:r>
                </w:p>
              </w:tc>
              <w:tc>
                <w:tcPr>
                  <w:tcW w:w="956" w:type="pct"/>
                  <w:vAlign w:val="center"/>
                </w:tcPr>
                <w:p w14:paraId="0F221625">
                  <w:pPr>
                    <w:pStyle w:val="94"/>
                    <w:rPr>
                      <w:color w:val="auto"/>
                    </w:rPr>
                  </w:pPr>
                  <w:r>
                    <w:rPr>
                      <w:rFonts w:hint="eastAsia"/>
                      <w:color w:val="auto"/>
                    </w:rPr>
                    <w:t>施工</w:t>
                  </w:r>
                  <w:r>
                    <w:rPr>
                      <w:color w:val="auto"/>
                    </w:rPr>
                    <w:t>人员生活</w:t>
                  </w:r>
                </w:p>
              </w:tc>
              <w:tc>
                <w:tcPr>
                  <w:tcW w:w="855" w:type="pct"/>
                  <w:vAlign w:val="center"/>
                </w:tcPr>
                <w:p w14:paraId="29B84DED">
                  <w:pPr>
                    <w:pStyle w:val="94"/>
                    <w:rPr>
                      <w:color w:val="auto"/>
                    </w:rPr>
                  </w:pPr>
                  <w:r>
                    <w:rPr>
                      <w:rFonts w:hint="eastAsia"/>
                      <w:color w:val="auto"/>
                    </w:rPr>
                    <w:t>1.4</w:t>
                  </w:r>
                </w:p>
              </w:tc>
              <w:tc>
                <w:tcPr>
                  <w:tcW w:w="550" w:type="pct"/>
                  <w:vAlign w:val="center"/>
                </w:tcPr>
                <w:p w14:paraId="1E9257B0">
                  <w:pPr>
                    <w:pStyle w:val="94"/>
                    <w:rPr>
                      <w:color w:val="auto"/>
                    </w:rPr>
                  </w:pPr>
                  <w:r>
                    <w:rPr>
                      <w:rFonts w:hint="eastAsia"/>
                      <w:color w:val="auto"/>
                    </w:rPr>
                    <w:t>0.28</w:t>
                  </w:r>
                </w:p>
              </w:tc>
              <w:tc>
                <w:tcPr>
                  <w:tcW w:w="861" w:type="pct"/>
                  <w:vAlign w:val="center"/>
                </w:tcPr>
                <w:p w14:paraId="6F3AC590">
                  <w:pPr>
                    <w:pStyle w:val="94"/>
                    <w:rPr>
                      <w:color w:val="auto"/>
                    </w:rPr>
                  </w:pPr>
                  <w:r>
                    <w:rPr>
                      <w:rFonts w:hint="eastAsia"/>
                      <w:color w:val="auto"/>
                    </w:rPr>
                    <w:t>1.12</w:t>
                  </w:r>
                </w:p>
              </w:tc>
              <w:tc>
                <w:tcPr>
                  <w:tcW w:w="1365" w:type="pct"/>
                  <w:vAlign w:val="center"/>
                </w:tcPr>
                <w:p w14:paraId="3CBA2238">
                  <w:pPr>
                    <w:pStyle w:val="94"/>
                    <w:rPr>
                      <w:color w:val="auto"/>
                    </w:rPr>
                  </w:pPr>
                  <w:r>
                    <w:rPr>
                      <w:rFonts w:hint="eastAsia"/>
                      <w:color w:val="auto"/>
                    </w:rPr>
                    <w:t>沉淀</w:t>
                  </w:r>
                  <w:r>
                    <w:rPr>
                      <w:color w:val="auto"/>
                    </w:rPr>
                    <w:t>后用于道路洒水</w:t>
                  </w:r>
                </w:p>
              </w:tc>
            </w:tr>
          </w:tbl>
          <w:p w14:paraId="0F132233">
            <w:pPr>
              <w:keepNext/>
              <w:adjustRightInd w:val="0"/>
              <w:snapToGrid w:val="0"/>
              <w:jc w:val="center"/>
            </w:pPr>
            <w:r>
              <w:drawing>
                <wp:inline distT="0" distB="0" distL="0" distR="0">
                  <wp:extent cx="4110990" cy="2203450"/>
                  <wp:effectExtent l="0" t="0" r="0"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noChangeArrowheads="1"/>
                          </pic:cNvPicPr>
                        </pic:nvPicPr>
                        <pic:blipFill>
                          <a:blip r:embed="rId26"/>
                          <a:srcRect/>
                          <a:stretch>
                            <a:fillRect/>
                          </a:stretch>
                        </pic:blipFill>
                        <pic:spPr>
                          <a:xfrm>
                            <a:off x="0" y="0"/>
                            <a:ext cx="4110990" cy="2203450"/>
                          </a:xfrm>
                          <a:prstGeom prst="rect">
                            <a:avLst/>
                          </a:prstGeom>
                          <a:noFill/>
                          <a:ln>
                            <a:noFill/>
                          </a:ln>
                        </pic:spPr>
                      </pic:pic>
                    </a:graphicData>
                  </a:graphic>
                </wp:inline>
              </w:drawing>
            </w:r>
          </w:p>
          <w:p w14:paraId="6C13B825">
            <w:pPr>
              <w:pStyle w:val="19"/>
            </w:pPr>
            <w:r>
              <w:t xml:space="preserve">图 </w:t>
            </w:r>
            <w:r>
              <w:fldChar w:fldCharType="begin"/>
            </w:r>
            <w:r>
              <w:instrText xml:space="preserve"> SEQ 图 \* ARABIC </w:instrText>
            </w:r>
            <w:r>
              <w:fldChar w:fldCharType="separate"/>
            </w:r>
            <w:r>
              <w:t>3</w:t>
            </w:r>
            <w:r>
              <w:fldChar w:fldCharType="end"/>
            </w:r>
            <w:r>
              <w:rPr>
                <w:rFonts w:hint="eastAsia"/>
              </w:rPr>
              <w:t>单口直井</w:t>
            </w:r>
            <w:r>
              <w:t>/定向井钻井期水平衡图 单位：m</w:t>
            </w:r>
            <w:r>
              <w:rPr>
                <w:vertAlign w:val="superscript"/>
              </w:rPr>
              <w:t>3</w:t>
            </w:r>
            <w:r>
              <w:t>/d</w:t>
            </w:r>
          </w:p>
          <w:p w14:paraId="4B8C576E">
            <w:pPr>
              <w:pStyle w:val="96"/>
              <w:ind w:firstLine="480"/>
            </w:pPr>
            <w:r>
              <w:rPr>
                <w:rFonts w:hint="eastAsia"/>
              </w:rPr>
              <w:t>②完井期</w:t>
            </w:r>
          </w:p>
          <w:p w14:paraId="6202F7B1">
            <w:pPr>
              <w:pStyle w:val="96"/>
              <w:ind w:firstLine="480"/>
            </w:pPr>
            <w:r>
              <w:t>A</w:t>
            </w:r>
            <w:r>
              <w:rPr>
                <w:rFonts w:hint="eastAsia"/>
              </w:rPr>
              <w:t>水源</w:t>
            </w:r>
          </w:p>
          <w:p w14:paraId="26E52E40">
            <w:pPr>
              <w:pStyle w:val="96"/>
              <w:ind w:firstLine="480"/>
            </w:pPr>
            <w:r>
              <w:rPr>
                <w:rFonts w:hint="eastAsia"/>
              </w:rPr>
              <w:t>压裂液为胍胶压裂液。压裂用水来自处理后的返排液或购自就近村庄，压裂现场配置水罐进行储存。单口直井/定向完井期时间为19天。生活污水主要为井场钻井期施工人员生活废水等，按用水量</w:t>
            </w:r>
            <w:r>
              <w:t>80%计算，生活污水量为1.12m</w:t>
            </w:r>
            <w:r>
              <w:rPr>
                <w:vertAlign w:val="superscript"/>
              </w:rPr>
              <w:t>3</w:t>
            </w:r>
            <w:r>
              <w:t>/d，产生量较少，井场设临时简易沉淀池，生活污水经沉淀后用于周边道路洒水。</w:t>
            </w:r>
          </w:p>
          <w:p w14:paraId="412C04C6">
            <w:pPr>
              <w:pStyle w:val="96"/>
              <w:ind w:firstLine="480"/>
            </w:pPr>
            <w:r>
              <w:t>B用水量</w:t>
            </w:r>
          </w:p>
          <w:p w14:paraId="50BFEA42">
            <w:pPr>
              <w:pStyle w:val="96"/>
              <w:ind w:firstLine="480"/>
            </w:pPr>
            <w:r>
              <w:rPr>
                <w:rFonts w:hint="eastAsia"/>
              </w:rPr>
              <w:t>根据建设单位提供的</w:t>
            </w:r>
            <w:r>
              <w:t>资料</w:t>
            </w:r>
            <w:r>
              <w:rPr>
                <w:rFonts w:hint="eastAsia"/>
              </w:rPr>
              <w:t>，单口直井/定向井压裂用水约</w:t>
            </w:r>
            <w:r>
              <w:t>8</w:t>
            </w:r>
            <w:r>
              <w:rPr>
                <w:rFonts w:hint="eastAsia"/>
              </w:rPr>
              <w:t>00m</w:t>
            </w:r>
            <w:r>
              <w:rPr>
                <w:rFonts w:hint="eastAsia"/>
                <w:vertAlign w:val="superscript"/>
              </w:rPr>
              <w:t>3</w:t>
            </w:r>
            <w:r>
              <w:rPr>
                <w:rFonts w:hint="eastAsia"/>
              </w:rPr>
              <w:t>。</w:t>
            </w:r>
          </w:p>
          <w:p w14:paraId="6D8AC702">
            <w:pPr>
              <w:pStyle w:val="96"/>
              <w:ind w:firstLine="480"/>
            </w:pPr>
            <w:r>
              <w:rPr>
                <w:rFonts w:hint="eastAsia"/>
              </w:rPr>
              <w:t>C排水量</w:t>
            </w:r>
          </w:p>
          <w:p w14:paraId="00017A30">
            <w:pPr>
              <w:pStyle w:val="96"/>
              <w:ind w:firstLine="480"/>
            </w:pPr>
            <w:r>
              <w:rPr>
                <w:rFonts w:hint="eastAsia"/>
                <w:bCs/>
              </w:rPr>
              <w:t>压裂结束后部分压裂液由地层返排出来，井场采用软体罐或钢罐进行存储，拉运至中联煤层气有限责任公司临兴西区</w:t>
            </w:r>
            <w:r>
              <w:rPr>
                <w:bCs/>
              </w:rPr>
              <w:t>(山西区块)开发项目</w:t>
            </w:r>
            <w:r>
              <w:rPr>
                <w:rFonts w:hint="eastAsia"/>
                <w:bCs/>
              </w:rPr>
              <w:t>排采水处理</w:t>
            </w:r>
            <w:r>
              <w:rPr>
                <w:bCs/>
              </w:rPr>
              <w:t>2站处理，</w:t>
            </w:r>
            <w:r>
              <w:rPr>
                <w:rFonts w:hint="eastAsia"/>
                <w:b/>
              </w:rPr>
              <w:t>根据《煤层气开发环境保护技术规范》（</w:t>
            </w:r>
            <w:r>
              <w:rPr>
                <w:b/>
              </w:rPr>
              <w:t>DB14/T2659-2023）要求“钻井井场应在压裂作业前设置压裂废水储液罐(池)，剩余压裂液应回收并循环使用”，返排压裂液处理后回用于下一口井配置压裂液。</w:t>
            </w:r>
          </w:p>
          <w:p w14:paraId="53B92AA0">
            <w:pPr>
              <w:pStyle w:val="96"/>
              <w:ind w:firstLine="480"/>
            </w:pPr>
            <w:r>
              <w:rPr>
                <w:rFonts w:hint="eastAsia"/>
              </w:rPr>
              <w:t>根据建设单位提供</w:t>
            </w:r>
            <w:r>
              <w:t>的</w:t>
            </w:r>
            <w:r>
              <w:rPr>
                <w:rFonts w:hint="eastAsia"/>
              </w:rPr>
              <w:t>资料，单口直井/定向井产生的压裂返排液的量约为</w:t>
            </w:r>
            <w:r>
              <w:t>240</w:t>
            </w:r>
            <w:r>
              <w:rPr>
                <w:rFonts w:hint="eastAsia"/>
              </w:rPr>
              <w:t>m</w:t>
            </w:r>
            <w:r>
              <w:rPr>
                <w:rFonts w:hint="eastAsia"/>
                <w:vertAlign w:val="superscript"/>
              </w:rPr>
              <w:t>3</w:t>
            </w:r>
            <w:r>
              <w:rPr>
                <w:rFonts w:hint="eastAsia"/>
              </w:rPr>
              <w:t>。</w:t>
            </w:r>
          </w:p>
          <w:p w14:paraId="01A515E5">
            <w:pPr>
              <w:pStyle w:val="96"/>
              <w:ind w:firstLine="480"/>
              <w:rPr>
                <w:lang w:eastAsia="ja-JP"/>
              </w:rPr>
            </w:pPr>
            <w:r>
              <w:rPr>
                <w:rFonts w:hint="eastAsia" w:cs="宋体"/>
                <w:lang w:eastAsia="ja-JP"/>
              </w:rPr>
              <w:t>③</w:t>
            </w:r>
            <w:r>
              <w:rPr>
                <w:rFonts w:hint="eastAsia"/>
              </w:rPr>
              <w:t>试气期</w:t>
            </w:r>
          </w:p>
          <w:p w14:paraId="3545A465">
            <w:pPr>
              <w:pStyle w:val="96"/>
              <w:ind w:firstLine="480"/>
              <w:rPr>
                <w:rFonts w:eastAsia="MS Mincho"/>
                <w:lang w:eastAsia="ja-JP"/>
              </w:rPr>
            </w:pPr>
            <w:r>
              <w:rPr>
                <w:lang w:eastAsia="ja-JP"/>
              </w:rPr>
              <w:t>本项目</w:t>
            </w:r>
            <w:r>
              <w:rPr>
                <w:rFonts w:hint="eastAsia"/>
              </w:rPr>
              <w:t>试气期</w:t>
            </w:r>
            <w:r>
              <w:rPr>
                <w:lang w:eastAsia="ja-JP"/>
              </w:rPr>
              <w:t>不需要生产用水。各井场</w:t>
            </w:r>
            <w:r>
              <w:rPr>
                <w:rFonts w:hint="eastAsia"/>
              </w:rPr>
              <w:t>工作</w:t>
            </w:r>
            <w:r>
              <w:t>人员食宿都在井场内集装箱式房内，现场施工人员生活用水量70L/人·d</w:t>
            </w:r>
            <w:r>
              <w:rPr>
                <w:rFonts w:hint="eastAsia"/>
              </w:rPr>
              <w:t>，</w:t>
            </w:r>
            <w:r>
              <w:t>则用水量为1.4</w:t>
            </w:r>
            <w:r>
              <w:rPr>
                <w:rFonts w:hint="eastAsia"/>
              </w:rPr>
              <w:t>m</w:t>
            </w:r>
            <w:r>
              <w:rPr>
                <w:rFonts w:hint="eastAsia"/>
                <w:vertAlign w:val="superscript"/>
              </w:rPr>
              <w:t>3</w:t>
            </w:r>
            <w:r>
              <w:rPr>
                <w:rFonts w:hint="eastAsia"/>
              </w:rPr>
              <w:t>/d，按用水量80%计算，生活污水量为1.12m</w:t>
            </w:r>
            <w:r>
              <w:rPr>
                <w:rFonts w:hint="eastAsia"/>
                <w:vertAlign w:val="superscript"/>
              </w:rPr>
              <w:t>3</w:t>
            </w:r>
            <w:r>
              <w:rPr>
                <w:rFonts w:hint="eastAsia"/>
              </w:rPr>
              <w:t>/d，产生量较少，井场设临时简易沉淀池，生活污水经沉淀后用于周边道路洒水</w:t>
            </w:r>
            <w:r>
              <w:rPr>
                <w:lang w:eastAsia="ja-JP"/>
              </w:rPr>
              <w:t>。</w:t>
            </w:r>
          </w:p>
          <w:p w14:paraId="4BC084FE">
            <w:pPr>
              <w:pStyle w:val="96"/>
              <w:ind w:firstLine="480"/>
              <w:rPr>
                <w:rFonts w:eastAsia="Yu Mincho"/>
                <w:lang w:eastAsia="ja-JP"/>
              </w:rPr>
            </w:pPr>
            <w:r>
              <w:rPr>
                <w:rFonts w:hint="eastAsia"/>
              </w:rPr>
              <w:t>本项目</w:t>
            </w:r>
            <w:r>
              <w:rPr>
                <w:rFonts w:hint="eastAsia"/>
                <w:lang w:eastAsia="ja-JP"/>
              </w:rPr>
              <w:t>气井属于致密砂岩气井，属于游离气藏，储层一般不含水。</w:t>
            </w:r>
            <w:r>
              <w:rPr>
                <w:rFonts w:hint="eastAsia"/>
              </w:rPr>
              <w:t>试气期</w:t>
            </w:r>
            <w:r>
              <w:rPr>
                <w:rFonts w:hint="eastAsia"/>
                <w:lang w:eastAsia="ja-JP"/>
              </w:rPr>
              <w:t>生产废水主要为</w:t>
            </w:r>
            <w:r>
              <w:rPr>
                <w:rFonts w:hint="eastAsia"/>
              </w:rPr>
              <w:t>含压裂液的采出水，与致密气</w:t>
            </w:r>
            <w:r>
              <w:rPr>
                <w:rFonts w:hint="eastAsia"/>
                <w:lang w:eastAsia="ja-JP"/>
              </w:rPr>
              <w:t>一同排出，经气相分离器分离后，采用</w:t>
            </w:r>
            <w:r>
              <w:rPr>
                <w:lang w:eastAsia="ja-JP"/>
              </w:rPr>
              <w:t>软体罐或钢罐进行存储，</w:t>
            </w:r>
            <w:r>
              <w:rPr>
                <w:rFonts w:hint="eastAsia"/>
                <w:lang w:eastAsia="ja-JP"/>
              </w:rPr>
              <w:t>拉运至中联煤层气有限责任公司临兴西区</w:t>
            </w:r>
            <w:r>
              <w:rPr>
                <w:lang w:eastAsia="ja-JP"/>
              </w:rPr>
              <w:t>(山西区块)开发项目</w:t>
            </w:r>
            <w:r>
              <w:rPr>
                <w:rFonts w:hint="eastAsia"/>
                <w:lang w:eastAsia="ja-JP"/>
              </w:rPr>
              <w:t>排采水处理</w:t>
            </w:r>
            <w:r>
              <w:rPr>
                <w:lang w:eastAsia="ja-JP"/>
              </w:rPr>
              <w:t>2站处理后循环使用于下一口井压裂或钻井用水，不外排。</w:t>
            </w:r>
            <w:r>
              <w:rPr>
                <w:rFonts w:hint="eastAsia"/>
                <w:lang w:eastAsia="ja-JP"/>
              </w:rPr>
              <w:t>根据建设单位提供的资料，预计</w:t>
            </w:r>
            <w:r>
              <w:rPr>
                <w:rFonts w:hint="eastAsia"/>
              </w:rPr>
              <w:t>试气期单井采出水水</w:t>
            </w:r>
            <w:r>
              <w:rPr>
                <w:rFonts w:hint="eastAsia"/>
                <w:lang w:eastAsia="ja-JP"/>
              </w:rPr>
              <w:t>量为</w:t>
            </w:r>
            <w:r>
              <w:t>200m</w:t>
            </w:r>
            <w:r>
              <w:rPr>
                <w:vertAlign w:val="superscript"/>
              </w:rPr>
              <w:t>3</w:t>
            </w:r>
            <w:r>
              <w:rPr>
                <w:rFonts w:hint="eastAsia"/>
                <w:lang w:eastAsia="ja-JP"/>
              </w:rPr>
              <w:t>。</w:t>
            </w:r>
          </w:p>
          <w:p w14:paraId="4E59A4E7">
            <w:pPr>
              <w:pStyle w:val="19"/>
              <w:keepNext/>
            </w:pPr>
            <w:bookmarkStart w:id="32" w:name="_Ref169210150"/>
            <w:bookmarkStart w:id="33" w:name="_Ref169210162"/>
            <w:r>
              <w:t xml:space="preserve">表 </w:t>
            </w:r>
            <w:r>
              <w:fldChar w:fldCharType="begin"/>
            </w:r>
            <w:r>
              <w:instrText xml:space="preserve"> SEQ 表 \* ARABIC </w:instrText>
            </w:r>
            <w:r>
              <w:fldChar w:fldCharType="separate"/>
            </w:r>
            <w:r>
              <w:t>17</w:t>
            </w:r>
            <w:r>
              <w:fldChar w:fldCharType="end"/>
            </w:r>
            <w:bookmarkEnd w:id="32"/>
            <w:r>
              <w:rPr>
                <w:rFonts w:hint="eastAsia"/>
              </w:rPr>
              <w:t>本项目按施工计划压裂返排液及采出水产生量情况表</w:t>
            </w:r>
            <w:bookmarkEnd w:id="33"/>
          </w:p>
          <w:tbl>
            <w:tblPr>
              <w:tblStyle w:val="114"/>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087"/>
              <w:gridCol w:w="1077"/>
              <w:gridCol w:w="1077"/>
              <w:gridCol w:w="1077"/>
              <w:gridCol w:w="1077"/>
              <w:gridCol w:w="2071"/>
            </w:tblGrid>
            <w:tr w14:paraId="4B9F50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5" w:hRule="atLeast"/>
              </w:trPr>
              <w:tc>
                <w:tcPr>
                  <w:tcW w:w="1233" w:type="pct"/>
                  <w:vAlign w:val="center"/>
                </w:tcPr>
                <w:p w14:paraId="7BE7ED3B">
                  <w:pPr>
                    <w:pStyle w:val="94"/>
                  </w:pPr>
                  <w:r>
                    <w:t>时间</w:t>
                  </w:r>
                </w:p>
              </w:tc>
              <w:tc>
                <w:tcPr>
                  <w:tcW w:w="636" w:type="pct"/>
                  <w:vAlign w:val="center"/>
                </w:tcPr>
                <w:p w14:paraId="0B84ECF8">
                  <w:pPr>
                    <w:pStyle w:val="94"/>
                  </w:pPr>
                  <w:r>
                    <w:t>钻井废水m3</w:t>
                  </w:r>
                </w:p>
              </w:tc>
              <w:tc>
                <w:tcPr>
                  <w:tcW w:w="636" w:type="pct"/>
                  <w:vAlign w:val="center"/>
                </w:tcPr>
                <w:p w14:paraId="05839561">
                  <w:pPr>
                    <w:pStyle w:val="94"/>
                  </w:pPr>
                  <w:r>
                    <w:rPr>
                      <w:rFonts w:hint="eastAsia"/>
                    </w:rPr>
                    <w:t>压裂返排液m3</w:t>
                  </w:r>
                </w:p>
              </w:tc>
              <w:tc>
                <w:tcPr>
                  <w:tcW w:w="636" w:type="pct"/>
                  <w:vAlign w:val="center"/>
                </w:tcPr>
                <w:p w14:paraId="24064EF5">
                  <w:pPr>
                    <w:pStyle w:val="94"/>
                  </w:pPr>
                  <w:r>
                    <w:rPr>
                      <w:rFonts w:hint="eastAsia"/>
                    </w:rPr>
                    <w:t>采出水m3</w:t>
                  </w:r>
                </w:p>
              </w:tc>
              <w:tc>
                <w:tcPr>
                  <w:tcW w:w="636" w:type="pct"/>
                  <w:vAlign w:val="center"/>
                </w:tcPr>
                <w:p w14:paraId="210FC0A2">
                  <w:pPr>
                    <w:pStyle w:val="94"/>
                  </w:pPr>
                  <w:r>
                    <w:rPr>
                      <w:rFonts w:hint="eastAsia"/>
                    </w:rPr>
                    <w:t>废水总量m3</w:t>
                  </w:r>
                </w:p>
              </w:tc>
              <w:tc>
                <w:tcPr>
                  <w:tcW w:w="1223" w:type="pct"/>
                  <w:vAlign w:val="center"/>
                </w:tcPr>
                <w:p w14:paraId="745DC018">
                  <w:pPr>
                    <w:pStyle w:val="94"/>
                  </w:pPr>
                  <w:r>
                    <w:t>备注</w:t>
                  </w:r>
                </w:p>
              </w:tc>
            </w:tr>
            <w:tr w14:paraId="746DB1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33" w:type="pct"/>
                  <w:vAlign w:val="center"/>
                </w:tcPr>
                <w:p w14:paraId="39D5B67C">
                  <w:pPr>
                    <w:pStyle w:val="94"/>
                  </w:pPr>
                  <w:r>
                    <w:rPr>
                      <w:rFonts w:hint="eastAsia"/>
                    </w:rPr>
                    <w:t>2024年8月</w:t>
                  </w:r>
                </w:p>
              </w:tc>
              <w:tc>
                <w:tcPr>
                  <w:tcW w:w="636" w:type="pct"/>
                  <w:vAlign w:val="center"/>
                </w:tcPr>
                <w:p w14:paraId="56C67EB9">
                  <w:pPr>
                    <w:pStyle w:val="94"/>
                  </w:pPr>
                  <w:r>
                    <w:rPr>
                      <w:rFonts w:hint="eastAsia"/>
                    </w:rPr>
                    <w:t>364</w:t>
                  </w:r>
                </w:p>
              </w:tc>
              <w:tc>
                <w:tcPr>
                  <w:tcW w:w="636" w:type="pct"/>
                  <w:vAlign w:val="center"/>
                </w:tcPr>
                <w:p w14:paraId="17F86A95">
                  <w:pPr>
                    <w:pStyle w:val="94"/>
                  </w:pPr>
                  <w:r>
                    <w:t>/</w:t>
                  </w:r>
                </w:p>
              </w:tc>
              <w:tc>
                <w:tcPr>
                  <w:tcW w:w="636" w:type="pct"/>
                  <w:vAlign w:val="center"/>
                </w:tcPr>
                <w:p w14:paraId="301D94C5">
                  <w:pPr>
                    <w:pStyle w:val="94"/>
                  </w:pPr>
                  <w:r>
                    <w:t>/</w:t>
                  </w:r>
                </w:p>
              </w:tc>
              <w:tc>
                <w:tcPr>
                  <w:tcW w:w="636" w:type="pct"/>
                  <w:vAlign w:val="center"/>
                </w:tcPr>
                <w:p w14:paraId="79E11DB5">
                  <w:pPr>
                    <w:pStyle w:val="94"/>
                  </w:pPr>
                </w:p>
              </w:tc>
              <w:tc>
                <w:tcPr>
                  <w:tcW w:w="1223" w:type="pct"/>
                  <w:vMerge w:val="restart"/>
                  <w:vAlign w:val="center"/>
                </w:tcPr>
                <w:p w14:paraId="4C3DA848">
                  <w:pPr>
                    <w:pStyle w:val="94"/>
                  </w:pPr>
                  <w:r>
                    <w:t>钻井18天+完井（压准和压裂19天）+</w:t>
                  </w:r>
                  <w:r>
                    <w:rPr>
                      <w:color w:val="FF0000"/>
                    </w:rPr>
                    <w:t>考虑钻井和完井设备搬迁</w:t>
                  </w:r>
                  <w:r>
                    <w:t>共</w:t>
                  </w:r>
                  <w:r>
                    <w:rPr>
                      <w:color w:val="FF0000"/>
                    </w:rPr>
                    <w:t>45天</w:t>
                  </w:r>
                  <w:r>
                    <w:t>，</w:t>
                  </w:r>
                  <w:r>
                    <w:rPr>
                      <w:rFonts w:hint="eastAsia"/>
                      <w:color w:val="auto"/>
                    </w:rPr>
                    <w:t>试气期</w:t>
                  </w:r>
                  <w:r>
                    <w:t>60天</w:t>
                  </w:r>
                </w:p>
              </w:tc>
            </w:tr>
            <w:tr w14:paraId="21CE2A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33" w:type="pct"/>
                  <w:vAlign w:val="center"/>
                </w:tcPr>
                <w:p w14:paraId="2F521CF7">
                  <w:pPr>
                    <w:pStyle w:val="94"/>
                  </w:pPr>
                  <w:r>
                    <w:rPr>
                      <w:rFonts w:hint="eastAsia"/>
                    </w:rPr>
                    <w:t>2024年9月</w:t>
                  </w:r>
                </w:p>
              </w:tc>
              <w:tc>
                <w:tcPr>
                  <w:tcW w:w="636" w:type="pct"/>
                  <w:vAlign w:val="center"/>
                </w:tcPr>
                <w:p w14:paraId="7C2DF27D">
                  <w:pPr>
                    <w:pStyle w:val="94"/>
                  </w:pPr>
                  <w:r>
                    <w:rPr>
                      <w:rFonts w:hint="eastAsia"/>
                    </w:rPr>
                    <w:t>260</w:t>
                  </w:r>
                </w:p>
              </w:tc>
              <w:tc>
                <w:tcPr>
                  <w:tcW w:w="636" w:type="pct"/>
                  <w:vAlign w:val="center"/>
                </w:tcPr>
                <w:p w14:paraId="09BC9F8C">
                  <w:pPr>
                    <w:pStyle w:val="94"/>
                  </w:pPr>
                  <w:r>
                    <w:rPr>
                      <w:rFonts w:hint="eastAsia"/>
                    </w:rPr>
                    <w:t>1680</w:t>
                  </w:r>
                </w:p>
              </w:tc>
              <w:tc>
                <w:tcPr>
                  <w:tcW w:w="636" w:type="pct"/>
                  <w:vAlign w:val="center"/>
                </w:tcPr>
                <w:p w14:paraId="24417456">
                  <w:pPr>
                    <w:pStyle w:val="94"/>
                  </w:pPr>
                  <w:r>
                    <w:t>/</w:t>
                  </w:r>
                </w:p>
              </w:tc>
              <w:tc>
                <w:tcPr>
                  <w:tcW w:w="636" w:type="pct"/>
                  <w:vAlign w:val="center"/>
                </w:tcPr>
                <w:p w14:paraId="7E18BCBD">
                  <w:pPr>
                    <w:pStyle w:val="94"/>
                  </w:pPr>
                  <w:r>
                    <w:rPr>
                      <w:rFonts w:hint="eastAsia"/>
                    </w:rPr>
                    <w:t>1680</w:t>
                  </w:r>
                </w:p>
              </w:tc>
              <w:tc>
                <w:tcPr>
                  <w:tcW w:w="1223" w:type="pct"/>
                  <w:vMerge w:val="continue"/>
                  <w:vAlign w:val="center"/>
                </w:tcPr>
                <w:p w14:paraId="160D9307">
                  <w:pPr>
                    <w:pStyle w:val="94"/>
                  </w:pPr>
                </w:p>
              </w:tc>
            </w:tr>
            <w:tr w14:paraId="10D5D5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33" w:type="pct"/>
                  <w:vAlign w:val="center"/>
                </w:tcPr>
                <w:p w14:paraId="7D3FF689">
                  <w:pPr>
                    <w:pStyle w:val="94"/>
                  </w:pPr>
                  <w:r>
                    <w:rPr>
                      <w:rFonts w:hint="eastAsia"/>
                    </w:rPr>
                    <w:t>2024年10月</w:t>
                  </w:r>
                </w:p>
              </w:tc>
              <w:tc>
                <w:tcPr>
                  <w:tcW w:w="636" w:type="pct"/>
                  <w:vAlign w:val="center"/>
                </w:tcPr>
                <w:p w14:paraId="19E1E7C6">
                  <w:pPr>
                    <w:pStyle w:val="94"/>
                  </w:pPr>
                  <w:r>
                    <w:rPr>
                      <w:rFonts w:hint="eastAsia"/>
                    </w:rPr>
                    <w:t>260</w:t>
                  </w:r>
                </w:p>
              </w:tc>
              <w:tc>
                <w:tcPr>
                  <w:tcW w:w="636" w:type="pct"/>
                  <w:vAlign w:val="center"/>
                </w:tcPr>
                <w:p w14:paraId="0A85501B">
                  <w:pPr>
                    <w:pStyle w:val="94"/>
                  </w:pPr>
                  <w:r>
                    <w:rPr>
                      <w:rFonts w:hint="eastAsia"/>
                    </w:rPr>
                    <w:t>1200</w:t>
                  </w:r>
                </w:p>
              </w:tc>
              <w:tc>
                <w:tcPr>
                  <w:tcW w:w="636" w:type="pct"/>
                  <w:vAlign w:val="center"/>
                </w:tcPr>
                <w:p w14:paraId="375EBFA0">
                  <w:pPr>
                    <w:pStyle w:val="94"/>
                  </w:pPr>
                  <w:r>
                    <w:rPr>
                      <w:rFonts w:hint="eastAsia"/>
                    </w:rPr>
                    <w:t>700</w:t>
                  </w:r>
                </w:p>
              </w:tc>
              <w:tc>
                <w:tcPr>
                  <w:tcW w:w="636" w:type="pct"/>
                  <w:vAlign w:val="center"/>
                </w:tcPr>
                <w:p w14:paraId="48EA3038">
                  <w:pPr>
                    <w:pStyle w:val="94"/>
                  </w:pPr>
                  <w:r>
                    <w:rPr>
                      <w:rFonts w:hint="eastAsia"/>
                    </w:rPr>
                    <w:t>1900</w:t>
                  </w:r>
                </w:p>
              </w:tc>
              <w:tc>
                <w:tcPr>
                  <w:tcW w:w="1223" w:type="pct"/>
                  <w:vMerge w:val="continue"/>
                  <w:vAlign w:val="center"/>
                </w:tcPr>
                <w:p w14:paraId="5B48BF0A">
                  <w:pPr>
                    <w:pStyle w:val="94"/>
                  </w:pPr>
                </w:p>
              </w:tc>
            </w:tr>
            <w:tr w14:paraId="5955C7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33" w:type="pct"/>
                  <w:vAlign w:val="center"/>
                </w:tcPr>
                <w:p w14:paraId="7672142C">
                  <w:pPr>
                    <w:pStyle w:val="94"/>
                  </w:pPr>
                  <w:r>
                    <w:rPr>
                      <w:rFonts w:hint="eastAsia"/>
                    </w:rPr>
                    <w:t>2024年11月</w:t>
                  </w:r>
                </w:p>
              </w:tc>
              <w:tc>
                <w:tcPr>
                  <w:tcW w:w="636" w:type="pct"/>
                  <w:vAlign w:val="center"/>
                </w:tcPr>
                <w:p w14:paraId="117CD825">
                  <w:pPr>
                    <w:pStyle w:val="94"/>
                  </w:pPr>
                  <w:r>
                    <w:rPr>
                      <w:rFonts w:hint="eastAsia"/>
                    </w:rPr>
                    <w:t>208</w:t>
                  </w:r>
                </w:p>
              </w:tc>
              <w:tc>
                <w:tcPr>
                  <w:tcW w:w="636" w:type="pct"/>
                  <w:vAlign w:val="center"/>
                </w:tcPr>
                <w:p w14:paraId="7D7CB62A">
                  <w:pPr>
                    <w:pStyle w:val="94"/>
                  </w:pPr>
                  <w:r>
                    <w:rPr>
                      <w:rFonts w:hint="eastAsia"/>
                    </w:rPr>
                    <w:t>1200</w:t>
                  </w:r>
                </w:p>
              </w:tc>
              <w:tc>
                <w:tcPr>
                  <w:tcW w:w="636" w:type="pct"/>
                  <w:vAlign w:val="center"/>
                </w:tcPr>
                <w:p w14:paraId="34656856">
                  <w:pPr>
                    <w:pStyle w:val="94"/>
                  </w:pPr>
                  <w:r>
                    <w:rPr>
                      <w:rFonts w:hint="eastAsia"/>
                    </w:rPr>
                    <w:t>1200</w:t>
                  </w:r>
                </w:p>
              </w:tc>
              <w:tc>
                <w:tcPr>
                  <w:tcW w:w="636" w:type="pct"/>
                  <w:vAlign w:val="center"/>
                </w:tcPr>
                <w:p w14:paraId="3160877B">
                  <w:pPr>
                    <w:pStyle w:val="94"/>
                  </w:pPr>
                  <w:r>
                    <w:rPr>
                      <w:rFonts w:hint="eastAsia"/>
                    </w:rPr>
                    <w:t>2400</w:t>
                  </w:r>
                </w:p>
              </w:tc>
              <w:tc>
                <w:tcPr>
                  <w:tcW w:w="1223" w:type="pct"/>
                  <w:vMerge w:val="continue"/>
                  <w:vAlign w:val="center"/>
                </w:tcPr>
                <w:p w14:paraId="5F3A4429">
                  <w:pPr>
                    <w:pStyle w:val="94"/>
                  </w:pPr>
                </w:p>
              </w:tc>
            </w:tr>
            <w:tr w14:paraId="496457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33" w:type="pct"/>
                  <w:vAlign w:val="center"/>
                </w:tcPr>
                <w:p w14:paraId="4AE14380">
                  <w:pPr>
                    <w:pStyle w:val="94"/>
                  </w:pPr>
                  <w:r>
                    <w:rPr>
                      <w:rFonts w:hint="eastAsia"/>
                    </w:rPr>
                    <w:t>2024年12月</w:t>
                  </w:r>
                </w:p>
              </w:tc>
              <w:tc>
                <w:tcPr>
                  <w:tcW w:w="636" w:type="pct"/>
                  <w:vAlign w:val="center"/>
                </w:tcPr>
                <w:p w14:paraId="3EE753A7">
                  <w:pPr>
                    <w:pStyle w:val="94"/>
                  </w:pPr>
                  <w:r>
                    <w:t>/</w:t>
                  </w:r>
                </w:p>
              </w:tc>
              <w:tc>
                <w:tcPr>
                  <w:tcW w:w="636" w:type="pct"/>
                  <w:vAlign w:val="center"/>
                </w:tcPr>
                <w:p w14:paraId="4B80F274">
                  <w:pPr>
                    <w:pStyle w:val="94"/>
                  </w:pPr>
                  <w:r>
                    <w:rPr>
                      <w:rFonts w:hint="eastAsia"/>
                    </w:rPr>
                    <w:t>960</w:t>
                  </w:r>
                </w:p>
              </w:tc>
              <w:tc>
                <w:tcPr>
                  <w:tcW w:w="636" w:type="pct"/>
                  <w:vAlign w:val="center"/>
                </w:tcPr>
                <w:p w14:paraId="2CE21C3E">
                  <w:pPr>
                    <w:pStyle w:val="94"/>
                  </w:pPr>
                  <w:r>
                    <w:rPr>
                      <w:rFonts w:hint="eastAsia"/>
                    </w:rPr>
                    <w:t>1000</w:t>
                  </w:r>
                </w:p>
              </w:tc>
              <w:tc>
                <w:tcPr>
                  <w:tcW w:w="636" w:type="pct"/>
                  <w:vAlign w:val="center"/>
                </w:tcPr>
                <w:p w14:paraId="796230AA">
                  <w:pPr>
                    <w:pStyle w:val="94"/>
                  </w:pPr>
                  <w:r>
                    <w:rPr>
                      <w:rFonts w:hint="eastAsia"/>
                    </w:rPr>
                    <w:t>1960</w:t>
                  </w:r>
                </w:p>
              </w:tc>
              <w:tc>
                <w:tcPr>
                  <w:tcW w:w="1223" w:type="pct"/>
                  <w:vMerge w:val="continue"/>
                  <w:vAlign w:val="center"/>
                </w:tcPr>
                <w:p w14:paraId="46F1E829">
                  <w:pPr>
                    <w:pStyle w:val="94"/>
                  </w:pPr>
                </w:p>
              </w:tc>
            </w:tr>
            <w:tr w14:paraId="4C7C59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85" w:hRule="atLeast"/>
              </w:trPr>
              <w:tc>
                <w:tcPr>
                  <w:tcW w:w="1233" w:type="pct"/>
                  <w:vAlign w:val="center"/>
                </w:tcPr>
                <w:p w14:paraId="2972CF85">
                  <w:pPr>
                    <w:pStyle w:val="94"/>
                  </w:pPr>
                  <w:r>
                    <w:rPr>
                      <w:rFonts w:hint="eastAsia"/>
                    </w:rPr>
                    <w:t>2025年1月</w:t>
                  </w:r>
                </w:p>
              </w:tc>
              <w:tc>
                <w:tcPr>
                  <w:tcW w:w="636" w:type="pct"/>
                  <w:vAlign w:val="center"/>
                </w:tcPr>
                <w:p w14:paraId="348FE26E">
                  <w:pPr>
                    <w:pStyle w:val="94"/>
                  </w:pPr>
                  <w:r>
                    <w:t>/</w:t>
                  </w:r>
                </w:p>
              </w:tc>
              <w:tc>
                <w:tcPr>
                  <w:tcW w:w="636" w:type="pct"/>
                  <w:vAlign w:val="center"/>
                </w:tcPr>
                <w:p w14:paraId="0EEE69E2">
                  <w:pPr>
                    <w:pStyle w:val="94"/>
                  </w:pPr>
                  <w:r>
                    <w:t>/</w:t>
                  </w:r>
                </w:p>
              </w:tc>
              <w:tc>
                <w:tcPr>
                  <w:tcW w:w="636" w:type="pct"/>
                  <w:vAlign w:val="center"/>
                </w:tcPr>
                <w:p w14:paraId="6B60C75C">
                  <w:pPr>
                    <w:pStyle w:val="94"/>
                  </w:pPr>
                  <w:r>
                    <w:rPr>
                      <w:rFonts w:hint="eastAsia"/>
                    </w:rPr>
                    <w:t>900</w:t>
                  </w:r>
                </w:p>
              </w:tc>
              <w:tc>
                <w:tcPr>
                  <w:tcW w:w="636" w:type="pct"/>
                  <w:vAlign w:val="center"/>
                </w:tcPr>
                <w:p w14:paraId="7ACD0077">
                  <w:pPr>
                    <w:pStyle w:val="94"/>
                  </w:pPr>
                  <w:r>
                    <w:rPr>
                      <w:rFonts w:hint="eastAsia"/>
                    </w:rPr>
                    <w:t>900</w:t>
                  </w:r>
                </w:p>
              </w:tc>
              <w:tc>
                <w:tcPr>
                  <w:tcW w:w="1223" w:type="pct"/>
                  <w:vMerge w:val="continue"/>
                  <w:vAlign w:val="center"/>
                </w:tcPr>
                <w:p w14:paraId="2597D2BD">
                  <w:pPr>
                    <w:pStyle w:val="94"/>
                  </w:pPr>
                </w:p>
              </w:tc>
            </w:tr>
            <w:tr w14:paraId="313403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233" w:type="pct"/>
                  <w:vAlign w:val="center"/>
                </w:tcPr>
                <w:p w14:paraId="598B0FD5">
                  <w:pPr>
                    <w:pStyle w:val="94"/>
                  </w:pPr>
                  <w:r>
                    <w:rPr>
                      <w:rFonts w:hint="eastAsia"/>
                    </w:rPr>
                    <w:t>2025年2月</w:t>
                  </w:r>
                </w:p>
              </w:tc>
              <w:tc>
                <w:tcPr>
                  <w:tcW w:w="636" w:type="pct"/>
                  <w:vAlign w:val="center"/>
                </w:tcPr>
                <w:p w14:paraId="46EB415C">
                  <w:pPr>
                    <w:pStyle w:val="94"/>
                  </w:pPr>
                  <w:r>
                    <w:t>/</w:t>
                  </w:r>
                </w:p>
              </w:tc>
              <w:tc>
                <w:tcPr>
                  <w:tcW w:w="636" w:type="pct"/>
                  <w:vAlign w:val="center"/>
                </w:tcPr>
                <w:p w14:paraId="4A373E3D">
                  <w:pPr>
                    <w:pStyle w:val="94"/>
                  </w:pPr>
                  <w:r>
                    <w:t>/</w:t>
                  </w:r>
                </w:p>
              </w:tc>
              <w:tc>
                <w:tcPr>
                  <w:tcW w:w="636" w:type="pct"/>
                  <w:vAlign w:val="center"/>
                </w:tcPr>
                <w:p w14:paraId="445B7F81">
                  <w:pPr>
                    <w:pStyle w:val="94"/>
                  </w:pPr>
                  <w:r>
                    <w:rPr>
                      <w:rFonts w:hint="eastAsia"/>
                    </w:rPr>
                    <w:t>400</w:t>
                  </w:r>
                </w:p>
              </w:tc>
              <w:tc>
                <w:tcPr>
                  <w:tcW w:w="636" w:type="pct"/>
                  <w:vAlign w:val="center"/>
                </w:tcPr>
                <w:p w14:paraId="05374D6F">
                  <w:pPr>
                    <w:pStyle w:val="94"/>
                  </w:pPr>
                  <w:r>
                    <w:rPr>
                      <w:rFonts w:hint="eastAsia"/>
                    </w:rPr>
                    <w:t>400</w:t>
                  </w:r>
                </w:p>
              </w:tc>
              <w:tc>
                <w:tcPr>
                  <w:tcW w:w="1223" w:type="pct"/>
                  <w:vMerge w:val="continue"/>
                  <w:vAlign w:val="center"/>
                </w:tcPr>
                <w:p w14:paraId="35A25F6F">
                  <w:pPr>
                    <w:pStyle w:val="94"/>
                  </w:pPr>
                </w:p>
              </w:tc>
            </w:tr>
          </w:tbl>
          <w:p w14:paraId="33BAE27F">
            <w:pPr>
              <w:pStyle w:val="96"/>
              <w:ind w:firstLine="0" w:firstLineChars="0"/>
              <w:rPr>
                <w:b/>
                <w:bCs/>
              </w:rPr>
            </w:pPr>
            <w:r>
              <w:rPr>
                <w:rFonts w:hint="eastAsia"/>
                <w:b/>
                <w:bCs/>
              </w:rPr>
              <w:t>4、采出水和压裂返排液处置依托可行性分析</w:t>
            </w:r>
          </w:p>
          <w:p w14:paraId="238FF89B">
            <w:pPr>
              <w:pStyle w:val="96"/>
              <w:ind w:firstLine="482"/>
              <w:rPr>
                <w:b/>
                <w:bCs/>
              </w:rPr>
            </w:pPr>
            <w:r>
              <w:rPr>
                <w:rFonts w:hint="eastAsia"/>
                <w:b/>
                <w:bCs/>
              </w:rPr>
              <w:t>（1）中联煤层气有限责任公司临兴西区</w:t>
            </w:r>
            <w:r>
              <w:rPr>
                <w:b/>
                <w:bCs/>
              </w:rPr>
              <w:t>(山西区块)开发项目</w:t>
            </w:r>
            <w:r>
              <w:rPr>
                <w:rFonts w:hint="eastAsia"/>
                <w:b/>
                <w:bCs/>
              </w:rPr>
              <w:t>排采水处理</w:t>
            </w:r>
            <w:r>
              <w:rPr>
                <w:b/>
                <w:bCs/>
              </w:rPr>
              <w:t>2站</w:t>
            </w:r>
            <w:r>
              <w:rPr>
                <w:rFonts w:hint="eastAsia"/>
                <w:b/>
                <w:bCs/>
              </w:rPr>
              <w:t>环保手续办理情况</w:t>
            </w:r>
          </w:p>
          <w:p w14:paraId="65411D4F">
            <w:pPr>
              <w:pStyle w:val="96"/>
              <w:ind w:firstLine="480"/>
            </w:pPr>
            <w:r>
              <w:t>202</w:t>
            </w:r>
            <w:r>
              <w:rPr>
                <w:rFonts w:hint="eastAsia"/>
              </w:rPr>
              <w:t>3</w:t>
            </w:r>
            <w:r>
              <w:t>年</w:t>
            </w:r>
            <w:r>
              <w:rPr>
                <w:rFonts w:hint="eastAsia"/>
              </w:rPr>
              <w:t>5</w:t>
            </w:r>
            <w:r>
              <w:t>月中联煤层气有限责任公司委托</w:t>
            </w:r>
            <w:r>
              <w:rPr>
                <w:rFonts w:hint="eastAsia"/>
              </w:rPr>
              <w:t>山西新科联环境技术有限公司</w:t>
            </w:r>
            <w:r>
              <w:t>编制完成《</w:t>
            </w:r>
            <w:r>
              <w:rPr>
                <w:rFonts w:hint="eastAsia"/>
              </w:rPr>
              <w:t>中联煤层气有限责任公司临兴西区</w:t>
            </w:r>
            <w:r>
              <w:t>(山西区块)开发项目</w:t>
            </w:r>
            <w:r>
              <w:rPr>
                <w:rFonts w:hint="eastAsia"/>
              </w:rPr>
              <w:t>环境影响报告书</w:t>
            </w:r>
            <w:r>
              <w:t>》，202</w:t>
            </w:r>
            <w:r>
              <w:rPr>
                <w:rFonts w:hint="eastAsia"/>
              </w:rPr>
              <w:t>3</w:t>
            </w:r>
            <w:r>
              <w:t>年</w:t>
            </w:r>
            <w:r>
              <w:rPr>
                <w:rFonts w:hint="eastAsia"/>
              </w:rPr>
              <w:t>6</w:t>
            </w:r>
            <w:r>
              <w:t>月</w:t>
            </w:r>
            <w:r>
              <w:rPr>
                <w:rFonts w:hint="eastAsia"/>
              </w:rPr>
              <w:t>12</w:t>
            </w:r>
            <w:r>
              <w:t>日，山西省生态环境厅以“晋环审批函〔202</w:t>
            </w:r>
            <w:r>
              <w:rPr>
                <w:rFonts w:hint="eastAsia"/>
              </w:rPr>
              <w:t>3</w:t>
            </w:r>
            <w:r>
              <w:t>〕</w:t>
            </w:r>
            <w:r>
              <w:rPr>
                <w:rFonts w:hint="eastAsia"/>
              </w:rPr>
              <w:t>274</w:t>
            </w:r>
            <w:r>
              <w:t>号”文件对该项目环评进行了批复，同意该项目的实施。</w:t>
            </w:r>
            <w:r>
              <w:rPr>
                <w:rFonts w:hint="eastAsia"/>
              </w:rPr>
              <w:t>该报告书规定中联煤层气有限责任公司临兴西区</w:t>
            </w:r>
            <w:r>
              <w:t>(山西区块)开发项目</w:t>
            </w:r>
            <w:r>
              <w:rPr>
                <w:rFonts w:hint="eastAsia"/>
              </w:rPr>
              <w:t>建设</w:t>
            </w:r>
            <w:r>
              <w:t>压裂返排液及采出水处理站</w:t>
            </w:r>
            <w:r>
              <w:rPr>
                <w:rFonts w:hint="eastAsia"/>
              </w:rPr>
              <w:t>2</w:t>
            </w:r>
            <w:r>
              <w:t>座（</w:t>
            </w:r>
            <w:r>
              <w:rPr>
                <w:rFonts w:hint="eastAsia"/>
              </w:rPr>
              <w:t>排采水处理</w:t>
            </w:r>
            <w:r>
              <w:t xml:space="preserve"> 1 站位于 TC11 井场旁，排采水处理2站位于LXX40-32井场旁）</w:t>
            </w:r>
            <w:r>
              <w:rPr>
                <w:rFonts w:hint="eastAsia"/>
              </w:rPr>
              <w:t>用于处理气田勘探产生的</w:t>
            </w:r>
            <w:r>
              <w:t>压裂返排液及采出水</w:t>
            </w:r>
            <w:r>
              <w:rPr>
                <w:rFonts w:hint="eastAsia"/>
              </w:rPr>
              <w:t>。</w:t>
            </w:r>
          </w:p>
          <w:p w14:paraId="7085CDC1">
            <w:pPr>
              <w:pStyle w:val="96"/>
              <w:ind w:firstLine="480"/>
            </w:pPr>
            <w:r>
              <w:t>2024年5月24日，中联煤层气有限责任公司在临县主持召开了“中联煤层气有限责任公司临兴西区(山西区块)开发项目”竣工环境保护阶段性自主验收现场检查会议</w:t>
            </w:r>
            <w:r>
              <w:rPr>
                <w:rFonts w:hint="eastAsia"/>
              </w:rPr>
              <w:t>，并形成了会议纪要。</w:t>
            </w:r>
          </w:p>
          <w:p w14:paraId="0E0E5916">
            <w:pPr>
              <w:pStyle w:val="96"/>
              <w:ind w:firstLine="482"/>
              <w:rPr>
                <w:b/>
                <w:bCs/>
              </w:rPr>
            </w:pPr>
            <w:r>
              <w:rPr>
                <w:rFonts w:hint="eastAsia"/>
                <w:b/>
                <w:bCs/>
              </w:rPr>
              <w:t>（2）</w:t>
            </w:r>
            <w:r>
              <w:rPr>
                <w:b/>
                <w:bCs/>
              </w:rPr>
              <w:t>压裂返排液及采出水处理站</w:t>
            </w:r>
            <w:r>
              <w:rPr>
                <w:rFonts w:hint="eastAsia"/>
                <w:b/>
                <w:bCs/>
              </w:rPr>
              <w:t>处理工艺及处理规模</w:t>
            </w:r>
          </w:p>
          <w:p w14:paraId="577C5E5B">
            <w:pPr>
              <w:pStyle w:val="96"/>
              <w:ind w:firstLine="480"/>
            </w:pPr>
            <w:r>
              <w:rPr>
                <w:rFonts w:hint="eastAsia"/>
              </w:rPr>
              <w:t>排采水处理</w:t>
            </w:r>
            <w:r>
              <w:t xml:space="preserve"> 2 站，</w:t>
            </w:r>
            <w:r>
              <w:rPr>
                <w:rFonts w:hint="eastAsia"/>
              </w:rPr>
              <w:t>采用处理工艺为“絮凝沉淀→气浮→砂滤”，处理规模</w:t>
            </w:r>
            <w:r>
              <w:t xml:space="preserve"> 240m</w:t>
            </w:r>
            <w:r>
              <w:rPr>
                <w:vertAlign w:val="superscript"/>
              </w:rPr>
              <w:t>3</w:t>
            </w:r>
            <w:r>
              <w:t>/d，</w:t>
            </w:r>
            <w:r>
              <w:rPr>
                <w:rFonts w:hint="eastAsia"/>
              </w:rPr>
              <w:t>压裂返排液处理后用于回配压裂液和钻井用水,冬季无法回用的在清水池内暂存。</w:t>
            </w:r>
          </w:p>
          <w:p w14:paraId="31FEED7C">
            <w:pPr>
              <w:pStyle w:val="96"/>
              <w:ind w:firstLine="480"/>
            </w:pPr>
            <w:r>
              <w:rPr>
                <w:rFonts w:hint="eastAsia"/>
              </w:rPr>
              <w:t>项目水质符合中联煤层气有限责任公司临兴西区</w:t>
            </w:r>
            <w:r>
              <w:t>(山西区块)开发项目</w:t>
            </w:r>
            <w:r>
              <w:rPr>
                <w:rFonts w:hint="eastAsia"/>
              </w:rPr>
              <w:t>排采水处理</w:t>
            </w:r>
            <w:r>
              <w:t>2站</w:t>
            </w:r>
            <w:r>
              <w:rPr>
                <w:rFonts w:hint="eastAsia"/>
              </w:rPr>
              <w:t>进水水质要求；目前该水处理站设计处理规模为</w:t>
            </w:r>
            <w:r>
              <w:t>240m³/d，目前接纳区块内污水量（压裂液返排液+分离水量）为100m³/d</w:t>
            </w:r>
            <w:r>
              <w:rPr>
                <w:rFonts w:hint="eastAsia"/>
              </w:rPr>
              <w:t>。</w:t>
            </w:r>
          </w:p>
          <w:p w14:paraId="593CC032">
            <w:pPr>
              <w:pStyle w:val="96"/>
              <w:ind w:firstLine="480"/>
            </w:pPr>
            <w:r>
              <w:rPr>
                <w:rFonts w:hint="eastAsia"/>
              </w:rPr>
              <w:t>按照本区块内已投产井的返排规律来看，整个返排期一般为</w:t>
            </w:r>
            <w:r>
              <w:t>10天左右，前十余天压裂液的返排量占总压裂液的30%，依据压裂液返排液返排特点，返排压裂液拉运至</w:t>
            </w:r>
            <w:r>
              <w:rPr>
                <w:rFonts w:hint="eastAsia"/>
              </w:rPr>
              <w:t>中联煤层气有限责任公司临兴西区</w:t>
            </w:r>
            <w:r>
              <w:t>(山西区块)开发项目排采水处理2站处置后回用于下一井场压裂用水。剩余70%压裂液随着致密气一起采出，经</w:t>
            </w:r>
            <w:r>
              <w:rPr>
                <w:rFonts w:hint="eastAsia"/>
              </w:rPr>
              <w:t>中联煤层气有限责任公司临兴西区</w:t>
            </w:r>
            <w:r>
              <w:t>(山西区块)开发项目排采水处理2站处置后建设期回用于钻井、压裂，</w:t>
            </w:r>
            <w:r>
              <w:rPr>
                <w:rFonts w:hint="eastAsia"/>
              </w:rPr>
              <w:t>根据尚义区块运行经验来看，单口井</w:t>
            </w:r>
            <w:r>
              <w:t>分离水产生量为</w:t>
            </w:r>
            <w:r>
              <w:rPr>
                <w:rFonts w:hint="eastAsia"/>
              </w:rPr>
              <w:t>200</w:t>
            </w:r>
            <w:r>
              <w:t>m³，可以满足本项目排水需求。</w:t>
            </w:r>
          </w:p>
          <w:p w14:paraId="6AED2E33">
            <w:pPr>
              <w:pStyle w:val="96"/>
              <w:ind w:firstLine="482"/>
              <w:rPr>
                <w:b/>
                <w:bCs/>
              </w:rPr>
            </w:pPr>
            <w:r>
              <w:rPr>
                <w:rFonts w:hint="eastAsia"/>
                <w:b/>
                <w:bCs/>
              </w:rPr>
              <w:t>（4）压裂返排液及采出水输送</w:t>
            </w:r>
          </w:p>
          <w:p w14:paraId="2812399D">
            <w:pPr>
              <w:pStyle w:val="96"/>
              <w:ind w:firstLine="480"/>
            </w:pPr>
            <w:r>
              <w:rPr>
                <w:rFonts w:hint="eastAsia"/>
              </w:rPr>
              <w:t>各井场采出水由罐车拉运至建设单位已建的中联煤层气有限责任公司临兴西区</w:t>
            </w:r>
            <w:r>
              <w:t>(山西区块)开发项目</w:t>
            </w:r>
            <w:r>
              <w:rPr>
                <w:rFonts w:hint="eastAsia"/>
              </w:rPr>
              <w:t>排采水处理</w:t>
            </w:r>
            <w:r>
              <w:t>2站处理后回用</w:t>
            </w:r>
            <w:r>
              <w:rPr>
                <w:rFonts w:hint="eastAsia"/>
              </w:rPr>
              <w:t>，排采水运输责任主体为建设单位（中联煤层气有限责任公司）。</w:t>
            </w:r>
          </w:p>
          <w:p w14:paraId="5E3902D7">
            <w:pPr>
              <w:pStyle w:val="96"/>
              <w:ind w:firstLine="480"/>
            </w:pPr>
            <w:r>
              <w:rPr>
                <w:rFonts w:hint="eastAsia"/>
              </w:rPr>
              <w:t>综上分析，本项目产生的压裂返排液及采出水送由罐车拉运至建设单位已建的中联煤层气有限责任公司临兴西区</w:t>
            </w:r>
            <w:r>
              <w:t>(山西区块)开发项目</w:t>
            </w:r>
            <w:r>
              <w:rPr>
                <w:rFonts w:hint="eastAsia"/>
              </w:rPr>
              <w:t>排采水处理</w:t>
            </w:r>
            <w:r>
              <w:t>2站处理后回用</w:t>
            </w:r>
            <w:r>
              <w:rPr>
                <w:rFonts w:hint="eastAsia"/>
              </w:rPr>
              <w:t>，依托合理可行。</w:t>
            </w:r>
          </w:p>
        </w:tc>
      </w:tr>
      <w:tr w14:paraId="27CF6C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3119" w:hRule="atLeast"/>
          <w:jc w:val="center"/>
        </w:trPr>
        <w:tc>
          <w:tcPr>
            <w:tcW w:w="415" w:type="dxa"/>
            <w:vAlign w:val="center"/>
          </w:tcPr>
          <w:p w14:paraId="3E100985">
            <w:pPr>
              <w:adjustRightInd w:val="0"/>
              <w:snapToGrid w:val="0"/>
              <w:jc w:val="center"/>
              <w:rPr>
                <w:rFonts w:ascii="宋体" w:hAnsi="宋体" w:eastAsia="宋体"/>
                <w:kern w:val="0"/>
                <w:sz w:val="24"/>
              </w:rPr>
            </w:pPr>
            <w:r>
              <w:rPr>
                <w:rFonts w:ascii="宋体" w:hAnsi="宋体" w:eastAsia="宋体"/>
                <w:kern w:val="0"/>
                <w:sz w:val="24"/>
              </w:rPr>
              <w:t>总平面及现场布置</w:t>
            </w:r>
          </w:p>
        </w:tc>
        <w:tc>
          <w:tcPr>
            <w:tcW w:w="8516" w:type="dxa"/>
            <w:vAlign w:val="center"/>
          </w:tcPr>
          <w:p w14:paraId="084A157A">
            <w:pPr>
              <w:pStyle w:val="96"/>
              <w:ind w:firstLine="480"/>
            </w:pPr>
            <w:r>
              <w:t>（1）工程占地：本项目占地均为临时占地，主要为施工场地、临时道路。</w:t>
            </w:r>
          </w:p>
          <w:p w14:paraId="1D269ADA">
            <w:pPr>
              <w:pStyle w:val="96"/>
              <w:ind w:firstLine="480"/>
            </w:pPr>
            <w:r>
              <w:rPr>
                <w:rFonts w:hint="eastAsia"/>
              </w:rPr>
              <w:t>本项目设21座井场，总占地面积22.</w:t>
            </w:r>
            <w:r>
              <w:t>91</w:t>
            </w:r>
            <w:r>
              <w:rPr>
                <w:rFonts w:hint="eastAsia"/>
              </w:rPr>
              <w:t>hm</w:t>
            </w:r>
            <w:r>
              <w:rPr>
                <w:rFonts w:hint="eastAsia"/>
                <w:vertAlign w:val="superscript"/>
              </w:rPr>
              <w:t>2</w:t>
            </w:r>
            <w:r>
              <w:rPr>
                <w:rFonts w:hint="eastAsia"/>
              </w:rPr>
              <w:t>。井场进场</w:t>
            </w:r>
            <w:r>
              <w:t>道路</w:t>
            </w:r>
            <w:r>
              <w:rPr>
                <w:rFonts w:hint="eastAsia"/>
              </w:rPr>
              <w:t>原则利用现有乡村道路，无</w:t>
            </w:r>
            <w:r>
              <w:t>现有道路利用的需</w:t>
            </w:r>
            <w:r>
              <w:rPr>
                <w:rFonts w:hint="eastAsia"/>
              </w:rPr>
              <w:t>开挖</w:t>
            </w:r>
            <w:r>
              <w:t>临时道路，</w:t>
            </w:r>
            <w:r>
              <w:rPr>
                <w:rFonts w:hint="eastAsia"/>
              </w:rPr>
              <w:t>开挖路面宽3.5m。</w:t>
            </w:r>
          </w:p>
          <w:p w14:paraId="6D0F5324">
            <w:pPr>
              <w:pStyle w:val="96"/>
              <w:ind w:firstLine="480"/>
            </w:pPr>
            <w:r>
              <w:t>根据建设单位提供</w:t>
            </w:r>
            <w:r>
              <w:rPr>
                <w:rFonts w:hint="eastAsia"/>
              </w:rPr>
              <w:t>的</w:t>
            </w:r>
            <w:r>
              <w:t>资料，各勘探井场占地均为临时占地，根据国家</w:t>
            </w:r>
            <w:r>
              <w:rPr>
                <w:rFonts w:hint="eastAsia"/>
              </w:rPr>
              <w:t>及</w:t>
            </w:r>
            <w:r>
              <w:t>地方有关规定，对当地进行土地临时征用；</w:t>
            </w:r>
            <w:r>
              <w:rPr>
                <w:rFonts w:hint="eastAsia"/>
              </w:rPr>
              <w:t>勘探</w:t>
            </w:r>
            <w:r>
              <w:t>结束后对钻井进行</w:t>
            </w:r>
            <w:r>
              <w:rPr>
                <w:rFonts w:hint="eastAsia"/>
              </w:rPr>
              <w:t>关井</w:t>
            </w:r>
            <w:r>
              <w:t>，对场地进行生态恢复。</w:t>
            </w:r>
          </w:p>
          <w:p w14:paraId="7FF583E3">
            <w:pPr>
              <w:pStyle w:val="96"/>
              <w:ind w:firstLine="480"/>
            </w:pPr>
            <w:r>
              <w:t>（2）施工现场总平面布置</w:t>
            </w:r>
          </w:p>
          <w:p w14:paraId="08D18664">
            <w:pPr>
              <w:pStyle w:val="96"/>
              <w:ind w:firstLine="480"/>
            </w:pPr>
            <w:r>
              <w:t>井场布置方案：本次设计</w:t>
            </w:r>
            <w:r>
              <w:rPr>
                <w:rFonts w:hint="eastAsia"/>
              </w:rPr>
              <w:t>勘探</w:t>
            </w:r>
            <w:r>
              <w:t>井主要有直井、定向井。井场内合理布置钻机平台与工作区、生活区。进场道路宽3.5m，井场初次平整后洒水，再次压实。生产区包括管材区、泥浆材料区、发电房、油罐区、录井房、钻具区、消防区、废料区、泥浆池、清水池、钻机、</w:t>
            </w:r>
            <w:r>
              <w:rPr>
                <w:rFonts w:hint="eastAsia"/>
              </w:rPr>
              <w:t>撬装式</w:t>
            </w:r>
            <w:r>
              <w:t>危废</w:t>
            </w:r>
            <w:r>
              <w:rPr>
                <w:rFonts w:hint="eastAsia"/>
              </w:rPr>
              <w:t>贮存点</w:t>
            </w:r>
            <w:r>
              <w:t>，主要以钻井区为中心布设。生活区主要设有集装箱式食宿区。</w:t>
            </w:r>
          </w:p>
          <w:p w14:paraId="691D6598">
            <w:pPr>
              <w:pStyle w:val="96"/>
              <w:ind w:firstLine="480"/>
            </w:pPr>
            <w:r>
              <w:t>井场的一般平面布置示意图见</w:t>
            </w:r>
            <w:r>
              <w:fldChar w:fldCharType="begin"/>
            </w:r>
            <w:r>
              <w:instrText xml:space="preserve"> REF _Ref168000341 \h  \* MERGEFORMAT </w:instrText>
            </w:r>
            <w:r>
              <w:fldChar w:fldCharType="separate"/>
            </w:r>
            <w:r>
              <w:t>附图 7</w:t>
            </w:r>
            <w:r>
              <w:fldChar w:fldCharType="end"/>
            </w:r>
            <w:r>
              <w:rPr>
                <w:rFonts w:hint="eastAsia"/>
              </w:rPr>
              <w:t>、</w:t>
            </w:r>
            <w:r>
              <w:fldChar w:fldCharType="begin"/>
            </w:r>
            <w:r>
              <w:instrText xml:space="preserve"> </w:instrText>
            </w:r>
            <w:r>
              <w:rPr>
                <w:rFonts w:hint="eastAsia"/>
              </w:rPr>
              <w:instrText xml:space="preserve">REF _Ref168000348 \h</w:instrText>
            </w:r>
            <w:r>
              <w:instrText xml:space="preserve">  \* MERGEFORMAT </w:instrText>
            </w:r>
            <w:r>
              <w:fldChar w:fldCharType="separate"/>
            </w:r>
            <w:r>
              <w:t>附图 8</w:t>
            </w:r>
            <w:r>
              <w:fldChar w:fldCharType="end"/>
            </w:r>
            <w:r>
              <w:rPr>
                <w:rFonts w:hint="eastAsia"/>
              </w:rPr>
              <w:t>、</w:t>
            </w:r>
            <w:r>
              <w:fldChar w:fldCharType="begin"/>
            </w:r>
            <w:r>
              <w:instrText xml:space="preserve"> </w:instrText>
            </w:r>
            <w:r>
              <w:rPr>
                <w:rFonts w:hint="eastAsia"/>
              </w:rPr>
              <w:instrText xml:space="preserve">REF _Ref168000354 \h</w:instrText>
            </w:r>
            <w:r>
              <w:instrText xml:space="preserve">  \* MERGEFORMAT </w:instrText>
            </w:r>
            <w:r>
              <w:fldChar w:fldCharType="separate"/>
            </w:r>
            <w:r>
              <w:t>附图 9</w:t>
            </w:r>
            <w:r>
              <w:fldChar w:fldCharType="end"/>
            </w:r>
            <w:r>
              <w:t>所示，各井场结合地形和道路进行合理布置。</w:t>
            </w:r>
          </w:p>
        </w:tc>
      </w:tr>
      <w:tr w14:paraId="6B6ED6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3119" w:hRule="atLeast"/>
          <w:jc w:val="center"/>
        </w:trPr>
        <w:tc>
          <w:tcPr>
            <w:tcW w:w="415" w:type="dxa"/>
            <w:vAlign w:val="center"/>
          </w:tcPr>
          <w:p w14:paraId="5B714E3E">
            <w:pPr>
              <w:adjustRightInd w:val="0"/>
              <w:snapToGrid w:val="0"/>
              <w:jc w:val="center"/>
              <w:rPr>
                <w:rFonts w:ascii="宋体" w:hAnsi="宋体" w:eastAsia="宋体"/>
                <w:kern w:val="0"/>
                <w:sz w:val="24"/>
              </w:rPr>
            </w:pPr>
            <w:r>
              <w:rPr>
                <w:rFonts w:ascii="宋体" w:hAnsi="宋体" w:eastAsia="宋体"/>
                <w:kern w:val="0"/>
                <w:sz w:val="24"/>
              </w:rPr>
              <w:t>施工方案</w:t>
            </w:r>
          </w:p>
        </w:tc>
        <w:tc>
          <w:tcPr>
            <w:tcW w:w="8516" w:type="dxa"/>
            <w:vAlign w:val="center"/>
          </w:tcPr>
          <w:p w14:paraId="24D395B7">
            <w:pPr>
              <w:pStyle w:val="96"/>
              <w:ind w:firstLine="480"/>
            </w:pPr>
            <w:r>
              <w:t>1、施工工艺</w:t>
            </w:r>
          </w:p>
          <w:p w14:paraId="64234440">
            <w:pPr>
              <w:pStyle w:val="96"/>
              <w:ind w:firstLine="480"/>
            </w:pPr>
            <w:r>
              <w:rPr>
                <w:rFonts w:hint="eastAsia"/>
              </w:rPr>
              <w:t>致密气勘探工艺主要包括三个阶段：钻井、完井（压准、压裂）和试采。</w:t>
            </w:r>
          </w:p>
          <w:p w14:paraId="37FE42FC">
            <w:pPr>
              <w:pStyle w:val="96"/>
              <w:ind w:firstLine="480"/>
            </w:pPr>
            <w:r>
              <w:rPr>
                <w:rFonts w:hint="eastAsia"/>
              </w:rPr>
              <w:t>钻前首先进行施工准备，包括进场道路、场地平整等。钻前施工准备结束后钻井设备进行搬迁、安装以及井口准备，然后开钻、钻井、套管固井，钻井结束后进行储层改造即压裂，压裂完成后进入试采阶段排水采气，根据试采情况选择完井，勘探结束，最后进行井场清理和复垦。</w:t>
            </w:r>
          </w:p>
          <w:p w14:paraId="305CA16D">
            <w:pPr>
              <w:pStyle w:val="96"/>
              <w:ind w:firstLine="480"/>
            </w:pPr>
            <w:r>
              <w:rPr>
                <w:rFonts w:hint="eastAsia"/>
              </w:rPr>
              <w:t>致密气勘探一般工艺流程及产污环节分析见下图。</w:t>
            </w:r>
          </w:p>
          <w:p w14:paraId="6CA9B14E">
            <w:pPr>
              <w:pStyle w:val="96"/>
              <w:keepNext/>
              <w:spacing w:line="240" w:lineRule="auto"/>
              <w:ind w:firstLine="480"/>
              <w:jc w:val="center"/>
            </w:pPr>
            <w:r>
              <w:drawing>
                <wp:inline distT="0" distB="0" distL="0" distR="0">
                  <wp:extent cx="3888105" cy="5293360"/>
                  <wp:effectExtent l="0" t="0" r="0" b="254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a:xfrm>
                            <a:off x="0" y="0"/>
                            <a:ext cx="3888105" cy="5293973"/>
                          </a:xfrm>
                          <a:prstGeom prst="rect">
                            <a:avLst/>
                          </a:prstGeom>
                          <a:noFill/>
                          <a:ln>
                            <a:noFill/>
                          </a:ln>
                        </pic:spPr>
                      </pic:pic>
                    </a:graphicData>
                  </a:graphic>
                </wp:inline>
              </w:drawing>
            </w:r>
          </w:p>
          <w:p w14:paraId="4503EDF4">
            <w:pPr>
              <w:pStyle w:val="19"/>
            </w:pPr>
            <w:r>
              <w:t xml:space="preserve">图 </w:t>
            </w:r>
            <w:r>
              <w:fldChar w:fldCharType="begin"/>
            </w:r>
            <w:r>
              <w:instrText xml:space="preserve"> SEQ 图 \* ARABIC </w:instrText>
            </w:r>
            <w:r>
              <w:fldChar w:fldCharType="separate"/>
            </w:r>
            <w:r>
              <w:t>4</w:t>
            </w:r>
            <w:r>
              <w:fldChar w:fldCharType="end"/>
            </w:r>
            <w:r>
              <w:rPr>
                <w:rFonts w:hint="eastAsia"/>
              </w:rPr>
              <w:t>勘探工艺流程及产污环节示意图</w:t>
            </w:r>
          </w:p>
          <w:p w14:paraId="42CC83C8">
            <w:pPr>
              <w:pStyle w:val="96"/>
              <w:ind w:firstLine="480"/>
            </w:pPr>
            <w:r>
              <w:rPr>
                <w:rFonts w:hint="eastAsia"/>
              </w:rPr>
              <w:t>（1）钻前</w:t>
            </w:r>
            <w:r>
              <w:t>准备</w:t>
            </w:r>
          </w:p>
          <w:p w14:paraId="3AE856D7">
            <w:pPr>
              <w:pStyle w:val="96"/>
              <w:ind w:firstLine="480"/>
            </w:pPr>
            <w:r>
              <w:rPr>
                <w:rFonts w:hint="eastAsia"/>
              </w:rPr>
              <w:t>①进场道路</w:t>
            </w:r>
          </w:p>
          <w:p w14:paraId="7E583F02">
            <w:pPr>
              <w:pStyle w:val="96"/>
              <w:ind w:firstLine="480"/>
            </w:pPr>
            <w:r>
              <w:rPr>
                <w:rFonts w:hint="eastAsia"/>
              </w:rPr>
              <w:t>井场进场</w:t>
            </w:r>
            <w:r>
              <w:t>道路</w:t>
            </w:r>
            <w:r>
              <w:rPr>
                <w:rFonts w:hint="eastAsia"/>
              </w:rPr>
              <w:t>原则利用现有乡村道路，无</w:t>
            </w:r>
            <w:r>
              <w:t>现有道路利用的需</w:t>
            </w:r>
            <w:r>
              <w:rPr>
                <w:rFonts w:hint="eastAsia"/>
              </w:rPr>
              <w:t>开挖</w:t>
            </w:r>
            <w:r>
              <w:t>临时道路，</w:t>
            </w:r>
            <w:r>
              <w:rPr>
                <w:rFonts w:hint="eastAsia"/>
              </w:rPr>
              <w:t>开挖路面宽3.5m，以满足施工器械、设备的进场。</w:t>
            </w:r>
          </w:p>
          <w:p w14:paraId="1A7625D1">
            <w:pPr>
              <w:pStyle w:val="96"/>
              <w:ind w:firstLine="480"/>
            </w:pPr>
            <w:r>
              <w:rPr>
                <w:rFonts w:hint="eastAsia"/>
              </w:rPr>
              <w:t>②井场平整</w:t>
            </w:r>
          </w:p>
          <w:p w14:paraId="41958098">
            <w:pPr>
              <w:pStyle w:val="96"/>
              <w:ind w:firstLine="480"/>
            </w:pPr>
            <w:r>
              <w:rPr>
                <w:rFonts w:hint="eastAsia"/>
              </w:rPr>
              <w:t>结合现场踏勘，各井场地势较为平坦，土方工程量较小。</w:t>
            </w:r>
          </w:p>
          <w:p w14:paraId="1F730D81">
            <w:pPr>
              <w:pStyle w:val="96"/>
              <w:ind w:firstLine="480"/>
            </w:pPr>
            <w:r>
              <w:rPr>
                <w:rFonts w:hint="eastAsia"/>
              </w:rPr>
              <w:t>③构筑物建设</w:t>
            </w:r>
          </w:p>
          <w:p w14:paraId="1BD9CFE1">
            <w:pPr>
              <w:pStyle w:val="96"/>
              <w:ind w:firstLine="480"/>
            </w:pPr>
            <w:r>
              <w:rPr>
                <w:rFonts w:hint="eastAsia"/>
              </w:rPr>
              <w:t>各勘探井场在平整后拟建800m</w:t>
            </w:r>
            <w:r>
              <w:rPr>
                <w:rFonts w:hint="eastAsia"/>
                <w:vertAlign w:val="superscript"/>
              </w:rPr>
              <w:t>3</w:t>
            </w:r>
            <w:r>
              <w:rPr>
                <w:rFonts w:hint="eastAsia"/>
              </w:rPr>
              <w:t>（40m×5m×4m）的泥浆池、300m</w:t>
            </w:r>
            <w:r>
              <w:rPr>
                <w:rFonts w:hint="eastAsia"/>
                <w:vertAlign w:val="superscript"/>
              </w:rPr>
              <w:t>3</w:t>
            </w:r>
            <w:r>
              <w:rPr>
                <w:rFonts w:hint="eastAsia"/>
              </w:rPr>
              <w:t>（10m×5.5m×5.5m）的清水池，以供钻井阶段、压裂阶段使用。泥浆池采用三层土工膜防渗。</w:t>
            </w:r>
          </w:p>
          <w:p w14:paraId="0E089F31">
            <w:pPr>
              <w:pStyle w:val="96"/>
              <w:ind w:firstLine="480"/>
            </w:pPr>
            <w:r>
              <w:rPr>
                <w:rFonts w:hint="eastAsia"/>
              </w:rPr>
              <w:t>④物资条件准备</w:t>
            </w:r>
          </w:p>
          <w:p w14:paraId="7BCFD3F8">
            <w:pPr>
              <w:pStyle w:val="96"/>
              <w:ind w:firstLine="480"/>
            </w:pPr>
            <w:r>
              <w:rPr>
                <w:rFonts w:hint="eastAsia"/>
              </w:rPr>
              <w:t>按照材料、设备到场先后次序，组织物资设备的运输。各井场用水取自周边其他气井的采出水池或从附近村庄由罐车拉入。井场钻井、压裂期钻机及各类泵用电采用自备柴油机发电。各井场设柴油罐区，采用三层防渗膜防渗，并设置围堰。</w:t>
            </w:r>
          </w:p>
          <w:p w14:paraId="6F03C1A2">
            <w:pPr>
              <w:pStyle w:val="96"/>
              <w:ind w:firstLine="480"/>
            </w:pPr>
            <w:r>
              <w:t>（2）钻井阶段</w:t>
            </w:r>
          </w:p>
          <w:p w14:paraId="7E285D75">
            <w:pPr>
              <w:pStyle w:val="96"/>
              <w:ind w:firstLine="480"/>
            </w:pPr>
            <w:r>
              <w:t>钻井包括钻井</w:t>
            </w:r>
            <w:r>
              <w:rPr>
                <w:rFonts w:hint="eastAsia"/>
              </w:rPr>
              <w:t>及</w:t>
            </w:r>
            <w:r>
              <w:t>取岩心、测井、录井、固井、完井以及井口安装等工程。</w:t>
            </w:r>
          </w:p>
          <w:p w14:paraId="6D964A36">
            <w:pPr>
              <w:pStyle w:val="96"/>
              <w:ind w:firstLine="480"/>
            </w:pPr>
            <w:r>
              <w:rPr>
                <w:rFonts w:hint="eastAsia"/>
              </w:rPr>
              <w:t>①</w:t>
            </w:r>
            <w:r>
              <w:t>井场井</w:t>
            </w:r>
            <w:r>
              <w:rPr>
                <w:rFonts w:hint="eastAsia"/>
              </w:rPr>
              <w:t>槽</w:t>
            </w:r>
            <w:r>
              <w:t>排列及</w:t>
            </w:r>
            <w:r>
              <w:rPr>
                <w:rFonts w:hint="eastAsia"/>
              </w:rPr>
              <w:t>井口</w:t>
            </w:r>
            <w:r>
              <w:t>间距</w:t>
            </w:r>
          </w:p>
          <w:p w14:paraId="39A9EB6F">
            <w:pPr>
              <w:pStyle w:val="96"/>
              <w:ind w:firstLine="480"/>
            </w:pPr>
            <w:r>
              <w:rPr>
                <w:rFonts w:hint="eastAsia"/>
              </w:rPr>
              <w:t>《钻井</w:t>
            </w:r>
            <w:r>
              <w:t>井场、设备、作业安全技术规程</w:t>
            </w:r>
            <w:r>
              <w:rPr>
                <w:rFonts w:hint="eastAsia"/>
              </w:rPr>
              <w:t>》（SY5974-2007）要求</w:t>
            </w:r>
            <w:r>
              <w:t>一般油气井的井口间距不小于</w:t>
            </w:r>
            <w:r>
              <w:rPr>
                <w:rFonts w:hint="eastAsia"/>
              </w:rPr>
              <w:t>5</w:t>
            </w:r>
            <w:r>
              <w:t>m</w:t>
            </w:r>
            <w:r>
              <w:rPr>
                <w:rFonts w:hint="eastAsia"/>
              </w:rPr>
              <w:t>，项目</w:t>
            </w:r>
            <w:r>
              <w:t>根据现场实施的具体情况，结合防碰要求确定各井对应的井口位置。</w:t>
            </w:r>
          </w:p>
          <w:p w14:paraId="46B9D7DE">
            <w:pPr>
              <w:pStyle w:val="96"/>
              <w:ind w:firstLine="480"/>
            </w:pPr>
            <w:r>
              <w:rPr>
                <w:rFonts w:hint="eastAsia"/>
              </w:rPr>
              <w:t>槽口</w:t>
            </w:r>
            <w:r>
              <w:t>分配</w:t>
            </w:r>
            <w:r>
              <w:rPr>
                <w:rFonts w:hint="eastAsia"/>
              </w:rPr>
              <w:t>原则</w:t>
            </w:r>
            <w:r>
              <w:t>：</w:t>
            </w:r>
            <w:r>
              <w:rPr>
                <w:rFonts w:hint="eastAsia"/>
              </w:rPr>
              <w:t>外围</w:t>
            </w:r>
            <w:r>
              <w:t>的井槽钻位移大的井，用中间的井槽钻位移较小的井；按整个井组的各井方位，</w:t>
            </w:r>
            <w:r>
              <w:rPr>
                <w:rFonts w:hint="eastAsia"/>
              </w:rPr>
              <w:t>尽量</w:t>
            </w:r>
            <w:r>
              <w:t>均布井口，避免井眼轨道在水平面上的投影曲线相交，且呈放射状分布</w:t>
            </w:r>
            <w:r>
              <w:rPr>
                <w:rFonts w:hint="eastAsia"/>
              </w:rPr>
              <w:t>；</w:t>
            </w:r>
            <w:r>
              <w:t>如果</w:t>
            </w:r>
            <w:r>
              <w:rPr>
                <w:rFonts w:hint="eastAsia"/>
              </w:rPr>
              <w:t>按照</w:t>
            </w:r>
            <w:r>
              <w:t>以上顺序仍有不能错开的井，可以通过调整</w:t>
            </w:r>
            <w:r>
              <w:rPr>
                <w:rFonts w:hint="eastAsia"/>
              </w:rPr>
              <w:t>造</w:t>
            </w:r>
            <w:r>
              <w:t>斜点、预斜或调整造斜率的方法来解决。</w:t>
            </w:r>
          </w:p>
          <w:p w14:paraId="629B319E">
            <w:pPr>
              <w:pStyle w:val="96"/>
              <w:ind w:firstLine="480"/>
            </w:pPr>
            <w:r>
              <w:rPr>
                <w:rFonts w:hint="eastAsia" w:cs="宋体"/>
              </w:rPr>
              <w:t>②</w:t>
            </w:r>
            <w:r>
              <w:t>钻井井身结构</w:t>
            </w:r>
          </w:p>
          <w:p w14:paraId="76CB6FA8">
            <w:pPr>
              <w:pStyle w:val="96"/>
              <w:ind w:firstLine="480"/>
            </w:pPr>
            <w:r>
              <w:t>本次勘探项目钻井主要采用直井、定向井两种井型</w:t>
            </w:r>
            <w:r>
              <w:rPr>
                <w:rFonts w:hint="eastAsia"/>
              </w:rPr>
              <w:t>，</w:t>
            </w:r>
            <w:r>
              <w:t>采用全角变化率为</w:t>
            </w:r>
            <w:r>
              <w:rPr>
                <w:rFonts w:hint="eastAsia"/>
              </w:rPr>
              <w:t>3°/30</w:t>
            </w:r>
            <w:r>
              <w:t>m。</w:t>
            </w:r>
          </w:p>
          <w:p w14:paraId="11BA9C56">
            <w:pPr>
              <w:pStyle w:val="96"/>
              <w:ind w:firstLine="480"/>
            </w:pPr>
            <w:r>
              <w:t>A直井（以LXDG-05为例）</w:t>
            </w:r>
          </w:p>
          <w:p w14:paraId="3F0C43FE">
            <w:pPr>
              <w:pStyle w:val="96"/>
              <w:ind w:firstLine="480"/>
            </w:pPr>
            <w:r>
              <w:rPr>
                <w:rFonts w:hint="eastAsia"/>
              </w:rPr>
              <w:t>一开用φ</w:t>
            </w:r>
            <w:r>
              <w:t>311.2mm钻头钻至基岩风化带290m后，下入φ244.5mm表层套管，固井水泥返至地面。具体完钻深度依据基岩出露情况定。</w:t>
            </w:r>
          </w:p>
          <w:p w14:paraId="58156040">
            <w:pPr>
              <w:pStyle w:val="96"/>
              <w:ind w:firstLine="480"/>
            </w:pPr>
            <w:r>
              <w:rPr>
                <w:rFonts w:hint="eastAsia"/>
              </w:rPr>
              <w:t>二开用φ</w:t>
            </w:r>
            <w:r>
              <w:t>215.9mm钻头钻至完钻井深，下入φ139.7mm套管，固井水泥返至</w:t>
            </w:r>
            <w:r>
              <w:rPr>
                <w:rFonts w:hint="eastAsia"/>
              </w:rPr>
              <w:t>地面</w:t>
            </w:r>
            <w:r>
              <w:t>，完钻原则：钻穿本溪组底部，留足50.00m口袋完钻，在钻口袋过程中，如遇良好气测异常显示，则以最后一个显示为底留50m口袋。</w:t>
            </w:r>
          </w:p>
          <w:p w14:paraId="64ACFE14">
            <w:pPr>
              <w:pStyle w:val="96"/>
              <w:ind w:firstLine="480"/>
            </w:pPr>
            <w:r>
              <w:t>B定向井（以LXD12-26为例）</w:t>
            </w:r>
          </w:p>
          <w:p w14:paraId="5B9C3B6D">
            <w:pPr>
              <w:pStyle w:val="96"/>
              <w:ind w:firstLine="480"/>
            </w:pPr>
            <w:r>
              <w:rPr>
                <w:rFonts w:hint="eastAsia"/>
              </w:rPr>
              <w:t>一开用φ</w:t>
            </w:r>
            <w:r>
              <w:t>311.2mm钻头钻至基岩风化带290m后，下入</w:t>
            </w:r>
            <w:r>
              <w:rPr>
                <w:rFonts w:hint="eastAsia"/>
              </w:rPr>
              <w:t>φ</w:t>
            </w:r>
            <w:r>
              <w:t>244.5mm表层套管，固井水泥返至地面，具体完钻深度依据基岩出露情况定。</w:t>
            </w:r>
          </w:p>
          <w:p w14:paraId="03573315">
            <w:pPr>
              <w:pStyle w:val="96"/>
              <w:ind w:firstLine="480"/>
            </w:pPr>
            <w:r>
              <w:rPr>
                <w:rFonts w:hint="eastAsia"/>
              </w:rPr>
              <w:t>二开用φ</w:t>
            </w:r>
            <w:r>
              <w:t>215.9mm钻头钻至完钻井深，下入φ139.7mm套管，固井水泥返至</w:t>
            </w:r>
            <w:r>
              <w:rPr>
                <w:rFonts w:hint="eastAsia"/>
              </w:rPr>
              <w:t>地面</w:t>
            </w:r>
            <w:r>
              <w:t>。完钻原则：钻穿下石盒子组底部，留足50m口袋完钻，在钻口袋过程中，如遇良好气测异常显示，则以最后一个显示为底留50m口袋。</w:t>
            </w:r>
          </w:p>
          <w:p w14:paraId="430E44D4">
            <w:pPr>
              <w:pStyle w:val="96"/>
              <w:ind w:firstLine="480"/>
              <w:rPr>
                <w:rFonts w:cs="宋体"/>
                <w:lang w:eastAsia="ja-JP"/>
              </w:rPr>
            </w:pPr>
            <w:r>
              <w:rPr>
                <w:rFonts w:hint="eastAsia" w:cs="宋体"/>
              </w:rPr>
              <w:t>③</w:t>
            </w:r>
            <w:r>
              <w:rPr>
                <w:rFonts w:hint="eastAsia" w:cs="宋体"/>
                <w:lang w:eastAsia="ja-JP"/>
              </w:rPr>
              <w:t>钻前设施检查</w:t>
            </w:r>
          </w:p>
          <w:p w14:paraId="15734AD7">
            <w:pPr>
              <w:pStyle w:val="96"/>
              <w:ind w:firstLine="480"/>
              <w:rPr>
                <w:rFonts w:eastAsia="MS Mincho" w:cs="宋体"/>
                <w:lang w:eastAsia="ja-JP"/>
              </w:rPr>
            </w:pPr>
            <w:r>
              <w:rPr>
                <w:rFonts w:hint="eastAsia" w:cs="宋体"/>
                <w:lang w:eastAsia="ja-JP"/>
              </w:rPr>
              <w:t>设备进场，安装调试完毕，经过安检、验收合格后开钻。使所有设备安装都达到了平、稳、正、全、牢。经过校正天车、转盘、井口和设备试运转自检后，达到了开钻要求。对所有入井钻头、钻具进行检查、丈量、编号。</w:t>
            </w:r>
          </w:p>
          <w:p w14:paraId="030ADB13">
            <w:pPr>
              <w:pStyle w:val="96"/>
              <w:ind w:firstLine="480"/>
            </w:pPr>
            <w:r>
              <w:rPr>
                <w:rFonts w:hint="eastAsia"/>
              </w:rPr>
              <w:t>④钻井及</w:t>
            </w:r>
            <w:r>
              <w:t>取岩心</w:t>
            </w:r>
          </w:p>
          <w:p w14:paraId="52830785">
            <w:pPr>
              <w:pStyle w:val="96"/>
              <w:ind w:firstLine="480"/>
            </w:pPr>
            <w:r>
              <w:rPr>
                <w:rFonts w:hint="eastAsia"/>
              </w:rPr>
              <w:t>按照预先钻进设计方案，并根据实际钻井过程中的具体情况，选取和调整钻进参数、采取合理的钻具组合，完成正常钻进工作。</w:t>
            </w:r>
          </w:p>
          <w:p w14:paraId="07C46C30">
            <w:pPr>
              <w:pStyle w:val="96"/>
              <w:ind w:firstLine="480"/>
            </w:pPr>
            <w:r>
              <w:t>A</w:t>
            </w:r>
            <w:r>
              <w:rPr>
                <w:rFonts w:hint="eastAsia"/>
              </w:rPr>
              <w:t>直井、定向井钻井液主要成分：</w:t>
            </w:r>
          </w:p>
          <w:p w14:paraId="15772304">
            <w:pPr>
              <w:pStyle w:val="96"/>
              <w:ind w:firstLine="480"/>
            </w:pPr>
            <w:r>
              <w:rPr>
                <w:rFonts w:hint="eastAsia"/>
              </w:rPr>
              <w:t>一开钻井液：清水+膨润土；</w:t>
            </w:r>
          </w:p>
          <w:p w14:paraId="1686FF10">
            <w:pPr>
              <w:pStyle w:val="96"/>
              <w:ind w:firstLine="480"/>
            </w:pPr>
            <w:r>
              <w:rPr>
                <w:rFonts w:hint="eastAsia"/>
              </w:rPr>
              <w:t>二开钻井液：钻井液体系聚合物。</w:t>
            </w:r>
          </w:p>
          <w:p w14:paraId="53F3BB8A">
            <w:pPr>
              <w:pStyle w:val="96"/>
              <w:ind w:firstLine="480"/>
            </w:pPr>
            <w:r>
              <w:rPr>
                <w:rFonts w:hint="eastAsia"/>
              </w:rPr>
              <w:t>B取岩心</w:t>
            </w:r>
          </w:p>
          <w:p w14:paraId="486E75D9">
            <w:pPr>
              <w:pStyle w:val="96"/>
              <w:ind w:firstLine="480"/>
            </w:pPr>
            <w:r>
              <w:rPr>
                <w:rFonts w:hint="eastAsia"/>
              </w:rPr>
              <w:t>项目</w:t>
            </w:r>
            <w:r>
              <w:t>根据现场情况确定是否需要取岩心，</w:t>
            </w:r>
            <w:r>
              <w:rPr>
                <w:rFonts w:hint="eastAsia"/>
              </w:rPr>
              <w:t>项目</w:t>
            </w:r>
            <w:r>
              <w:t>直井</w:t>
            </w:r>
            <w:r>
              <w:rPr>
                <w:rFonts w:hint="eastAsia"/>
              </w:rPr>
              <w:t>/定向井</w:t>
            </w:r>
            <w:r>
              <w:t>井深约</w:t>
            </w:r>
            <w:r>
              <w:rPr>
                <w:rFonts w:hint="eastAsia"/>
              </w:rPr>
              <w:t>2000</w:t>
            </w:r>
            <w:r>
              <w:t>m左右，每钻进</w:t>
            </w:r>
            <w:r>
              <w:rPr>
                <w:rFonts w:hint="eastAsia"/>
              </w:rPr>
              <w:t>0.1</w:t>
            </w:r>
            <w:r>
              <w:t>m记录一个钻时，采集足量的岩屑标本。根据</w:t>
            </w:r>
            <w:r>
              <w:rPr>
                <w:rFonts w:hint="eastAsia"/>
              </w:rPr>
              <w:t>地质</w:t>
            </w:r>
            <w:r>
              <w:t>设计，准确判层，确定标志层深度，通过准确计算岩屑迟到时间，捞准岩屑，判准地层底界。</w:t>
            </w:r>
          </w:p>
          <w:p w14:paraId="50ABE211">
            <w:pPr>
              <w:pStyle w:val="96"/>
              <w:ind w:firstLine="480"/>
            </w:pPr>
            <w:r>
              <w:t>C</w:t>
            </w:r>
            <w:r>
              <w:rPr>
                <w:rFonts w:hint="eastAsia"/>
              </w:rPr>
              <w:t>泥浆循环系统</w:t>
            </w:r>
          </w:p>
          <w:p w14:paraId="6D0C9704">
            <w:pPr>
              <w:pStyle w:val="96"/>
              <w:ind w:firstLine="480"/>
            </w:pPr>
            <w:r>
              <w:rPr>
                <w:rFonts w:hint="eastAsia"/>
              </w:rPr>
              <w:t>泥浆循环系统工艺流程：井口返浆经循环槽流入泥浆池经自然沉淀后，通过替浆泵将泥浆吸入固控系统，泥浆在固控系统内经振动筛、除砂器、除泥器、离心机等设备处理后，进入泥浆泵组；再次，泥浆泵由柴油机驱动，泥浆泵将固控系统处理后的泥浆在一定压力下，经高压管汇，钻机水龙头/动力头，钻杆柱中心孔直送井底，并将井内岩屑携带至地面；最后，重复上述过程，实现泥浆循环，确保正常作业。</w:t>
            </w:r>
          </w:p>
          <w:p w14:paraId="170A636D">
            <w:pPr>
              <w:pStyle w:val="96"/>
              <w:keepNext/>
              <w:spacing w:line="240" w:lineRule="auto"/>
              <w:ind w:firstLine="0" w:firstLineChars="0"/>
              <w:jc w:val="center"/>
            </w:pPr>
            <w:r>
              <w:drawing>
                <wp:inline distT="0" distB="0" distL="0" distR="0">
                  <wp:extent cx="4039235" cy="3182620"/>
                  <wp:effectExtent l="0" t="0" r="0" b="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noChangeArrowheads="1"/>
                          </pic:cNvPicPr>
                        </pic:nvPicPr>
                        <pic:blipFill>
                          <a:blip r:embed="rId28"/>
                          <a:srcRect/>
                          <a:stretch>
                            <a:fillRect/>
                          </a:stretch>
                        </pic:blipFill>
                        <pic:spPr>
                          <a:xfrm>
                            <a:off x="0" y="0"/>
                            <a:ext cx="4039235" cy="3182620"/>
                          </a:xfrm>
                          <a:prstGeom prst="rect">
                            <a:avLst/>
                          </a:prstGeom>
                          <a:noFill/>
                          <a:ln>
                            <a:noFill/>
                          </a:ln>
                        </pic:spPr>
                      </pic:pic>
                    </a:graphicData>
                  </a:graphic>
                </wp:inline>
              </w:drawing>
            </w:r>
          </w:p>
          <w:p w14:paraId="04950087">
            <w:pPr>
              <w:pStyle w:val="19"/>
            </w:pPr>
            <w:r>
              <w:t xml:space="preserve">图 </w:t>
            </w:r>
            <w:r>
              <w:fldChar w:fldCharType="begin"/>
            </w:r>
            <w:r>
              <w:instrText xml:space="preserve"> SEQ 图 \* ARABIC </w:instrText>
            </w:r>
            <w:r>
              <w:fldChar w:fldCharType="separate"/>
            </w:r>
            <w:r>
              <w:t>5</w:t>
            </w:r>
            <w:r>
              <w:fldChar w:fldCharType="end"/>
            </w:r>
            <w:r>
              <w:rPr>
                <w:rFonts w:hint="eastAsia"/>
              </w:rPr>
              <w:t>泥浆循环系统示意图</w:t>
            </w:r>
          </w:p>
          <w:p w14:paraId="6341E9CC">
            <w:pPr>
              <w:pStyle w:val="96"/>
              <w:ind w:firstLine="480"/>
            </w:pPr>
            <w:r>
              <w:rPr>
                <w:rFonts w:hint="eastAsia"/>
              </w:rPr>
              <w:t>⑤测井、录井</w:t>
            </w:r>
          </w:p>
          <w:p w14:paraId="72B31E22">
            <w:pPr>
              <w:pStyle w:val="96"/>
              <w:ind w:firstLine="480"/>
            </w:pPr>
            <w:r>
              <w:rPr>
                <w:rFonts w:hint="eastAsia"/>
              </w:rPr>
              <w:t>根据测井要求，完成孔隙度、三电阻率等钻井参数的测定。</w:t>
            </w:r>
          </w:p>
          <w:p w14:paraId="5C97F530">
            <w:pPr>
              <w:pStyle w:val="96"/>
              <w:ind w:firstLine="480"/>
            </w:pPr>
            <w:r>
              <w:rPr>
                <w:rFonts w:hint="eastAsia"/>
              </w:rPr>
              <w:t>录井内容包括：岩屑录井、钻时录井、钻井液录井、顶底板岩层录井、简易水文观测等。</w:t>
            </w:r>
          </w:p>
          <w:p w14:paraId="4CA60F93">
            <w:pPr>
              <w:pStyle w:val="96"/>
              <w:ind w:firstLine="480"/>
            </w:pPr>
            <w:r>
              <w:rPr>
                <w:rFonts w:hint="eastAsia"/>
              </w:rPr>
              <w:t>⑥固井</w:t>
            </w:r>
          </w:p>
          <w:p w14:paraId="19B04BC7">
            <w:pPr>
              <w:pStyle w:val="96"/>
              <w:ind w:firstLine="480"/>
            </w:pPr>
            <w:r>
              <w:rPr>
                <w:rFonts w:hint="eastAsia"/>
              </w:rPr>
              <w:t>固井是指下套管、注水泥等工作。包括表层固井、完井固井等。固井的主要工序如下：</w:t>
            </w:r>
          </w:p>
          <w:p w14:paraId="1B57CED0">
            <w:pPr>
              <w:pStyle w:val="96"/>
              <w:ind w:firstLine="480"/>
            </w:pPr>
            <w:r>
              <w:rPr>
                <w:rFonts w:hint="eastAsia"/>
              </w:rPr>
              <w:t>A下完套管以后，用水泥车顶通井眼，确保井下畅通，对水泥头和注水泥管线试压20MPa。</w:t>
            </w:r>
          </w:p>
          <w:p w14:paraId="12A5B9E9">
            <w:pPr>
              <w:pStyle w:val="96"/>
              <w:ind w:firstLine="480"/>
            </w:pPr>
            <w:r>
              <w:t>B</w:t>
            </w:r>
            <w:r>
              <w:rPr>
                <w:rFonts w:hint="eastAsia"/>
              </w:rPr>
              <w:t>严格按照水泥浆配方混拌水泥浆，水泥浆密度设计完全按照技术要求执行，确保水泥浆对主力储层的封固和最大程度的保护储层。</w:t>
            </w:r>
          </w:p>
          <w:p w14:paraId="7AD9E9E5">
            <w:pPr>
              <w:pStyle w:val="96"/>
              <w:ind w:firstLine="480"/>
            </w:pPr>
            <w:r>
              <w:t>C</w:t>
            </w:r>
            <w:r>
              <w:rPr>
                <w:rFonts w:hint="eastAsia"/>
              </w:rPr>
              <w:t>注完水泥后，关闭注浆闸门，冲洗管线、接替浆闸门上，打开挡销、再开替浆闸门，小排量将胶塞压下，按照计算的数量和设计的排量顶替水泥浆，直至替浆结束。</w:t>
            </w:r>
          </w:p>
          <w:p w14:paraId="14EEF69F">
            <w:pPr>
              <w:pStyle w:val="96"/>
              <w:ind w:firstLine="480"/>
            </w:pPr>
            <w:r>
              <w:rPr>
                <w:rFonts w:hint="eastAsia"/>
              </w:rPr>
              <w:t>D向套管顶压20MPa，稳压3min。</w:t>
            </w:r>
          </w:p>
          <w:p w14:paraId="2E77F220">
            <w:pPr>
              <w:pStyle w:val="96"/>
              <w:ind w:firstLine="480"/>
            </w:pPr>
            <w:r>
              <w:rPr>
                <w:rFonts w:hint="eastAsia"/>
              </w:rPr>
              <w:t>E若放压正常则敞压候凝，否则憋压8.0MPa候凝，候凝注意事项现场决定。</w:t>
            </w:r>
          </w:p>
          <w:p w14:paraId="4A909096">
            <w:pPr>
              <w:pStyle w:val="96"/>
              <w:ind w:firstLine="480"/>
            </w:pPr>
            <w:r>
              <w:t>F</w:t>
            </w:r>
            <w:r>
              <w:rPr>
                <w:rFonts w:hint="eastAsia"/>
              </w:rPr>
              <w:t>候凝72h后测固井质量。</w:t>
            </w:r>
          </w:p>
          <w:p w14:paraId="2707B7F7">
            <w:pPr>
              <w:pStyle w:val="96"/>
              <w:ind w:firstLine="480"/>
            </w:pPr>
            <w:r>
              <w:rPr>
                <w:rFonts w:hint="eastAsia" w:cs="宋体"/>
                <w:lang w:eastAsia="ja-JP"/>
              </w:rPr>
              <w:t>⑥</w:t>
            </w:r>
            <w:r>
              <w:rPr>
                <w:lang w:eastAsia="ja-JP"/>
              </w:rPr>
              <w:t>完井、测井：</w:t>
            </w:r>
            <w:r>
              <w:rPr>
                <w:rFonts w:hint="eastAsia"/>
              </w:rPr>
              <w:t>直井/定向井</w:t>
            </w:r>
            <w:r>
              <w:t>由于要求满足多层压裂的要求（</w:t>
            </w:r>
            <w:r>
              <w:rPr>
                <w:rFonts w:hint="eastAsia"/>
              </w:rPr>
              <w:t>每井</w:t>
            </w:r>
            <w:r>
              <w:t>压裂平均</w:t>
            </w:r>
            <w:r>
              <w:rPr>
                <w:rFonts w:hint="eastAsia"/>
              </w:rPr>
              <w:t>2层</w:t>
            </w:r>
            <w:r>
              <w:t>）</w:t>
            </w:r>
            <w:r>
              <w:rPr>
                <w:rFonts w:hint="eastAsia"/>
              </w:rPr>
              <w:t>，</w:t>
            </w:r>
            <w:r>
              <w:t>且直接射孔压裂后试采，推荐其</w:t>
            </w:r>
            <w:r>
              <w:rPr>
                <w:rFonts w:hint="eastAsia"/>
              </w:rPr>
              <w:t>它直井/定向井并</w:t>
            </w:r>
            <w:r>
              <w:t>均采用套管射孔完井</w:t>
            </w:r>
            <w:r>
              <w:rPr>
                <w:rFonts w:hint="eastAsia"/>
              </w:rPr>
              <w:t>。</w:t>
            </w:r>
          </w:p>
          <w:p w14:paraId="6E2940AA">
            <w:pPr>
              <w:pStyle w:val="96"/>
              <w:ind w:firstLine="480"/>
            </w:pPr>
            <w:r>
              <w:rPr>
                <w:rFonts w:hint="eastAsia"/>
              </w:rPr>
              <w:t>射孔</w:t>
            </w:r>
            <w:r>
              <w:t>方式：采用</w:t>
            </w:r>
            <w:r>
              <w:rPr>
                <w:rFonts w:hint="eastAsia"/>
              </w:rPr>
              <w:t>TCP</w:t>
            </w:r>
            <w:r>
              <w:t>射孔。</w:t>
            </w:r>
          </w:p>
          <w:p w14:paraId="3FA2B3F7">
            <w:pPr>
              <w:pStyle w:val="96"/>
              <w:ind w:firstLine="480"/>
            </w:pPr>
            <w:r>
              <w:rPr>
                <w:rFonts w:hint="eastAsia"/>
              </w:rPr>
              <w:t>射孔枪</w:t>
            </w:r>
            <w:r>
              <w:t>：</w:t>
            </w:r>
            <w:r>
              <w:rPr>
                <w:rFonts w:hint="eastAsia"/>
              </w:rPr>
              <w:t>射孔枪外径与套管内径的间隙为</w:t>
            </w:r>
            <w:r>
              <w:t>1/3~1/2″左右最为理想，此时枪的居中效果较好，且能充分发挥聚能射孔弹的聚能效果，推荐5-1/2″套管采用4″射孔枪、4-1/2″套管采用2-7/8″射孔枪。</w:t>
            </w:r>
          </w:p>
          <w:p w14:paraId="5FDEEE75">
            <w:pPr>
              <w:pStyle w:val="96"/>
              <w:ind w:firstLine="480"/>
            </w:pPr>
            <w:r>
              <w:rPr>
                <w:rFonts w:hint="eastAsia"/>
              </w:rPr>
              <w:t>射孔</w:t>
            </w:r>
            <w:r>
              <w:t>弹药</w:t>
            </w:r>
            <w:r>
              <w:rPr>
                <w:rFonts w:hint="eastAsia"/>
              </w:rPr>
              <w:t>性</w:t>
            </w:r>
            <w:r>
              <w:t>：射孔弹的选择要考虑到射孔枪的尺寸和井底温度以及射孔</w:t>
            </w:r>
            <w:r>
              <w:rPr>
                <w:rFonts w:hint="eastAsia"/>
              </w:rPr>
              <w:t>弹</w:t>
            </w:r>
            <w:r>
              <w:t>在井下停留的时间。临兴</w:t>
            </w:r>
            <w:r>
              <w:rPr>
                <w:rFonts w:hint="eastAsia"/>
              </w:rPr>
              <w:t>东区</w:t>
            </w:r>
            <w:r>
              <w:t>储层温度为42.98~62.35℃，考虑到射孔枪</w:t>
            </w:r>
            <w:r>
              <w:rPr>
                <w:rFonts w:hint="eastAsia"/>
              </w:rPr>
              <w:t>下</w:t>
            </w:r>
            <w:r>
              <w:t>到井底后，各项作业以及其</w:t>
            </w:r>
            <w:r>
              <w:rPr>
                <w:rFonts w:hint="eastAsia"/>
              </w:rPr>
              <w:t>它</w:t>
            </w:r>
            <w:r>
              <w:t>复杂情况所造成的时间附加量，预计时间</w:t>
            </w:r>
            <w:r>
              <w:rPr>
                <w:rFonts w:hint="eastAsia"/>
              </w:rPr>
              <w:t>48小时</w:t>
            </w:r>
            <w:r>
              <w:t>以内</w:t>
            </w:r>
            <w:r>
              <w:rPr>
                <w:rFonts w:hint="eastAsia"/>
              </w:rPr>
              <w:t>。</w:t>
            </w:r>
            <w:r>
              <w:t>RDX射孔弹在0℃~93℃能达到500小时，完全可以满足要求，因此选用RDX射孔弹。</w:t>
            </w:r>
          </w:p>
          <w:p w14:paraId="066EF5A5">
            <w:pPr>
              <w:pStyle w:val="96"/>
              <w:ind w:firstLine="480"/>
            </w:pPr>
            <w:r>
              <w:rPr>
                <w:rFonts w:hint="eastAsia"/>
              </w:rPr>
              <w:t>（3）完井</w:t>
            </w:r>
            <w:r>
              <w:t>阶段</w:t>
            </w:r>
          </w:p>
          <w:p w14:paraId="69D26712">
            <w:pPr>
              <w:pStyle w:val="96"/>
              <w:ind w:firstLine="480"/>
            </w:pPr>
            <w:r>
              <w:rPr>
                <w:rFonts w:hint="eastAsia"/>
              </w:rPr>
              <w:t>钻井后，为了消除井筒附近地层渗透率低的不良影响，以达到增产的目的，需进行压裂作业，主要是通过向井下注入压裂液进行压裂。压裂改造过程中，大量压裂液将进入地层进行储层改造，压裂结束后，需要快速的排液。</w:t>
            </w:r>
          </w:p>
          <w:p w14:paraId="47C91D37">
            <w:pPr>
              <w:pStyle w:val="96"/>
              <w:ind w:firstLine="480"/>
            </w:pPr>
            <w:r>
              <w:rPr>
                <w:rFonts w:hint="eastAsia"/>
              </w:rPr>
              <w:t>压裂后需要关井一段时间，使压裂裂缝闭合，施工造成的压力波在地层中有逐步扩散，液体逐渐水化。压裂放喷一般分为两个阶段。第一阶段：压裂后，由于地层弹性能量较足，井筒可实现自喷。初放喷时，使用油嘴控制排量，根据井口压力及出液量情况确定更换油嘴，要求井口压力只降不升。待地层不出砂且压力较低后，敞放排液，总体要求尽可能多的排出压裂液，同时准确计量出液量。第二阶段：关放排液，压裂后第一次放喷连续2~3小时不出液后，即可以关井，等压力恢复起来后再放喷。每次关放应遵循长关短放原则。放喷时要通过针阀或油嘴控制，使压力缓慢下降，待开始出液后，逐步增大针阀开启程度或更换更较大的油嘴，直至全开敞放，不出液后关井，如此往复关放，直至彻底不出液。</w:t>
            </w:r>
          </w:p>
          <w:p w14:paraId="30DB0EE5">
            <w:pPr>
              <w:pStyle w:val="96"/>
              <w:ind w:firstLine="480"/>
            </w:pPr>
            <w:r>
              <w:rPr>
                <w:rFonts w:hint="eastAsia"/>
              </w:rPr>
              <w:t>完井压准工序如下：</w:t>
            </w:r>
          </w:p>
          <w:p w14:paraId="5ED7253B">
            <w:pPr>
              <w:pStyle w:val="96"/>
              <w:ind w:firstLine="480"/>
            </w:pPr>
            <w:r>
              <w:rPr>
                <w:rFonts w:hint="eastAsia"/>
              </w:rPr>
              <w:t>①施工准备：立井架、摆放油管、调整绷绳→开工验收→入井油管及工具检查→安装油管四通、井口试压。</w:t>
            </w:r>
          </w:p>
          <w:p w14:paraId="7EBC318E">
            <w:pPr>
              <w:pStyle w:val="96"/>
              <w:ind w:firstLine="480"/>
            </w:pPr>
            <w:r>
              <w:rPr>
                <w:rFonts w:hint="eastAsia"/>
              </w:rPr>
              <w:t>②刮管洗井：通井、刮管、实探人工井底→洗井、替完井液、井筒试压→起出刮管洗井管柱。洗井液：清水，完井液：清水+2.0%KCl。</w:t>
            </w:r>
          </w:p>
          <w:p w14:paraId="14C60EB9">
            <w:pPr>
              <w:pStyle w:val="96"/>
              <w:ind w:firstLine="480"/>
            </w:pPr>
            <w:r>
              <w:rPr>
                <w:rFonts w:hint="eastAsia"/>
              </w:rPr>
              <w:t>③射孔：油管传输射孔是目前应用最广泛也是最多的射孔方式，能够根据要求造负压，适用于各种井型，射孔后产能较高，但费用相对较高。直井、定向井采用</w:t>
            </w:r>
            <w:r>
              <w:t>60°相位射孔</w:t>
            </w:r>
            <w:r>
              <w:rPr>
                <w:rFonts w:hint="eastAsia"/>
              </w:rPr>
              <w:t>。</w:t>
            </w:r>
          </w:p>
          <w:p w14:paraId="0D2F85AF">
            <w:pPr>
              <w:pStyle w:val="96"/>
              <w:ind w:firstLine="480"/>
            </w:pPr>
            <w:r>
              <w:rPr>
                <w:rFonts w:hint="eastAsia"/>
              </w:rPr>
              <w:t>④压裂：压裂液配置及支撑剂材料准备→试压→压裂施工：采用</w:t>
            </w:r>
            <w:r>
              <w:t>油管正注</w:t>
            </w:r>
            <w:r>
              <w:rPr>
                <w:rFonts w:hint="eastAsia"/>
              </w:rPr>
              <w:t>，套压限压35.00MPa，一侧井口侧翼闸门接压力表，监测套压。施工现场施工人员根据主压裂泵注程序表进行施工，并根据施工压力变化由现场人员及时调整施工参数。</w:t>
            </w:r>
          </w:p>
          <w:p w14:paraId="73284012">
            <w:pPr>
              <w:pStyle w:val="96"/>
              <w:ind w:firstLine="480"/>
            </w:pPr>
            <w:r>
              <w:rPr>
                <w:rFonts w:hint="eastAsia"/>
              </w:rPr>
              <w:t>⑥排液：压裂结束后及时进行排液，减少压裂液对储层的浸泡。井压力降至闭合压力后10分钟即开始返排，压后排液的原则是既要防止地层出砂，又要尽可能排出压裂液。根据井口压力，选择合适的油嘴放喷排液，至井口有极少量或无液体返出时，视为排液结束。</w:t>
            </w:r>
          </w:p>
          <w:p w14:paraId="6A2EE6E7">
            <w:pPr>
              <w:pStyle w:val="96"/>
              <w:ind w:firstLine="480"/>
            </w:pPr>
            <w:r>
              <w:rPr>
                <w:rFonts w:hint="eastAsia"/>
              </w:rPr>
              <w:t>（4）试采阶段</w:t>
            </w:r>
          </w:p>
          <w:p w14:paraId="76EF3117">
            <w:pPr>
              <w:pStyle w:val="96"/>
              <w:ind w:firstLine="480"/>
            </w:pPr>
            <w:r>
              <w:rPr>
                <w:rFonts w:hint="eastAsia"/>
              </w:rPr>
              <w:t>压裂后及时进行排液、诱导，排液结束后一点法求产。采用气井原管柱自喷排液的方式进行试气。</w:t>
            </w:r>
          </w:p>
          <w:p w14:paraId="513B287B">
            <w:pPr>
              <w:pStyle w:val="96"/>
              <w:ind w:firstLine="480"/>
            </w:pPr>
            <w:r>
              <w:t>1）测试含气层，将高精度电子压力计2支下至尽可能靠近设计深度，测流动压力。</w:t>
            </w:r>
          </w:p>
          <w:p w14:paraId="658CCA87">
            <w:pPr>
              <w:pStyle w:val="96"/>
              <w:ind w:firstLine="480"/>
            </w:pPr>
            <w:r>
              <w:t>2）根据诱导时的产量，选择一个适当的工作制度（油嘴或针型阀的开度）、合适的流量计及孔板或智能表进行求产。</w:t>
            </w:r>
          </w:p>
          <w:p w14:paraId="654280B2">
            <w:pPr>
              <w:pStyle w:val="96"/>
              <w:ind w:firstLine="480"/>
            </w:pPr>
            <w:r>
              <w:t>3）要求安装标准压力表、温度计，测量油、套压力及上下游压力、温度。</w:t>
            </w:r>
          </w:p>
          <w:p w14:paraId="43501CD5">
            <w:pPr>
              <w:pStyle w:val="96"/>
              <w:ind w:firstLine="480"/>
            </w:pPr>
            <w:r>
              <w:t>4）每2小时记录一次工作制度、油压、套压、油气水产量；</w:t>
            </w:r>
          </w:p>
          <w:p w14:paraId="736EEDFE">
            <w:pPr>
              <w:pStyle w:val="96"/>
              <w:ind w:firstLine="480"/>
            </w:pPr>
            <w:r>
              <w:t>5）取气样2支，若产油、水则取油、水样各2支，同时送化验部门作油、气、水全分析。</w:t>
            </w:r>
          </w:p>
          <w:p w14:paraId="01AD2895">
            <w:pPr>
              <w:pStyle w:val="96"/>
              <w:ind w:firstLine="480"/>
            </w:pPr>
            <w:r>
              <w:t>6）若流压和产量已稳定，测流压、流温梯度。起压力计，结束测试。</w:t>
            </w:r>
          </w:p>
          <w:p w14:paraId="6AFA809E">
            <w:pPr>
              <w:pStyle w:val="96"/>
              <w:ind w:firstLine="480"/>
            </w:pPr>
            <w:r>
              <w:t>7）测压力恢复，如前所述若测得的原始地层压力未达到稳定标准（由压力及测得的压力变化值判断），则进行压力恢复试井近似求原始地层压力，将压力计下至设计深度，关井测压力恢复，要求每8小数记录一次油、套压力，压力在24小时内变化范围（非连续上升或连续下降）小于0.05MPa，可视为稳定，恢复结束，关井压力恢复天数45天左右，根据实际情况确定。</w:t>
            </w:r>
          </w:p>
          <w:p w14:paraId="272518DA">
            <w:pPr>
              <w:pStyle w:val="96"/>
              <w:ind w:firstLine="480"/>
            </w:pPr>
            <w:r>
              <w:rPr>
                <w:rFonts w:hint="eastAsia"/>
              </w:rPr>
              <w:t>试气结果用于确认产能，也可以作为报储的动态资料。</w:t>
            </w:r>
          </w:p>
          <w:p w14:paraId="2036EF34">
            <w:pPr>
              <w:pStyle w:val="96"/>
              <w:ind w:firstLine="480"/>
            </w:pPr>
            <w:r>
              <w:rPr>
                <w:rFonts w:hint="eastAsia"/>
              </w:rPr>
              <w:t>排出的致密气通过点火方箱点火燃烧后排放，不做收集。</w:t>
            </w:r>
          </w:p>
          <w:p w14:paraId="76835329">
            <w:pPr>
              <w:pStyle w:val="96"/>
              <w:ind w:firstLine="480"/>
            </w:pPr>
            <w:r>
              <w:rPr>
                <w:rFonts w:hint="eastAsia"/>
              </w:rPr>
              <w:t>（5）关井阶段</w:t>
            </w:r>
          </w:p>
          <w:p w14:paraId="271A51B8">
            <w:pPr>
              <w:pStyle w:val="96"/>
              <w:ind w:firstLine="480"/>
            </w:pPr>
            <w:r>
              <w:rPr>
                <w:rFonts w:hint="eastAsia"/>
              </w:rPr>
              <w:t>①关井</w:t>
            </w:r>
          </w:p>
          <w:p w14:paraId="37BDC335">
            <w:pPr>
              <w:pStyle w:val="96"/>
              <w:ind w:firstLine="480"/>
            </w:pPr>
            <w:r>
              <w:rPr>
                <w:rFonts w:hint="eastAsia"/>
              </w:rPr>
              <w:t>勘探工作完成后，经过经济评价，如果勘探有经济利用价值，则作为开发井之一，进行下一步开发；如果勘探没有经济利用价值，按照中国石油工业行规和国际惯例，进行关井。</w:t>
            </w:r>
          </w:p>
          <w:p w14:paraId="5DA79313">
            <w:pPr>
              <w:pStyle w:val="96"/>
              <w:ind w:firstLine="480"/>
            </w:pPr>
            <w:r>
              <w:rPr>
                <w:rFonts w:hint="eastAsia"/>
              </w:rPr>
              <w:t>②拆迁及生态恢复</w:t>
            </w:r>
          </w:p>
          <w:p w14:paraId="00C23731">
            <w:pPr>
              <w:pStyle w:val="96"/>
              <w:ind w:firstLine="480"/>
            </w:pPr>
            <w:r>
              <w:rPr>
                <w:rFonts w:hint="eastAsia"/>
              </w:rPr>
              <w:t>关井后，将试采设备进行拆卸和搬迁后，将建井初期推土机推出的表土回填场地，恢复原状或进行生态恢复。</w:t>
            </w:r>
          </w:p>
          <w:p w14:paraId="35CC0CDF">
            <w:pPr>
              <w:pStyle w:val="96"/>
              <w:ind w:firstLine="480"/>
            </w:pPr>
            <w:r>
              <w:t>2、</w:t>
            </w:r>
            <w:r>
              <w:rPr>
                <w:rFonts w:hint="eastAsia"/>
              </w:rPr>
              <w:t>施工</w:t>
            </w:r>
            <w:r>
              <w:t>时序</w:t>
            </w:r>
          </w:p>
          <w:p w14:paraId="70169815">
            <w:pPr>
              <w:pStyle w:val="96"/>
              <w:ind w:firstLine="480"/>
            </w:pPr>
            <w:r>
              <w:rPr>
                <w:rFonts w:hint="eastAsia"/>
              </w:rPr>
              <w:t>本项目21座井场21口</w:t>
            </w:r>
            <w:r>
              <w:t>井依次</w:t>
            </w:r>
            <w:r>
              <w:rPr>
                <w:rFonts w:hint="eastAsia"/>
              </w:rPr>
              <w:t>进行</w:t>
            </w:r>
            <w:r>
              <w:t>勘探，</w:t>
            </w:r>
            <w:r>
              <w:rPr>
                <w:rFonts w:hint="eastAsia"/>
              </w:rPr>
              <w:t>施工</w:t>
            </w:r>
            <w:r>
              <w:t>顺序为钻井、压裂、试采</w:t>
            </w:r>
            <w:r>
              <w:rPr>
                <w:rFonts w:hint="eastAsia"/>
              </w:rPr>
              <w:t>。</w:t>
            </w:r>
          </w:p>
          <w:p w14:paraId="2DD55777">
            <w:pPr>
              <w:pStyle w:val="96"/>
              <w:ind w:firstLine="480"/>
            </w:pPr>
            <w:r>
              <w:t>3、</w:t>
            </w:r>
            <w:r>
              <w:rPr>
                <w:rFonts w:hint="eastAsia"/>
              </w:rPr>
              <w:t>建设周期</w:t>
            </w:r>
          </w:p>
          <w:p w14:paraId="6C893131">
            <w:pPr>
              <w:pStyle w:val="96"/>
              <w:ind w:firstLine="480"/>
            </w:pPr>
            <w:r>
              <w:rPr>
                <w:rFonts w:hint="eastAsia"/>
              </w:rPr>
              <w:t>①钻井期</w:t>
            </w:r>
          </w:p>
          <w:p w14:paraId="66311125">
            <w:pPr>
              <w:pStyle w:val="96"/>
              <w:ind w:firstLine="480"/>
            </w:pPr>
            <w:r>
              <w:rPr>
                <w:rFonts w:hint="eastAsia"/>
              </w:rPr>
              <w:t>单口井钻井期18天。</w:t>
            </w:r>
          </w:p>
          <w:p w14:paraId="036BAB76">
            <w:pPr>
              <w:pStyle w:val="96"/>
              <w:ind w:firstLine="480"/>
            </w:pPr>
            <w:r>
              <w:rPr>
                <w:rFonts w:hint="eastAsia"/>
              </w:rPr>
              <w:t>②完井（压准、压裂）期</w:t>
            </w:r>
          </w:p>
          <w:p w14:paraId="7B98392D">
            <w:pPr>
              <w:pStyle w:val="96"/>
              <w:ind w:firstLine="480"/>
            </w:pPr>
            <w:r>
              <w:rPr>
                <w:rFonts w:hint="eastAsia"/>
              </w:rPr>
              <w:t>单口井完井（压准、压裂）期19天。</w:t>
            </w:r>
          </w:p>
          <w:p w14:paraId="0AF24077">
            <w:pPr>
              <w:pStyle w:val="96"/>
              <w:ind w:firstLine="480"/>
            </w:pPr>
            <w:r>
              <w:rPr>
                <w:rFonts w:hint="eastAsia"/>
              </w:rPr>
              <w:t>另考虑搬迁设备</w:t>
            </w:r>
            <w:r>
              <w:t>8天，钻井期+完井期一共45天</w:t>
            </w:r>
            <w:r>
              <w:rPr>
                <w:rFonts w:hint="eastAsia"/>
              </w:rPr>
              <w:t>。</w:t>
            </w:r>
          </w:p>
          <w:p w14:paraId="386C8AAB">
            <w:pPr>
              <w:pStyle w:val="96"/>
              <w:ind w:firstLine="480"/>
            </w:pPr>
            <w:r>
              <w:rPr>
                <w:rFonts w:hint="eastAsia"/>
              </w:rPr>
              <w:t>③试气期</w:t>
            </w:r>
          </w:p>
          <w:p w14:paraId="37109B23">
            <w:pPr>
              <w:pStyle w:val="96"/>
              <w:ind w:firstLine="480"/>
            </w:pPr>
            <w:r>
              <w:rPr>
                <w:rFonts w:hint="eastAsia"/>
              </w:rPr>
              <w:t>试气期60天，每天24小时工作。</w:t>
            </w:r>
          </w:p>
          <w:p w14:paraId="131C5F77">
            <w:pPr>
              <w:pStyle w:val="96"/>
              <w:ind w:firstLine="480"/>
            </w:pPr>
          </w:p>
          <w:p w14:paraId="5013E192">
            <w:pPr>
              <w:pStyle w:val="96"/>
              <w:ind w:firstLine="480"/>
            </w:pPr>
          </w:p>
          <w:p w14:paraId="25C1746F">
            <w:pPr>
              <w:pStyle w:val="96"/>
              <w:ind w:firstLine="480"/>
            </w:pPr>
          </w:p>
          <w:p w14:paraId="099C8A5D">
            <w:pPr>
              <w:pStyle w:val="96"/>
              <w:ind w:firstLine="480"/>
            </w:pPr>
          </w:p>
          <w:p w14:paraId="5574C290">
            <w:pPr>
              <w:pStyle w:val="96"/>
              <w:ind w:firstLine="480"/>
            </w:pPr>
          </w:p>
          <w:p w14:paraId="7F0F26AE">
            <w:pPr>
              <w:pStyle w:val="96"/>
              <w:ind w:firstLine="480"/>
            </w:pPr>
          </w:p>
          <w:p w14:paraId="03246873">
            <w:pPr>
              <w:pStyle w:val="96"/>
              <w:ind w:firstLine="480"/>
            </w:pPr>
          </w:p>
          <w:p w14:paraId="56161290">
            <w:pPr>
              <w:pStyle w:val="96"/>
              <w:ind w:firstLine="480"/>
            </w:pPr>
          </w:p>
          <w:p w14:paraId="034BE5FD">
            <w:pPr>
              <w:pStyle w:val="96"/>
              <w:ind w:firstLine="480"/>
            </w:pPr>
          </w:p>
          <w:p w14:paraId="11C2C94B">
            <w:pPr>
              <w:pStyle w:val="96"/>
              <w:ind w:firstLine="480"/>
            </w:pPr>
          </w:p>
          <w:p w14:paraId="78B1066E">
            <w:pPr>
              <w:pStyle w:val="96"/>
              <w:ind w:firstLine="480"/>
            </w:pPr>
          </w:p>
          <w:p w14:paraId="3A50A60B">
            <w:pPr>
              <w:pStyle w:val="96"/>
              <w:ind w:firstLine="480"/>
            </w:pPr>
          </w:p>
          <w:p w14:paraId="42FEC60B">
            <w:pPr>
              <w:pStyle w:val="96"/>
              <w:ind w:firstLine="480"/>
            </w:pPr>
          </w:p>
          <w:p w14:paraId="430069DD">
            <w:pPr>
              <w:pStyle w:val="96"/>
              <w:ind w:firstLine="480"/>
            </w:pPr>
          </w:p>
          <w:p w14:paraId="01EA2346">
            <w:pPr>
              <w:pStyle w:val="96"/>
              <w:ind w:firstLine="480"/>
            </w:pPr>
          </w:p>
          <w:p w14:paraId="0E57DBB2">
            <w:pPr>
              <w:pStyle w:val="96"/>
              <w:ind w:firstLine="480"/>
            </w:pPr>
          </w:p>
          <w:p w14:paraId="5B93F609">
            <w:pPr>
              <w:pStyle w:val="96"/>
              <w:ind w:firstLine="480"/>
            </w:pPr>
          </w:p>
          <w:p w14:paraId="565294DB">
            <w:pPr>
              <w:pStyle w:val="96"/>
              <w:ind w:firstLine="480"/>
            </w:pPr>
          </w:p>
          <w:p w14:paraId="39256A61">
            <w:pPr>
              <w:pStyle w:val="96"/>
              <w:ind w:firstLine="480"/>
            </w:pPr>
          </w:p>
        </w:tc>
      </w:tr>
      <w:tr w14:paraId="4B63AC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1583" w:hRule="atLeast"/>
          <w:jc w:val="center"/>
        </w:trPr>
        <w:tc>
          <w:tcPr>
            <w:tcW w:w="415" w:type="dxa"/>
            <w:vAlign w:val="center"/>
          </w:tcPr>
          <w:p w14:paraId="16239B4A">
            <w:pPr>
              <w:adjustRightInd w:val="0"/>
              <w:snapToGrid w:val="0"/>
              <w:jc w:val="center"/>
              <w:rPr>
                <w:rFonts w:ascii="宋体" w:hAnsi="宋体" w:eastAsia="宋体"/>
                <w:kern w:val="0"/>
                <w:sz w:val="24"/>
              </w:rPr>
            </w:pPr>
            <w:r>
              <w:rPr>
                <w:rFonts w:ascii="宋体" w:hAnsi="宋体" w:eastAsia="宋体"/>
                <w:kern w:val="0"/>
                <w:sz w:val="24"/>
              </w:rPr>
              <w:t>其他</w:t>
            </w:r>
          </w:p>
        </w:tc>
        <w:tc>
          <w:tcPr>
            <w:tcW w:w="8516" w:type="dxa"/>
            <w:vAlign w:val="center"/>
          </w:tcPr>
          <w:p w14:paraId="6F091B27">
            <w:pPr>
              <w:adjustRightInd w:val="0"/>
              <w:snapToGrid w:val="0"/>
              <w:jc w:val="center"/>
              <w:rPr>
                <w:rFonts w:ascii="宋体" w:hAnsi="宋体" w:eastAsia="宋体"/>
                <w:kern w:val="0"/>
                <w:sz w:val="24"/>
              </w:rPr>
            </w:pPr>
            <w:r>
              <w:rPr>
                <w:rFonts w:hint="eastAsia" w:ascii="宋体" w:hAnsi="宋体" w:eastAsia="宋体"/>
                <w:kern w:val="0"/>
                <w:sz w:val="24"/>
              </w:rPr>
              <w:t>无</w:t>
            </w:r>
          </w:p>
        </w:tc>
      </w:tr>
    </w:tbl>
    <w:p w14:paraId="49F04FA2">
      <w:pPr>
        <w:jc w:val="center"/>
        <w:outlineLvl w:val="0"/>
        <w:rPr>
          <w:rStyle w:val="404"/>
        </w:rPr>
      </w:pPr>
      <w:r>
        <w:rPr>
          <w:rFonts w:ascii="Times New Roman" w:hAnsi="Times New Roman" w:eastAsia="仿宋_GB2312"/>
          <w:b/>
          <w:bCs/>
        </w:rPr>
        <w:br w:type="page"/>
      </w:r>
      <w:bookmarkStart w:id="34" w:name="_Toc165209993"/>
      <w:bookmarkStart w:id="35" w:name="_Toc168031006"/>
      <w:bookmarkStart w:id="36" w:name="_Toc171579799"/>
      <w:bookmarkStart w:id="37" w:name="_Toc169765988"/>
      <w:bookmarkStart w:id="38" w:name="_Toc164890569"/>
      <w:bookmarkStart w:id="39" w:name="_Toc165211507"/>
      <w:r>
        <w:rPr>
          <w:rStyle w:val="404"/>
        </w:rPr>
        <w:t>三、生态环境现状、保护目标及评价标准</w:t>
      </w:r>
      <w:bookmarkEnd w:id="34"/>
      <w:bookmarkEnd w:id="35"/>
      <w:bookmarkEnd w:id="36"/>
      <w:bookmarkEnd w:id="37"/>
      <w:bookmarkEnd w:id="38"/>
      <w:bookmarkEnd w:id="39"/>
    </w:p>
    <w:tbl>
      <w:tblPr>
        <w:tblStyle w:val="72"/>
        <w:tblW w:w="91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 w:type="dxa"/>
          <w:bottom w:w="0" w:type="dxa"/>
          <w:right w:w="10" w:type="dxa"/>
        </w:tblCellMar>
      </w:tblPr>
      <w:tblGrid>
        <w:gridCol w:w="260"/>
        <w:gridCol w:w="9374"/>
      </w:tblGrid>
      <w:tr w14:paraId="555638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4012" w:hRule="atLeast"/>
          <w:jc w:val="center"/>
        </w:trPr>
        <w:tc>
          <w:tcPr>
            <w:tcW w:w="710" w:type="dxa"/>
            <w:vAlign w:val="center"/>
          </w:tcPr>
          <w:p w14:paraId="232BDF02">
            <w:pPr>
              <w:adjustRightInd w:val="0"/>
              <w:snapToGrid w:val="0"/>
              <w:jc w:val="center"/>
              <w:rPr>
                <w:kern w:val="0"/>
                <w:sz w:val="24"/>
              </w:rPr>
            </w:pPr>
            <w:r>
              <w:rPr>
                <w:kern w:val="0"/>
                <w:sz w:val="24"/>
              </w:rPr>
              <w:t>生态环境现状</w:t>
            </w:r>
          </w:p>
        </w:tc>
        <w:tc>
          <w:tcPr>
            <w:tcW w:w="8447" w:type="dxa"/>
            <w:vAlign w:val="center"/>
          </w:tcPr>
          <w:p w14:paraId="65170B71">
            <w:pPr>
              <w:pStyle w:val="96"/>
              <w:ind w:firstLine="0" w:firstLineChars="0"/>
              <w:rPr>
                <w:b/>
                <w:bCs/>
              </w:rPr>
            </w:pPr>
            <w:r>
              <w:rPr>
                <w:rFonts w:hint="eastAsia"/>
                <w:b/>
                <w:bCs/>
              </w:rPr>
              <w:t>1、兴县国土空间总体规划（2021-2035年）</w:t>
            </w:r>
          </w:p>
          <w:p w14:paraId="401EE556">
            <w:pPr>
              <w:pStyle w:val="96"/>
              <w:ind w:firstLine="480"/>
            </w:pPr>
            <w:r>
              <w:rPr>
                <w:rFonts w:hint="eastAsia"/>
              </w:rPr>
              <w:t>兴县国土空间总体格局为：</w:t>
            </w:r>
          </w:p>
          <w:p w14:paraId="7C50F4AC">
            <w:pPr>
              <w:pStyle w:val="96"/>
              <w:ind w:firstLine="480"/>
            </w:pPr>
            <w:r>
              <w:rPr>
                <w:rFonts w:hint="eastAsia"/>
              </w:rPr>
              <w:t>（1）</w:t>
            </w:r>
            <w:r>
              <w:t>构建“一屏一带融两区，</w:t>
            </w:r>
            <w:r>
              <w:rPr>
                <w:rFonts w:hint="eastAsia"/>
              </w:rPr>
              <w:t>一城一园齐发展</w:t>
            </w:r>
            <w:r>
              <w:t>，多点三廊串全域”的总体格局</w:t>
            </w:r>
            <w:r>
              <w:rPr>
                <w:rFonts w:hint="eastAsia"/>
              </w:rPr>
              <w:t>；</w:t>
            </w:r>
          </w:p>
          <w:p w14:paraId="48C761EB">
            <w:pPr>
              <w:pStyle w:val="96"/>
              <w:ind w:firstLine="480"/>
            </w:pPr>
            <w:r>
              <w:rPr>
                <w:rFonts w:hint="eastAsia"/>
              </w:rPr>
              <w:t>（2）</w:t>
            </w:r>
            <w:r>
              <w:t>构建沿黄生态保护与高质量发展带和吕梁市水源涵养与生物多样性保护屏障</w:t>
            </w:r>
          </w:p>
          <w:p w14:paraId="240462E4">
            <w:pPr>
              <w:pStyle w:val="96"/>
              <w:ind w:firstLine="480"/>
            </w:pPr>
            <w:r>
              <w:rPr>
                <w:rFonts w:hint="eastAsia"/>
              </w:rPr>
              <w:t>（3）</w:t>
            </w:r>
            <w:r>
              <w:t>打造兴县县城与兴县经济技术开发区两大发展区域</w:t>
            </w:r>
            <w:r>
              <w:rPr>
                <w:rFonts w:hint="eastAsia"/>
              </w:rPr>
              <w:t>本项目</w:t>
            </w:r>
            <w:r>
              <w:t>位于国家级限制开发的重点生态功能区。</w:t>
            </w:r>
          </w:p>
          <w:p w14:paraId="57529B98">
            <w:pPr>
              <w:pStyle w:val="96"/>
              <w:ind w:firstLine="480"/>
            </w:pPr>
            <w:r>
              <w:rPr>
                <w:rFonts w:hint="eastAsia"/>
              </w:rPr>
              <w:t>保护要求为</w:t>
            </w:r>
          </w:p>
          <w:p w14:paraId="1727FD19">
            <w:pPr>
              <w:pStyle w:val="96"/>
              <w:ind w:firstLine="480"/>
            </w:pPr>
            <w:r>
              <w:rPr>
                <w:rFonts w:hint="eastAsia"/>
              </w:rPr>
              <w:t>（1）坚持节约优先、保护优先、</w:t>
            </w:r>
            <w:r>
              <w:t>自然恢复为主的方针，针对水土流失、生态功能退化等问题，整体保护、系统修复、综合治理。</w:t>
            </w:r>
          </w:p>
          <w:p w14:paraId="74256A9E">
            <w:pPr>
              <w:pStyle w:val="96"/>
              <w:ind w:firstLine="480"/>
            </w:pPr>
            <w:r>
              <w:rPr>
                <w:rFonts w:hint="eastAsia"/>
              </w:rPr>
              <w:t>（2）</w:t>
            </w:r>
            <w:r>
              <w:t>充分运用补植、人工促进天然更新和间伐等抚育措施，以山地草 原类、山地草甸类草原生态修复治理为重点，因地制宜实施生态修复治理工程。</w:t>
            </w:r>
          </w:p>
          <w:p w14:paraId="5A7814A0">
            <w:pPr>
              <w:pStyle w:val="96"/>
              <w:ind w:firstLine="480"/>
            </w:pPr>
            <w:r>
              <w:rPr>
                <w:rFonts w:hint="eastAsia"/>
              </w:rPr>
              <w:t>本项目位于</w:t>
            </w:r>
            <w:r>
              <w:t>黄生态保护与高质量发展带</w:t>
            </w:r>
            <w:r>
              <w:rPr>
                <w:rFonts w:hint="eastAsia"/>
              </w:rPr>
              <w:t>和西部黄土高原丘陵农牧业发展区，同时总体规划提出的县域矿产资源规划中，本项目位于保德——兴县煤层气国家规划矿区。</w:t>
            </w:r>
          </w:p>
          <w:p w14:paraId="4BBC2740">
            <w:pPr>
              <w:pStyle w:val="96"/>
              <w:ind w:firstLine="480"/>
            </w:pPr>
            <w:r>
              <w:rPr>
                <w:rFonts w:hint="eastAsia"/>
              </w:rPr>
              <w:t>本项目临时</w:t>
            </w:r>
            <w:r>
              <w:t>占地为</w:t>
            </w:r>
            <w:r>
              <w:rPr>
                <w:rFonts w:hint="eastAsia"/>
              </w:rPr>
              <w:t>耕地、园地、其他草地等</w:t>
            </w:r>
            <w:r>
              <w:t>，不涉及基本农田，</w:t>
            </w:r>
            <w:r>
              <w:rPr>
                <w:rFonts w:hint="eastAsia"/>
              </w:rPr>
              <w:t>施工期</w:t>
            </w:r>
            <w:r>
              <w:t>签订了临时</w:t>
            </w:r>
            <w:r>
              <w:rPr>
                <w:rFonts w:hint="eastAsia"/>
              </w:rPr>
              <w:t>使用</w:t>
            </w:r>
            <w:r>
              <w:t>土地</w:t>
            </w:r>
            <w:r>
              <w:rPr>
                <w:rFonts w:hint="eastAsia"/>
              </w:rPr>
              <w:t>合同</w:t>
            </w:r>
            <w:r>
              <w:t>，按国家标准进行补偿，</w:t>
            </w:r>
            <w:r>
              <w:rPr>
                <w:rFonts w:hint="eastAsia"/>
              </w:rPr>
              <w:t>建设过程中采取严格控制施工占地、及时恢复等生态环境保护措施，最大程度的保护井场周边和施工道路沿线的生态环境，同时项目施工过程中采取多项水土保持措施，控制水土流失，</w:t>
            </w:r>
            <w:r>
              <w:t>施工期结束后对临时占地进行生态恢复</w:t>
            </w:r>
            <w:r>
              <w:rPr>
                <w:rFonts w:hint="eastAsia"/>
              </w:rPr>
              <w:t>。因此，本项目的建设不违背兴县国土空间总体规划的功能定位和发展方向。</w:t>
            </w:r>
          </w:p>
          <w:p w14:paraId="0C3A9606">
            <w:pPr>
              <w:pStyle w:val="96"/>
              <w:ind w:firstLine="482"/>
              <w:rPr>
                <w:b/>
                <w:bCs/>
              </w:rPr>
            </w:pPr>
            <w:r>
              <w:rPr>
                <w:rFonts w:hint="eastAsia"/>
                <w:b/>
                <w:bCs/>
              </w:rPr>
              <w:t>4、陆生生态</w:t>
            </w:r>
            <w:r>
              <w:rPr>
                <w:b/>
                <w:bCs/>
              </w:rPr>
              <w:t>现状</w:t>
            </w:r>
          </w:p>
          <w:p w14:paraId="3E9A1A81">
            <w:pPr>
              <w:pStyle w:val="96"/>
              <w:ind w:firstLine="480"/>
            </w:pPr>
            <w:r>
              <w:rPr>
                <w:rFonts w:hint="eastAsia"/>
              </w:rPr>
              <w:t>（1）项目</w:t>
            </w:r>
            <w:r>
              <w:t>影响区域土地利用类型</w:t>
            </w:r>
          </w:p>
          <w:p w14:paraId="38F794CA">
            <w:pPr>
              <w:pStyle w:val="96"/>
              <w:ind w:firstLine="480"/>
            </w:pPr>
            <w:r>
              <w:rPr>
                <w:rFonts w:hint="eastAsia"/>
              </w:rPr>
              <w:t>兴县境内土壤面积442.8万亩，占总土地面积的93.3%，共有8个土类，9个亚类，24个土属，39个土种。8个土类分别为黄绵土、棕壤、褐土、粟褐土、粗骨土、红粘土、新积土、潮土，其中黄绵土是县境内分布最广、面积最大的农业土壤。</w:t>
            </w:r>
          </w:p>
          <w:p w14:paraId="0D13DFA1">
            <w:pPr>
              <w:pStyle w:val="96"/>
              <w:ind w:firstLine="480"/>
            </w:pPr>
            <w:r>
              <w:rPr>
                <w:rFonts w:hint="eastAsia"/>
              </w:rPr>
              <w:t>本项目</w:t>
            </w:r>
            <w:r>
              <w:t>21</w:t>
            </w:r>
            <w:r>
              <w:rPr>
                <w:rFonts w:hint="eastAsia"/>
              </w:rPr>
              <w:t>座</w:t>
            </w:r>
            <w:r>
              <w:t>井场所</w:t>
            </w:r>
            <w:r>
              <w:rPr>
                <w:rFonts w:hint="eastAsia"/>
              </w:rPr>
              <w:t>在</w:t>
            </w:r>
            <w:r>
              <w:t>区域土壤类型</w:t>
            </w:r>
            <w:r>
              <w:rPr>
                <w:rFonts w:hint="eastAsia"/>
              </w:rPr>
              <w:t>主要</w:t>
            </w:r>
            <w:r>
              <w:t>为</w:t>
            </w:r>
            <w:r>
              <w:rPr>
                <w:rFonts w:hint="eastAsia"/>
              </w:rPr>
              <w:t>黄绵土。</w:t>
            </w:r>
          </w:p>
          <w:p w14:paraId="4E76D996">
            <w:pPr>
              <w:pStyle w:val="96"/>
              <w:ind w:firstLine="480"/>
            </w:pPr>
            <w:r>
              <w:rPr>
                <w:rFonts w:hint="eastAsia"/>
              </w:rPr>
              <w:t>（2）项目</w:t>
            </w:r>
            <w:r>
              <w:t>影响区域</w:t>
            </w:r>
            <w:r>
              <w:rPr>
                <w:rFonts w:hint="eastAsia"/>
              </w:rPr>
              <w:t>植被</w:t>
            </w:r>
            <w:r>
              <w:t>类型</w:t>
            </w:r>
          </w:p>
          <w:p w14:paraId="40862EE0">
            <w:pPr>
              <w:pStyle w:val="96"/>
              <w:ind w:firstLine="480"/>
            </w:pPr>
            <w:r>
              <w:rPr>
                <w:rFonts w:hint="eastAsia"/>
              </w:rPr>
              <w:t>兴县植被区划原属森林草原灌丛植被区，由于历代毁林开荒和战争砍伐，植被惨遭破坏，大部分植被为</w:t>
            </w:r>
            <w:r>
              <w:rPr>
                <w:rFonts w:hint="eastAsia"/>
                <w:lang w:eastAsia="zh-CN"/>
              </w:rPr>
              <w:t>新中国成立</w:t>
            </w:r>
            <w:bookmarkStart w:id="177" w:name="_GoBack"/>
            <w:bookmarkEnd w:id="177"/>
            <w:r>
              <w:rPr>
                <w:rFonts w:hint="eastAsia"/>
              </w:rPr>
              <w:t>以来人工种植的。境内东部山区植被较好，分布有大面积的天然次生林，主要树种有华北落叶松、油松、侧柏、刺柏、杨桦等，灌木有栎类、沙棘、胡枝子、黄刺玫、柠条等；西部黄土丘陵沟壑区植被稀少，主要分布树种有枣树、杏、柳树，灌木有柠条等，草本有蒿类；中部地区为黄土丘陵区，植被较少，主要树种有核桃、杨、柳树等，灌木有柠条、刺玫，草本为蒿类、狗尾草等。</w:t>
            </w:r>
          </w:p>
          <w:p w14:paraId="76C129FA">
            <w:pPr>
              <w:pStyle w:val="96"/>
              <w:ind w:firstLine="480"/>
            </w:pPr>
            <w:r>
              <w:rPr>
                <w:rFonts w:hint="eastAsia"/>
              </w:rPr>
              <w:t>①木本植物群落：主要分布在海拔1300m以上的中山地区，面积45万亩，占全县国土面积9.5%，以针叶林和阔叶林两类为主，植被有油松、侧柏、山杨、青杨、柞树和白桦等，林间草地上生长有山桃、山杏、沙棘、针茅、黄刺玫、铁杆蒿和野蔷薇。</w:t>
            </w:r>
          </w:p>
          <w:p w14:paraId="6B745D85">
            <w:pPr>
              <w:pStyle w:val="96"/>
              <w:ind w:firstLine="480"/>
            </w:pPr>
            <w:r>
              <w:rPr>
                <w:rFonts w:hint="eastAsia"/>
              </w:rPr>
              <w:t>②草灌植物群落：主要分布在海拔1200～1400m的中低山和低山丘陵区的沟坡上，面积56.3万亩，占全县国土面积11.9%，主要有沙棘、黄刺玫、山桃、山杏、刺槐、柠条、虎榛子、胡枝子和山荆子等丛林与狗尾草、黄背草、苦买菜、蒲公英、土麻黄、败酱草、茵陈蒿、小根蒜、白羊草、铁杆蒿等草类伴生。</w:t>
            </w:r>
          </w:p>
          <w:p w14:paraId="6A34A156">
            <w:pPr>
              <w:pStyle w:val="96"/>
              <w:ind w:firstLine="480"/>
            </w:pPr>
            <w:r>
              <w:rPr>
                <w:rFonts w:hint="eastAsia"/>
              </w:rPr>
              <w:t>③草甸植物群落：主要分布在河谷地带，面积87.4万亩，占国土总面积的18.4%，有青蒿、披碱草、三棱草、艾蒿、沙打旺、草木犀、苜蓿野菊花、猪毛菜等喜湿植物。</w:t>
            </w:r>
          </w:p>
          <w:p w14:paraId="001E6159">
            <w:pPr>
              <w:pStyle w:val="96"/>
              <w:ind w:firstLine="480"/>
            </w:pPr>
            <w:r>
              <w:rPr>
                <w:rFonts w:hint="eastAsia"/>
              </w:rPr>
              <w:t>本项目21座</w:t>
            </w:r>
            <w:r>
              <w:t>井场所</w:t>
            </w:r>
            <w:r>
              <w:rPr>
                <w:rFonts w:hint="eastAsia"/>
              </w:rPr>
              <w:t>在</w:t>
            </w:r>
            <w:r>
              <w:t>区域</w:t>
            </w:r>
            <w:r>
              <w:rPr>
                <w:rFonts w:hint="eastAsia"/>
              </w:rPr>
              <w:t>植被</w:t>
            </w:r>
            <w:r>
              <w:t>类型</w:t>
            </w:r>
            <w:r>
              <w:rPr>
                <w:rFonts w:hint="eastAsia"/>
              </w:rPr>
              <w:t>主要</w:t>
            </w:r>
            <w:r>
              <w:t>为</w:t>
            </w:r>
            <w:r>
              <w:rPr>
                <w:rFonts w:hint="eastAsia"/>
              </w:rPr>
              <w:t>蒿类草丛。</w:t>
            </w:r>
          </w:p>
          <w:p w14:paraId="28894589">
            <w:pPr>
              <w:pStyle w:val="96"/>
              <w:ind w:firstLine="482"/>
              <w:rPr>
                <w:b/>
                <w:bCs/>
              </w:rPr>
            </w:pPr>
            <w:r>
              <w:rPr>
                <w:rFonts w:hint="eastAsia"/>
                <w:b/>
                <w:bCs/>
              </w:rPr>
              <w:t>5、环境</w:t>
            </w:r>
            <w:r>
              <w:rPr>
                <w:b/>
                <w:bCs/>
              </w:rPr>
              <w:t>空气质量现状</w:t>
            </w:r>
          </w:p>
          <w:p w14:paraId="4FE50D04">
            <w:pPr>
              <w:pStyle w:val="96"/>
              <w:ind w:firstLine="480"/>
              <w:rPr>
                <w:bCs/>
              </w:rPr>
            </w:pPr>
          </w:p>
          <w:p w14:paraId="2F9A4D8C">
            <w:pPr>
              <w:pStyle w:val="96"/>
              <w:ind w:firstLine="482"/>
              <w:rPr>
                <w:b/>
                <w:bCs/>
              </w:rPr>
            </w:pPr>
            <w:r>
              <w:rPr>
                <w:b/>
                <w:bCs/>
              </w:rPr>
              <w:t>6</w:t>
            </w:r>
            <w:r>
              <w:rPr>
                <w:rFonts w:hint="eastAsia"/>
                <w:b/>
                <w:bCs/>
              </w:rPr>
              <w:t>、</w:t>
            </w:r>
            <w:r>
              <w:rPr>
                <w:b/>
                <w:bCs/>
              </w:rPr>
              <w:t>地表水环境质量现状</w:t>
            </w:r>
          </w:p>
          <w:p w14:paraId="77EA1A7E">
            <w:pPr>
              <w:pStyle w:val="96"/>
              <w:ind w:firstLine="480"/>
            </w:pPr>
          </w:p>
          <w:p w14:paraId="18035E2E">
            <w:pPr>
              <w:pStyle w:val="96"/>
              <w:ind w:firstLine="482"/>
              <w:rPr>
                <w:b/>
                <w:bCs/>
              </w:rPr>
            </w:pPr>
            <w:r>
              <w:rPr>
                <w:rFonts w:hint="eastAsia"/>
                <w:b/>
                <w:bCs/>
              </w:rPr>
              <w:t>7、</w:t>
            </w:r>
            <w:r>
              <w:rPr>
                <w:b/>
                <w:bCs/>
              </w:rPr>
              <w:t>声环境质量</w:t>
            </w:r>
            <w:r>
              <w:rPr>
                <w:rFonts w:hint="eastAsia"/>
                <w:b/>
                <w:bCs/>
              </w:rPr>
              <w:t>现状</w:t>
            </w:r>
          </w:p>
          <w:p w14:paraId="5440CCB9">
            <w:pPr>
              <w:pStyle w:val="96"/>
              <w:ind w:firstLine="480"/>
            </w:pPr>
            <w:r>
              <w:rPr>
                <w:rFonts w:hint="eastAsia"/>
              </w:rPr>
              <w:t>本项目厂界外周边50米范围内无声环境保护目标，因此没有对声环境质量现状进行监测。</w:t>
            </w:r>
          </w:p>
          <w:p w14:paraId="54FAB005">
            <w:pPr>
              <w:pStyle w:val="96"/>
              <w:ind w:firstLine="482"/>
              <w:rPr>
                <w:b/>
              </w:rPr>
            </w:pPr>
            <w:r>
              <w:rPr>
                <w:rFonts w:hint="eastAsia"/>
                <w:b/>
              </w:rPr>
              <w:t>8、</w:t>
            </w:r>
            <w:r>
              <w:rPr>
                <w:b/>
              </w:rPr>
              <w:t>生态环境质量现状</w:t>
            </w:r>
          </w:p>
          <w:p w14:paraId="303F8F5A">
            <w:pPr>
              <w:pStyle w:val="96"/>
              <w:ind w:firstLine="480"/>
            </w:pPr>
            <w:r>
              <w:t>本项目</w:t>
            </w:r>
            <w:r>
              <w:rPr>
                <w:rFonts w:hint="eastAsia"/>
              </w:rPr>
              <w:t>临时</w:t>
            </w:r>
            <w:r>
              <w:t>占地</w:t>
            </w:r>
            <w:r>
              <w:rPr>
                <w:rFonts w:hint="eastAsia"/>
              </w:rPr>
              <w:t>为旱地</w:t>
            </w:r>
            <w:r>
              <w:t>、</w:t>
            </w:r>
            <w:r>
              <w:rPr>
                <w:rFonts w:hint="eastAsia"/>
              </w:rPr>
              <w:t>草地、园地，</w:t>
            </w:r>
            <w:r>
              <w:t>涉及果树和</w:t>
            </w:r>
            <w:r>
              <w:rPr>
                <w:rFonts w:hint="eastAsia"/>
              </w:rPr>
              <w:t>用材树</w:t>
            </w:r>
            <w:r>
              <w:t>等植物。</w:t>
            </w:r>
          </w:p>
          <w:p w14:paraId="116B39E1">
            <w:pPr>
              <w:pStyle w:val="96"/>
              <w:ind w:firstLine="482"/>
              <w:rPr>
                <w:b/>
              </w:rPr>
            </w:pPr>
            <w:r>
              <w:rPr>
                <w:rFonts w:hint="eastAsia"/>
                <w:b/>
              </w:rPr>
              <w:t>9、地下水</w:t>
            </w:r>
            <w:r>
              <w:rPr>
                <w:b/>
              </w:rPr>
              <w:t>、</w:t>
            </w:r>
            <w:r>
              <w:rPr>
                <w:rFonts w:hint="eastAsia"/>
                <w:b/>
              </w:rPr>
              <w:t>土壤</w:t>
            </w:r>
            <w:r>
              <w:rPr>
                <w:b/>
              </w:rPr>
              <w:t>环境质量现状</w:t>
            </w:r>
          </w:p>
          <w:p w14:paraId="59981978">
            <w:pPr>
              <w:pStyle w:val="96"/>
              <w:ind w:firstLine="480"/>
            </w:pPr>
            <w:r>
              <w:t>本项目</w:t>
            </w:r>
            <w:r>
              <w:rPr>
                <w:rFonts w:hint="eastAsia"/>
              </w:rPr>
              <w:t>施工期</w:t>
            </w:r>
            <w:r>
              <w:t>废气污染物主要为</w:t>
            </w:r>
            <w:r>
              <w:rPr>
                <w:rFonts w:hint="eastAsia"/>
                <w:bCs/>
              </w:rPr>
              <w:t>施工扬尘、车辆尾气、柴油发电机产生的废气</w:t>
            </w:r>
            <w:r>
              <w:t>；废水主要污染物为</w:t>
            </w:r>
            <w:r>
              <w:rPr>
                <w:rFonts w:hint="eastAsia"/>
                <w:bCs/>
              </w:rPr>
              <w:t>钻井废水、设备、钻台清洗废水及压裂返排液</w:t>
            </w:r>
            <w:r>
              <w:t>；固体污染物主要为</w:t>
            </w:r>
            <w:r>
              <w:rPr>
                <w:rFonts w:hint="eastAsia"/>
              </w:rPr>
              <w:t>土方</w:t>
            </w:r>
            <w:r>
              <w:t>、岩屑、</w:t>
            </w:r>
            <w:r>
              <w:rPr>
                <w:rFonts w:hint="eastAsia"/>
              </w:rPr>
              <w:t>泥浆、</w:t>
            </w:r>
            <w:r>
              <w:rPr>
                <w:rFonts w:hint="eastAsia"/>
                <w:bCs/>
              </w:rPr>
              <w:t>废矿物油、废油桶、含油棉纱手套</w:t>
            </w:r>
            <w:r>
              <w:t>，</w:t>
            </w:r>
            <w:r>
              <w:rPr>
                <w:rFonts w:hint="eastAsia"/>
              </w:rPr>
              <w:t>项目</w:t>
            </w:r>
            <w:r>
              <w:t>施工期指定严格的地下水土壤防治措施，实行分区防渗，</w:t>
            </w:r>
            <w:r>
              <w:rPr>
                <w:rFonts w:hint="eastAsia"/>
              </w:rPr>
              <w:t>因此</w:t>
            </w:r>
            <w:r>
              <w:t>，不存在地下水、土壤环境的污染途径。</w:t>
            </w:r>
          </w:p>
          <w:p w14:paraId="3B15FB4B">
            <w:pPr>
              <w:pStyle w:val="96"/>
              <w:ind w:firstLine="480"/>
            </w:pPr>
            <w:r>
              <w:t>本项目不会对周围土壤、地下水环境造成较大影响。因此，可不开展土壤、地下水环境质量现状调查。</w:t>
            </w:r>
          </w:p>
        </w:tc>
      </w:tr>
      <w:tr w14:paraId="7193DB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2753" w:hRule="atLeast"/>
          <w:jc w:val="center"/>
        </w:trPr>
        <w:tc>
          <w:tcPr>
            <w:tcW w:w="710" w:type="dxa"/>
            <w:vAlign w:val="center"/>
          </w:tcPr>
          <w:p w14:paraId="67D1A26C">
            <w:pPr>
              <w:adjustRightInd w:val="0"/>
              <w:snapToGrid w:val="0"/>
              <w:jc w:val="center"/>
              <w:rPr>
                <w:rFonts w:ascii="宋体" w:hAnsi="宋体" w:eastAsia="宋体"/>
                <w:kern w:val="0"/>
                <w:sz w:val="24"/>
              </w:rPr>
            </w:pPr>
            <w:r>
              <w:rPr>
                <w:rFonts w:ascii="宋体" w:hAnsi="宋体" w:eastAsia="宋体"/>
                <w:bCs/>
                <w:sz w:val="24"/>
              </w:rPr>
              <w:t>与项目有关的原有环境污染和生态破坏问题</w:t>
            </w:r>
          </w:p>
        </w:tc>
        <w:tc>
          <w:tcPr>
            <w:tcW w:w="8447" w:type="dxa"/>
            <w:vAlign w:val="center"/>
          </w:tcPr>
          <w:p w14:paraId="743A44A8">
            <w:pPr>
              <w:pStyle w:val="96"/>
              <w:ind w:firstLine="482"/>
              <w:rPr>
                <w:b/>
                <w:bCs/>
              </w:rPr>
            </w:pPr>
            <w:r>
              <w:rPr>
                <w:rFonts w:hint="eastAsia"/>
                <w:b/>
                <w:bCs/>
              </w:rPr>
              <w:t>1、现有工程建设基本情况</w:t>
            </w:r>
          </w:p>
          <w:p w14:paraId="7A68E700">
            <w:pPr>
              <w:pStyle w:val="96"/>
              <w:ind w:firstLine="482"/>
              <w:rPr>
                <w:b/>
                <w:bCs/>
              </w:rPr>
            </w:pPr>
            <w:r>
              <w:rPr>
                <w:b/>
                <w:bCs/>
              </w:rPr>
              <w:t>1.1建设地点、规模、主要建设内容</w:t>
            </w:r>
          </w:p>
          <w:p w14:paraId="51224FB7">
            <w:pPr>
              <w:pStyle w:val="96"/>
              <w:ind w:firstLine="480"/>
            </w:pPr>
            <w:r>
              <w:rPr>
                <w:rFonts w:hint="eastAsia"/>
              </w:rPr>
              <w:t>中联煤层气有限责任公司临兴东区尚义区</w:t>
            </w:r>
            <w:r>
              <w:t>(山西区块)开发项目位于山西省吕梁市兴县罗峪口镇、赵家坪乡、孟家坪乡、高家村镇。总体部署 44 座井场 137 口气井、1 座集气站、配套集输管线及其它配套工程等，产能规模:3.16x10</w:t>
            </w:r>
            <w:r>
              <w:rPr>
                <w:vertAlign w:val="superscript"/>
              </w:rPr>
              <w:t>9</w:t>
            </w:r>
            <w:r>
              <w:t>m</w:t>
            </w:r>
            <w:r>
              <w:rPr>
                <w:vertAlign w:val="superscript"/>
              </w:rPr>
              <w:t>3</w:t>
            </w:r>
            <w:r>
              <w:t>/a。</w:t>
            </w:r>
          </w:p>
          <w:p w14:paraId="123186F2">
            <w:pPr>
              <w:pStyle w:val="96"/>
              <w:ind w:firstLine="482"/>
              <w:rPr>
                <w:b/>
                <w:bCs/>
              </w:rPr>
            </w:pPr>
            <w:r>
              <w:rPr>
                <w:rFonts w:hint="eastAsia"/>
                <w:b/>
                <w:bCs/>
              </w:rPr>
              <w:t>1</w:t>
            </w:r>
            <w:r>
              <w:rPr>
                <w:b/>
                <w:bCs/>
              </w:rPr>
              <w:t>.2建设过程及环保审批情况</w:t>
            </w:r>
          </w:p>
          <w:p w14:paraId="2C58FFEA">
            <w:pPr>
              <w:pStyle w:val="96"/>
              <w:ind w:firstLine="480"/>
            </w:pPr>
            <w:r>
              <w:t>2020年4月27日，受中联煤层气有限责任公司委托，山西新科联环境技术有限公司编制完成了《中联煤层气有限责任公司临兴东区尚义区(山西区块)开发项目环境影响报告书》，报告指出:项目总体部署井场 31座井场，其中利用已建井场 23座，新建井场8座:总体部署 137 口采气井,其中利用已建 67 口,新建 70 口;利用已建的临兴集气三站及配套管道等。2022年12月8日，吕梁市行政审批服务管理局以“吕审批生态函(2022)22号”文件对环</w:t>
            </w:r>
            <w:r>
              <w:rPr>
                <w:rFonts w:hint="eastAsia"/>
              </w:rPr>
              <w:t>评报告进行了批复。</w:t>
            </w:r>
            <w:r>
              <w:t>2022年12月19日，在吕梁市生态环境局完成《中澳煤层气能源有限公司临兴东区尚义区(山西区块)开发项目突发环境事件应急预案》备案，备案号:141123-2022-053-L。2023年3月30日建设单位在“全国排污许可证管理信息平台公开端”进行了固定污染源排污登记，登记编号:911100007178171228002Z。</w:t>
            </w:r>
          </w:p>
          <w:p w14:paraId="0BF4EB3C">
            <w:pPr>
              <w:pStyle w:val="96"/>
              <w:ind w:firstLine="480"/>
            </w:pPr>
            <w:r>
              <w:t>2024年5月24日，中联煤层气有限责任公司</w:t>
            </w:r>
            <w:r>
              <w:rPr>
                <w:rFonts w:hint="eastAsia"/>
              </w:rPr>
              <w:t>在临县主持召开了“</w:t>
            </w:r>
            <w:r>
              <w:t>中联煤层气有限责任公司临兴东区尚义区(山西区块)开发项目竣工环境保护验收调查会议，并形成了会议纪要。</w:t>
            </w:r>
          </w:p>
          <w:p w14:paraId="301998C2">
            <w:pPr>
              <w:pStyle w:val="96"/>
              <w:ind w:firstLine="482"/>
              <w:rPr>
                <w:b/>
                <w:bCs/>
              </w:rPr>
            </w:pPr>
            <w:r>
              <w:rPr>
                <w:b/>
                <w:bCs/>
              </w:rPr>
              <w:t>1.3现有工程建设内容</w:t>
            </w:r>
          </w:p>
          <w:p w14:paraId="610627E9">
            <w:pPr>
              <w:pStyle w:val="96"/>
              <w:ind w:firstLine="480"/>
            </w:pPr>
            <w:r>
              <w:rPr>
                <w:rFonts w:hint="eastAsia"/>
              </w:rPr>
              <w:t>本项目现有建设内容见下表。</w:t>
            </w:r>
          </w:p>
          <w:p w14:paraId="65E84946">
            <w:pPr>
              <w:pStyle w:val="19"/>
              <w:keepNext/>
            </w:pPr>
            <w:r>
              <w:t xml:space="preserve">表 </w:t>
            </w:r>
            <w:r>
              <w:fldChar w:fldCharType="begin"/>
            </w:r>
            <w:r>
              <w:instrText xml:space="preserve"> SEQ 表 \* ARABIC </w:instrText>
            </w:r>
            <w:r>
              <w:fldChar w:fldCharType="separate"/>
            </w:r>
            <w:r>
              <w:t>19</w:t>
            </w:r>
            <w:r>
              <w:fldChar w:fldCharType="end"/>
            </w:r>
            <w:r>
              <w:rPr>
                <w:rFonts w:hint="eastAsia"/>
              </w:rPr>
              <w:t>现有工程建设内容一览表</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35"/>
              <w:gridCol w:w="2007"/>
              <w:gridCol w:w="6482"/>
            </w:tblGrid>
            <w:tr w14:paraId="1EC39B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524" w:type="pct"/>
                  <w:gridSpan w:val="2"/>
                  <w:vAlign w:val="center"/>
                </w:tcPr>
                <w:p w14:paraId="35755AB3">
                  <w:pPr>
                    <w:pStyle w:val="94"/>
                  </w:pPr>
                  <w:r>
                    <w:rPr>
                      <w:rFonts w:hint="eastAsia"/>
                    </w:rPr>
                    <w:t>钻井工程</w:t>
                  </w:r>
                </w:p>
              </w:tc>
              <w:tc>
                <w:tcPr>
                  <w:tcW w:w="3476" w:type="pct"/>
                  <w:vAlign w:val="center"/>
                </w:tcPr>
                <w:p w14:paraId="72255F3D">
                  <w:pPr>
                    <w:pStyle w:val="94"/>
                  </w:pPr>
                  <w:r>
                    <w:rPr>
                      <w:rFonts w:hint="eastAsia"/>
                      <w:spacing w:val="6"/>
                    </w:rPr>
                    <w:t>建设内容</w:t>
                  </w:r>
                </w:p>
              </w:tc>
            </w:tr>
            <w:tr w14:paraId="6A4285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48" w:type="pct"/>
                  <w:vMerge w:val="restart"/>
                  <w:vAlign w:val="center"/>
                </w:tcPr>
                <w:p w14:paraId="513800B5">
                  <w:pPr>
                    <w:pStyle w:val="94"/>
                  </w:pPr>
                  <w:r>
                    <w:rPr>
                      <w:rFonts w:hint="eastAsia"/>
                      <w:spacing w:val="6"/>
                    </w:rPr>
                    <w:t>地 面 工 程</w:t>
                  </w:r>
                </w:p>
              </w:tc>
              <w:tc>
                <w:tcPr>
                  <w:tcW w:w="1076" w:type="pct"/>
                  <w:vAlign w:val="center"/>
                </w:tcPr>
                <w:p w14:paraId="6C7FF6D1">
                  <w:pPr>
                    <w:pStyle w:val="94"/>
                    <w:rPr>
                      <w:rFonts w:cs="Arial"/>
                    </w:rPr>
                  </w:pPr>
                </w:p>
                <w:p w14:paraId="042CB2AE">
                  <w:pPr>
                    <w:pStyle w:val="94"/>
                  </w:pPr>
                  <w:r>
                    <w:rPr>
                      <w:rFonts w:hint="eastAsia"/>
                      <w:spacing w:val="4"/>
                    </w:rPr>
                    <w:t>井场</w:t>
                  </w:r>
                </w:p>
              </w:tc>
              <w:tc>
                <w:tcPr>
                  <w:tcW w:w="3476" w:type="pct"/>
                  <w:vAlign w:val="center"/>
                </w:tcPr>
                <w:p w14:paraId="41CF6F57">
                  <w:pPr>
                    <w:pStyle w:val="94"/>
                  </w:pPr>
                  <w:r>
                    <w:rPr>
                      <w:rFonts w:hint="eastAsia"/>
                      <w:spacing w:val="3"/>
                    </w:rPr>
                    <w:t>①井场</w:t>
                  </w:r>
                  <w:r>
                    <w:rPr>
                      <w:rFonts w:hint="eastAsia"/>
                      <w:spacing w:val="-38"/>
                    </w:rPr>
                    <w:t xml:space="preserve"> </w:t>
                  </w:r>
                  <w:r>
                    <w:rPr>
                      <w:rFonts w:hint="eastAsia"/>
                      <w:spacing w:val="3"/>
                    </w:rPr>
                    <w:t>44座，部署137口采气井，利</w:t>
                  </w:r>
                  <w:r>
                    <w:rPr>
                      <w:rFonts w:hint="eastAsia"/>
                      <w:spacing w:val="-1"/>
                    </w:rPr>
                    <w:t>用已建的70口，新建</w:t>
                  </w:r>
                  <w:r>
                    <w:rPr>
                      <w:rFonts w:hint="eastAsia"/>
                      <w:spacing w:val="-38"/>
                    </w:rPr>
                    <w:t xml:space="preserve"> </w:t>
                  </w:r>
                  <w:r>
                    <w:rPr>
                      <w:rFonts w:hint="eastAsia"/>
                      <w:spacing w:val="-1"/>
                    </w:rPr>
                    <w:t>67口。</w:t>
                  </w:r>
                </w:p>
                <w:p w14:paraId="4DEF23F0">
                  <w:pPr>
                    <w:pStyle w:val="94"/>
                  </w:pPr>
                  <w:r>
                    <w:rPr>
                      <w:rFonts w:hint="eastAsia"/>
                      <w:spacing w:val="4"/>
                    </w:rPr>
                    <w:t>②每口井配备1台采气树、1台流量计</w:t>
                  </w:r>
                  <w:r>
                    <w:rPr>
                      <w:rFonts w:hint="eastAsia"/>
                      <w:spacing w:val="6"/>
                    </w:rPr>
                    <w:t>等采气设备。</w:t>
                  </w:r>
                </w:p>
              </w:tc>
            </w:tr>
            <w:tr w14:paraId="489E86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48" w:type="pct"/>
                  <w:vMerge w:val="continue"/>
                  <w:vAlign w:val="center"/>
                </w:tcPr>
                <w:p w14:paraId="14F64B64">
                  <w:pPr>
                    <w:pStyle w:val="94"/>
                    <w:rPr>
                      <w:rFonts w:cs="Arial"/>
                    </w:rPr>
                  </w:pPr>
                </w:p>
              </w:tc>
              <w:tc>
                <w:tcPr>
                  <w:tcW w:w="1076" w:type="pct"/>
                  <w:vAlign w:val="center"/>
                </w:tcPr>
                <w:p w14:paraId="47B6F9BE">
                  <w:pPr>
                    <w:pStyle w:val="94"/>
                  </w:pPr>
                  <w:r>
                    <w:rPr>
                      <w:rFonts w:hint="eastAsia"/>
                      <w:spacing w:val="6"/>
                    </w:rPr>
                    <w:t>集气站</w:t>
                  </w:r>
                </w:p>
              </w:tc>
              <w:tc>
                <w:tcPr>
                  <w:tcW w:w="3476" w:type="pct"/>
                  <w:vAlign w:val="center"/>
                </w:tcPr>
                <w:p w14:paraId="5197D3A0">
                  <w:pPr>
                    <w:pStyle w:val="94"/>
                  </w:pPr>
                  <w:r>
                    <w:rPr>
                      <w:rFonts w:hint="eastAsia"/>
                      <w:spacing w:val="6"/>
                    </w:rPr>
                    <w:t>临兴集气三站建设规模为96×10</w:t>
                  </w:r>
                  <w:r>
                    <w:rPr>
                      <w:rFonts w:hint="eastAsia"/>
                      <w:spacing w:val="6"/>
                      <w:vertAlign w:val="superscript"/>
                    </w:rPr>
                    <w:t>4</w:t>
                  </w:r>
                  <w:r>
                    <w:rPr>
                      <w:rFonts w:hint="eastAsia"/>
                      <w:spacing w:val="6"/>
                    </w:rPr>
                    <w:t>m</w:t>
                  </w:r>
                  <w:r>
                    <w:rPr>
                      <w:rFonts w:hint="eastAsia"/>
                      <w:spacing w:val="6"/>
                      <w:vertAlign w:val="superscript"/>
                    </w:rPr>
                    <w:t>3</w:t>
                  </w:r>
                  <w:r>
                    <w:rPr>
                      <w:rFonts w:hint="eastAsia"/>
                      <w:spacing w:val="6"/>
                    </w:rPr>
                    <w:t>/d，设进站截断区、进站清管橇、进站分离</w:t>
                  </w:r>
                  <w:r>
                    <w:rPr>
                      <w:rFonts w:hint="eastAsia"/>
                    </w:rPr>
                    <w:t>撬、分子筛脱水橇（2台）、外输计量</w:t>
                  </w:r>
                  <w:r>
                    <w:rPr>
                      <w:rFonts w:hint="eastAsia"/>
                      <w:spacing w:val="6"/>
                    </w:rPr>
                    <w:t>橇、调压计量橇、采出水分离橇、放空分液罐橇、凝析油稳定装置、凝析油储</w:t>
                  </w:r>
                  <w:r>
                    <w:rPr>
                      <w:rFonts w:hint="eastAsia"/>
                      <w:spacing w:val="5"/>
                    </w:rPr>
                    <w:t>罐橇</w:t>
                  </w:r>
                  <w:r>
                    <w:rPr>
                      <w:rFonts w:hint="eastAsia"/>
                      <w:spacing w:val="-40"/>
                    </w:rPr>
                    <w:t xml:space="preserve"> </w:t>
                  </w:r>
                  <w:r>
                    <w:rPr>
                      <w:rFonts w:hint="eastAsia"/>
                      <w:spacing w:val="5"/>
                    </w:rPr>
                    <w:t>20m</w:t>
                  </w:r>
                  <w:r>
                    <w:rPr>
                      <w:rFonts w:hint="eastAsia"/>
                      <w:spacing w:val="5"/>
                      <w:vertAlign w:val="superscript"/>
                    </w:rPr>
                    <w:t>3</w:t>
                  </w:r>
                  <w:r>
                    <w:rPr>
                      <w:rFonts w:hint="eastAsia"/>
                      <w:spacing w:val="5"/>
                    </w:rPr>
                    <w:t>、装车鹤管、火炬分液罐撬、</w:t>
                  </w:r>
                  <w:r>
                    <w:rPr>
                      <w:rFonts w:hint="eastAsia"/>
                      <w:spacing w:val="9"/>
                    </w:rPr>
                    <w:t>放空火炬、仪表风橇、采出水储罐橇</w:t>
                  </w:r>
                  <w:r>
                    <w:rPr>
                      <w:rFonts w:hint="eastAsia"/>
                      <w:spacing w:val="5"/>
                    </w:rPr>
                    <w:t>50m</w:t>
                  </w:r>
                  <w:r>
                    <w:rPr>
                      <w:rFonts w:hint="eastAsia"/>
                      <w:spacing w:val="5"/>
                      <w:vertAlign w:val="superscript"/>
                    </w:rPr>
                    <w:t>3</w:t>
                  </w:r>
                  <w:r>
                    <w:rPr>
                      <w:rFonts w:hint="eastAsia"/>
                      <w:spacing w:val="5"/>
                    </w:rPr>
                    <w:t>、配电柜、值班室、20 人临时生</w:t>
                  </w:r>
                  <w:r>
                    <w:rPr>
                      <w:rFonts w:hint="eastAsia"/>
                      <w:spacing w:val="6"/>
                    </w:rPr>
                    <w:t>活保障点等</w:t>
                  </w:r>
                </w:p>
              </w:tc>
            </w:tr>
            <w:tr w14:paraId="399350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48" w:type="pct"/>
                  <w:vMerge w:val="continue"/>
                  <w:vAlign w:val="center"/>
                </w:tcPr>
                <w:p w14:paraId="04A0933B">
                  <w:pPr>
                    <w:pStyle w:val="94"/>
                    <w:rPr>
                      <w:rFonts w:cs="Arial"/>
                    </w:rPr>
                  </w:pPr>
                </w:p>
              </w:tc>
              <w:tc>
                <w:tcPr>
                  <w:tcW w:w="1076" w:type="pct"/>
                  <w:vAlign w:val="center"/>
                </w:tcPr>
                <w:p w14:paraId="1F3CFAC1">
                  <w:pPr>
                    <w:pStyle w:val="94"/>
                  </w:pPr>
                  <w:r>
                    <w:rPr>
                      <w:rFonts w:hint="eastAsia"/>
                      <w:spacing w:val="6"/>
                    </w:rPr>
                    <w:t>分离阀组</w:t>
                  </w:r>
                </w:p>
              </w:tc>
              <w:tc>
                <w:tcPr>
                  <w:tcW w:w="3476" w:type="pct"/>
                  <w:vAlign w:val="center"/>
                </w:tcPr>
                <w:p w14:paraId="016C7A0F">
                  <w:pPr>
                    <w:pStyle w:val="94"/>
                  </w:pPr>
                  <w:r>
                    <w:rPr>
                      <w:rFonts w:hint="eastAsia"/>
                      <w:spacing w:val="8"/>
                    </w:rPr>
                    <w:t>未建设分离阀组</w:t>
                  </w:r>
                </w:p>
              </w:tc>
            </w:tr>
            <w:tr w14:paraId="3B06D3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48" w:type="pct"/>
                  <w:vMerge w:val="continue"/>
                  <w:vAlign w:val="center"/>
                </w:tcPr>
                <w:p w14:paraId="6393F514">
                  <w:pPr>
                    <w:pStyle w:val="94"/>
                    <w:rPr>
                      <w:rFonts w:cs="Arial"/>
                    </w:rPr>
                  </w:pPr>
                </w:p>
              </w:tc>
              <w:tc>
                <w:tcPr>
                  <w:tcW w:w="1076" w:type="pct"/>
                  <w:vAlign w:val="center"/>
                </w:tcPr>
                <w:p w14:paraId="3E2DDDED">
                  <w:pPr>
                    <w:pStyle w:val="94"/>
                  </w:pPr>
                  <w:r>
                    <w:rPr>
                      <w:rFonts w:hint="eastAsia"/>
                    </w:rPr>
                    <w:t>采气管道</w:t>
                  </w:r>
                </w:p>
              </w:tc>
              <w:tc>
                <w:tcPr>
                  <w:tcW w:w="3476" w:type="pct"/>
                  <w:vAlign w:val="center"/>
                </w:tcPr>
                <w:p w14:paraId="00A7A8E4">
                  <w:pPr>
                    <w:pStyle w:val="94"/>
                  </w:pPr>
                  <w:r>
                    <w:rPr>
                      <w:rFonts w:hint="eastAsia"/>
                    </w:rPr>
                    <w:t>采气管线全厂78.73km</w:t>
                  </w:r>
                  <w:r>
                    <w:rPr>
                      <w:rFonts w:hint="eastAsia"/>
                      <w:spacing w:val="-22"/>
                    </w:rPr>
                    <w:t xml:space="preserve"> </w:t>
                  </w:r>
                  <w:r>
                    <w:rPr>
                      <w:rFonts w:hint="eastAsia"/>
                    </w:rPr>
                    <w:t>，其中采气干线</w:t>
                  </w:r>
                  <w:r>
                    <w:rPr>
                      <w:rFonts w:hint="eastAsia"/>
                      <w:spacing w:val="3"/>
                    </w:rPr>
                    <w:t>长</w:t>
                  </w:r>
                  <w:r>
                    <w:rPr>
                      <w:rFonts w:hint="eastAsia"/>
                      <w:spacing w:val="-29"/>
                    </w:rPr>
                    <w:t xml:space="preserve"> </w:t>
                  </w:r>
                  <w:r>
                    <w:rPr>
                      <w:rFonts w:hint="eastAsia"/>
                      <w:spacing w:val="3"/>
                    </w:rPr>
                    <w:t>8.26</w:t>
                  </w:r>
                  <w:r>
                    <w:rPr>
                      <w:rFonts w:hint="eastAsia"/>
                    </w:rPr>
                    <w:t>km</w:t>
                  </w:r>
                  <w:r>
                    <w:rPr>
                      <w:rFonts w:hint="eastAsia"/>
                      <w:spacing w:val="-24"/>
                    </w:rPr>
                    <w:t xml:space="preserve"> </w:t>
                  </w:r>
                  <w:r>
                    <w:rPr>
                      <w:rFonts w:hint="eastAsia"/>
                      <w:spacing w:val="3"/>
                    </w:rPr>
                    <w:t>，采气支线长</w:t>
                  </w:r>
                  <w:r>
                    <w:rPr>
                      <w:rFonts w:hint="eastAsia"/>
                      <w:spacing w:val="-39"/>
                    </w:rPr>
                    <w:t xml:space="preserve"> </w:t>
                  </w:r>
                  <w:r>
                    <w:rPr>
                      <w:rFonts w:hint="eastAsia"/>
                      <w:spacing w:val="3"/>
                    </w:rPr>
                    <w:t>70.47</w:t>
                  </w:r>
                  <w:r>
                    <w:rPr>
                      <w:rFonts w:hint="eastAsia"/>
                    </w:rPr>
                    <w:t>km</w:t>
                  </w:r>
                  <w:r>
                    <w:rPr>
                      <w:rFonts w:hint="eastAsia"/>
                      <w:spacing w:val="3"/>
                    </w:rPr>
                    <w:t>。采用</w:t>
                  </w:r>
                  <w:r>
                    <w:rPr>
                      <w:rFonts w:hint="eastAsia"/>
                      <w:spacing w:val="20"/>
                    </w:rPr>
                    <w:t>地埋式串接输气方式将采气井场产生</w:t>
                  </w:r>
                  <w:r>
                    <w:rPr>
                      <w:rFonts w:hint="eastAsia"/>
                      <w:spacing w:val="8"/>
                    </w:rPr>
                    <w:t>的天然气输至集气站</w:t>
                  </w:r>
                </w:p>
              </w:tc>
            </w:tr>
            <w:tr w14:paraId="673CD4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48" w:type="pct"/>
                  <w:vMerge w:val="restart"/>
                  <w:vAlign w:val="center"/>
                </w:tcPr>
                <w:p w14:paraId="0FEC9079">
                  <w:pPr>
                    <w:pStyle w:val="94"/>
                  </w:pPr>
                  <w:r>
                    <w:rPr>
                      <w:rFonts w:hint="eastAsia"/>
                      <w:spacing w:val="6"/>
                    </w:rPr>
                    <w:t>配 套 工 程</w:t>
                  </w:r>
                </w:p>
              </w:tc>
              <w:tc>
                <w:tcPr>
                  <w:tcW w:w="1076" w:type="pct"/>
                  <w:vAlign w:val="center"/>
                </w:tcPr>
                <w:p w14:paraId="016F2F07">
                  <w:pPr>
                    <w:pStyle w:val="94"/>
                  </w:pPr>
                  <w:r>
                    <w:rPr>
                      <w:rFonts w:hint="eastAsia"/>
                      <w:spacing w:val="5"/>
                    </w:rPr>
                    <w:t>道路</w:t>
                  </w:r>
                </w:p>
              </w:tc>
              <w:tc>
                <w:tcPr>
                  <w:tcW w:w="3476" w:type="pct"/>
                  <w:vAlign w:val="center"/>
                </w:tcPr>
                <w:p w14:paraId="216BD472">
                  <w:pPr>
                    <w:pStyle w:val="94"/>
                  </w:pPr>
                  <w:r>
                    <w:rPr>
                      <w:rFonts w:hint="eastAsia"/>
                    </w:rPr>
                    <w:t>①集气站、井场等进场道路建设充分利用省道、县道、乡道及当地村道。进场</w:t>
                  </w:r>
                  <w:r>
                    <w:rPr>
                      <w:rFonts w:hint="eastAsia"/>
                      <w:spacing w:val="5"/>
                    </w:rPr>
                    <w:t>道路总长约16.30</w:t>
                  </w:r>
                  <w:r>
                    <w:rPr>
                      <w:rFonts w:hint="eastAsia"/>
                    </w:rPr>
                    <w:t>km</w:t>
                  </w:r>
                  <w:r>
                    <w:rPr>
                      <w:rFonts w:hint="eastAsia"/>
                      <w:spacing w:val="-21"/>
                    </w:rPr>
                    <w:t>，</w:t>
                  </w:r>
                  <w:r>
                    <w:rPr>
                      <w:rFonts w:hint="eastAsia"/>
                      <w:spacing w:val="5"/>
                    </w:rPr>
                    <w:t>其中利用已建进</w:t>
                  </w:r>
                  <w:r>
                    <w:rPr>
                      <w:rFonts w:hint="eastAsia"/>
                      <w:spacing w:val="2"/>
                    </w:rPr>
                    <w:t>场道</w:t>
                  </w:r>
                  <w:r>
                    <w:rPr>
                      <w:rFonts w:hint="eastAsia"/>
                      <w:spacing w:val="-19"/>
                    </w:rPr>
                    <w:t xml:space="preserve"> </w:t>
                  </w:r>
                  <w:r>
                    <w:rPr>
                      <w:rFonts w:hint="eastAsia"/>
                      <w:spacing w:val="2"/>
                    </w:rPr>
                    <w:t>10.29</w:t>
                  </w:r>
                  <w:r>
                    <w:rPr>
                      <w:rFonts w:hint="eastAsia"/>
                    </w:rPr>
                    <w:t>km</w:t>
                  </w:r>
                  <w:r>
                    <w:rPr>
                      <w:rFonts w:hint="eastAsia"/>
                      <w:spacing w:val="2"/>
                    </w:rPr>
                    <w:t>；</w:t>
                  </w:r>
                </w:p>
                <w:p w14:paraId="40C1D608">
                  <w:pPr>
                    <w:pStyle w:val="94"/>
                    <w:rPr>
                      <w:spacing w:val="20"/>
                    </w:rPr>
                  </w:pPr>
                  <w:r>
                    <w:rPr>
                      <w:rFonts w:hint="eastAsia"/>
                      <w:spacing w:val="20"/>
                    </w:rPr>
                    <w:t>②临兴集气三站进站道路采用混凝土</w:t>
                  </w:r>
                  <w:r>
                    <w:rPr>
                      <w:rFonts w:hint="eastAsia"/>
                    </w:rPr>
                    <w:t xml:space="preserve"> </w:t>
                  </w:r>
                  <w:r>
                    <w:rPr>
                      <w:rFonts w:hint="eastAsia"/>
                      <w:spacing w:val="-9"/>
                    </w:rPr>
                    <w:t>路面，路基宽</w:t>
                  </w:r>
                  <w:r>
                    <w:rPr>
                      <w:rFonts w:hint="eastAsia"/>
                      <w:spacing w:val="-46"/>
                    </w:rPr>
                    <w:t xml:space="preserve"> </w:t>
                  </w:r>
                  <w:r>
                    <w:rPr>
                      <w:rFonts w:hint="eastAsia"/>
                      <w:spacing w:val="-9"/>
                    </w:rPr>
                    <w:t>5m，路面宽4m，长约</w:t>
                  </w:r>
                  <w:r>
                    <w:rPr>
                      <w:rFonts w:hint="eastAsia"/>
                      <w:spacing w:val="-52"/>
                    </w:rPr>
                    <w:t xml:space="preserve"> </w:t>
                  </w:r>
                  <w:r>
                    <w:rPr>
                      <w:rFonts w:hint="eastAsia"/>
                      <w:spacing w:val="-9"/>
                    </w:rPr>
                    <w:t>50m；</w:t>
                  </w:r>
                  <w:r>
                    <w:rPr>
                      <w:rFonts w:hint="eastAsia"/>
                    </w:rPr>
                    <w:t xml:space="preserve"> </w:t>
                  </w:r>
                  <w:r>
                    <w:rPr>
                      <w:rFonts w:hint="eastAsia"/>
                      <w:spacing w:val="20"/>
                    </w:rPr>
                    <w:t>③采气井场进场道路采用泥结碎石路</w:t>
                  </w:r>
                  <w:r>
                    <w:rPr>
                      <w:rFonts w:hint="eastAsia"/>
                      <w:spacing w:val="4"/>
                    </w:rPr>
                    <w:t>面，路基宽</w:t>
                  </w:r>
                  <w:r>
                    <w:rPr>
                      <w:rFonts w:hint="eastAsia"/>
                      <w:spacing w:val="-33"/>
                    </w:rPr>
                    <w:t xml:space="preserve"> </w:t>
                  </w:r>
                  <w:r>
                    <w:rPr>
                      <w:rFonts w:hint="eastAsia"/>
                      <w:spacing w:val="4"/>
                    </w:rPr>
                    <w:t>4m</w:t>
                  </w:r>
                  <w:r>
                    <w:rPr>
                      <w:rFonts w:hint="eastAsia"/>
                      <w:spacing w:val="-24"/>
                    </w:rPr>
                    <w:t>，</w:t>
                  </w:r>
                  <w:r>
                    <w:rPr>
                      <w:rFonts w:hint="eastAsia"/>
                      <w:spacing w:val="4"/>
                    </w:rPr>
                    <w:t>路面宽</w:t>
                  </w:r>
                  <w:r>
                    <w:rPr>
                      <w:rFonts w:hint="eastAsia"/>
                      <w:spacing w:val="-36"/>
                    </w:rPr>
                    <w:t xml:space="preserve"> </w:t>
                  </w:r>
                  <w:r>
                    <w:rPr>
                      <w:rFonts w:hint="eastAsia"/>
                      <w:spacing w:val="4"/>
                    </w:rPr>
                    <w:t>3.5m</w:t>
                  </w:r>
                  <w:r>
                    <w:rPr>
                      <w:rFonts w:hint="eastAsia"/>
                      <w:spacing w:val="-24"/>
                    </w:rPr>
                    <w:t>，</w:t>
                  </w:r>
                  <w:r>
                    <w:rPr>
                      <w:rFonts w:hint="eastAsia"/>
                      <w:spacing w:val="4"/>
                    </w:rPr>
                    <w:t>总长约16.25</w:t>
                  </w:r>
                  <w:r>
                    <w:rPr>
                      <w:rFonts w:hint="eastAsia"/>
                    </w:rPr>
                    <w:t>km</w:t>
                  </w:r>
                  <w:r>
                    <w:rPr>
                      <w:rFonts w:hint="eastAsia"/>
                      <w:spacing w:val="4"/>
                    </w:rPr>
                    <w:t>。</w:t>
                  </w:r>
                </w:p>
              </w:tc>
            </w:tr>
            <w:tr w14:paraId="02BCF1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48" w:type="pct"/>
                  <w:vMerge w:val="continue"/>
                  <w:vAlign w:val="center"/>
                </w:tcPr>
                <w:p w14:paraId="23A672AA">
                  <w:pPr>
                    <w:pStyle w:val="94"/>
                    <w:rPr>
                      <w:rFonts w:cs="Arial"/>
                    </w:rPr>
                  </w:pPr>
                </w:p>
              </w:tc>
              <w:tc>
                <w:tcPr>
                  <w:tcW w:w="1076" w:type="pct"/>
                  <w:vAlign w:val="center"/>
                </w:tcPr>
                <w:p w14:paraId="4389A313">
                  <w:pPr>
                    <w:pStyle w:val="94"/>
                  </w:pPr>
                  <w:r>
                    <w:rPr>
                      <w:rFonts w:hint="eastAsia"/>
                      <w:spacing w:val="-2"/>
                    </w:rPr>
                    <w:t>自动控制</w:t>
                  </w:r>
                </w:p>
              </w:tc>
              <w:tc>
                <w:tcPr>
                  <w:tcW w:w="3476" w:type="pct"/>
                  <w:vAlign w:val="center"/>
                </w:tcPr>
                <w:p w14:paraId="1241D60A">
                  <w:pPr>
                    <w:pStyle w:val="94"/>
                  </w:pPr>
                  <w:r>
                    <w:rPr>
                      <w:rFonts w:hint="eastAsia"/>
                      <w:spacing w:val="2"/>
                    </w:rPr>
                    <w:t>采用自动控制系统，达到数据“</w:t>
                  </w:r>
                  <w:r>
                    <w:rPr>
                      <w:rFonts w:hint="eastAsia"/>
                      <w:spacing w:val="-44"/>
                    </w:rPr>
                    <w:t xml:space="preserve"> </w:t>
                  </w:r>
                  <w:r>
                    <w:rPr>
                      <w:rFonts w:hint="eastAsia"/>
                      <w:spacing w:val="2"/>
                    </w:rPr>
                    <w:t>自动采</w:t>
                  </w:r>
                  <w:r>
                    <w:rPr>
                      <w:rFonts w:hint="eastAsia"/>
                      <w:spacing w:val="3"/>
                    </w:rPr>
                    <w:t>集、集中监控、集中管理</w:t>
                  </w:r>
                  <w:r>
                    <w:rPr>
                      <w:rFonts w:hint="eastAsia"/>
                      <w:spacing w:val="-61"/>
                    </w:rPr>
                    <w:t xml:space="preserve"> </w:t>
                  </w:r>
                  <w:r>
                    <w:rPr>
                      <w:rFonts w:hint="eastAsia"/>
                      <w:spacing w:val="3"/>
                    </w:rPr>
                    <w:t>”的自动化水</w:t>
                  </w:r>
                  <w:r>
                    <w:rPr>
                      <w:rFonts w:hint="eastAsia"/>
                      <w:spacing w:val="11"/>
                    </w:rPr>
                    <w:t>平，井场实现“无人值守，定期巡检</w:t>
                  </w:r>
                  <w:r>
                    <w:rPr>
                      <w:rFonts w:hint="eastAsia"/>
                      <w:spacing w:val="-67"/>
                    </w:rPr>
                    <w:t xml:space="preserve"> </w:t>
                  </w:r>
                  <w:r>
                    <w:rPr>
                      <w:rFonts w:hint="eastAsia"/>
                      <w:spacing w:val="11"/>
                    </w:rPr>
                    <w:t>”</w:t>
                  </w:r>
                  <w:r>
                    <w:rPr>
                      <w:rFonts w:hint="eastAsia"/>
                      <w:spacing w:val="4"/>
                    </w:rPr>
                    <w:t>管理模式。</w:t>
                  </w:r>
                </w:p>
              </w:tc>
            </w:tr>
            <w:tr w14:paraId="54E383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48" w:type="pct"/>
                  <w:vMerge w:val="continue"/>
                  <w:vAlign w:val="center"/>
                </w:tcPr>
                <w:p w14:paraId="25918FD0">
                  <w:pPr>
                    <w:pStyle w:val="94"/>
                    <w:rPr>
                      <w:rFonts w:cs="Arial"/>
                    </w:rPr>
                  </w:pPr>
                </w:p>
              </w:tc>
              <w:tc>
                <w:tcPr>
                  <w:tcW w:w="1076" w:type="pct"/>
                  <w:vAlign w:val="center"/>
                </w:tcPr>
                <w:p w14:paraId="5C46D6FC">
                  <w:pPr>
                    <w:pStyle w:val="94"/>
                  </w:pPr>
                </w:p>
                <w:p w14:paraId="24B269C6">
                  <w:pPr>
                    <w:pStyle w:val="94"/>
                  </w:pPr>
                </w:p>
                <w:p w14:paraId="6B909DCE">
                  <w:pPr>
                    <w:pStyle w:val="94"/>
                  </w:pPr>
                  <w:r>
                    <w:rPr>
                      <w:rFonts w:hint="eastAsia"/>
                    </w:rPr>
                    <w:t>项目部基地</w:t>
                  </w:r>
                </w:p>
              </w:tc>
              <w:tc>
                <w:tcPr>
                  <w:tcW w:w="3476" w:type="pct"/>
                  <w:vAlign w:val="center"/>
                </w:tcPr>
                <w:p w14:paraId="2602CF9D">
                  <w:pPr>
                    <w:pStyle w:val="94"/>
                  </w:pPr>
                  <w:r>
                    <w:rPr>
                      <w:rFonts w:hint="eastAsia"/>
                    </w:rPr>
                    <w:t>依托临县县城项目部，劳动定员约</w:t>
                  </w:r>
                  <w:r>
                    <w:rPr>
                      <w:rFonts w:hint="eastAsia"/>
                      <w:spacing w:val="-43"/>
                    </w:rPr>
                    <w:t xml:space="preserve"> </w:t>
                  </w:r>
                  <w:r>
                    <w:rPr>
                      <w:rFonts w:hint="eastAsia"/>
                    </w:rPr>
                    <w:t>25</w:t>
                  </w:r>
                  <w:r>
                    <w:rPr>
                      <w:rFonts w:hint="eastAsia"/>
                      <w:spacing w:val="6"/>
                    </w:rPr>
                    <w:t>人，其中5人为技术及行政办公人员，</w:t>
                  </w:r>
                  <w:r>
                    <w:rPr>
                      <w:rFonts w:hint="eastAsia"/>
                      <w:spacing w:val="4"/>
                    </w:rPr>
                    <w:t>20人为集气站值班以及井场巡检、维修</w:t>
                  </w:r>
                  <w:r>
                    <w:rPr>
                      <w:rFonts w:hint="eastAsia"/>
                    </w:rPr>
                    <w:t>人员。基地内设有办公、宿舍、职工食</w:t>
                  </w:r>
                  <w:r>
                    <w:rPr>
                      <w:rFonts w:hint="eastAsia"/>
                      <w:spacing w:val="4"/>
                    </w:rPr>
                    <w:t>堂等。</w:t>
                  </w:r>
                </w:p>
              </w:tc>
            </w:tr>
            <w:tr w14:paraId="45A7C2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48" w:type="pct"/>
                  <w:vMerge w:val="restart"/>
                  <w:vAlign w:val="center"/>
                </w:tcPr>
                <w:p w14:paraId="373A263E">
                  <w:pPr>
                    <w:pStyle w:val="94"/>
                  </w:pPr>
                  <w:r>
                    <w:rPr>
                      <w:rFonts w:hint="eastAsia"/>
                      <w:spacing w:val="6"/>
                    </w:rPr>
                    <w:t>公 辅 工 程</w:t>
                  </w:r>
                </w:p>
              </w:tc>
              <w:tc>
                <w:tcPr>
                  <w:tcW w:w="1076" w:type="pct"/>
                  <w:vAlign w:val="center"/>
                </w:tcPr>
                <w:p w14:paraId="4CD9DB95">
                  <w:pPr>
                    <w:pStyle w:val="94"/>
                  </w:pPr>
                  <w:r>
                    <w:rPr>
                      <w:rFonts w:hint="eastAsia"/>
                      <w:spacing w:val="4"/>
                    </w:rPr>
                    <w:t>供水</w:t>
                  </w:r>
                </w:p>
              </w:tc>
              <w:tc>
                <w:tcPr>
                  <w:tcW w:w="3476" w:type="pct"/>
                  <w:vAlign w:val="center"/>
                </w:tcPr>
                <w:p w14:paraId="5CC9D2C5">
                  <w:pPr>
                    <w:pStyle w:val="94"/>
                  </w:pPr>
                  <w:r>
                    <w:rPr>
                      <w:rFonts w:hint="eastAsia"/>
                      <w:spacing w:val="4"/>
                    </w:rPr>
                    <w:t>集气站设蓄水池（15m</w:t>
                  </w:r>
                  <w:r>
                    <w:rPr>
                      <w:rFonts w:hint="eastAsia"/>
                      <w:spacing w:val="4"/>
                      <w:vertAlign w:val="superscript"/>
                    </w:rPr>
                    <w:t>3</w:t>
                  </w:r>
                  <w:r>
                    <w:rPr>
                      <w:rFonts w:hint="eastAsia"/>
                      <w:spacing w:val="1"/>
                    </w:rPr>
                    <w:t>），</w:t>
                  </w:r>
                  <w:r>
                    <w:rPr>
                      <w:rFonts w:hint="eastAsia"/>
                      <w:spacing w:val="4"/>
                    </w:rPr>
                    <w:t>由公司自备</w:t>
                  </w:r>
                  <w:r>
                    <w:rPr>
                      <w:rFonts w:hint="eastAsia"/>
                      <w:spacing w:val="1"/>
                    </w:rPr>
                    <w:t xml:space="preserve"> </w:t>
                  </w:r>
                  <w:r>
                    <w:rPr>
                      <w:rFonts w:hint="eastAsia"/>
                      <w:spacing w:val="8"/>
                    </w:rPr>
                    <w:t>送水车，定时定量送水。</w:t>
                  </w:r>
                </w:p>
              </w:tc>
            </w:tr>
            <w:tr w14:paraId="5A7E69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48" w:type="pct"/>
                  <w:vMerge w:val="continue"/>
                  <w:vAlign w:val="center"/>
                </w:tcPr>
                <w:p w14:paraId="4FCF61C6">
                  <w:pPr>
                    <w:pStyle w:val="94"/>
                    <w:rPr>
                      <w:rFonts w:cs="Arial"/>
                    </w:rPr>
                  </w:pPr>
                </w:p>
              </w:tc>
              <w:tc>
                <w:tcPr>
                  <w:tcW w:w="1076" w:type="pct"/>
                  <w:vAlign w:val="center"/>
                </w:tcPr>
                <w:p w14:paraId="61E6D772">
                  <w:pPr>
                    <w:pStyle w:val="94"/>
                  </w:pPr>
                  <w:r>
                    <w:rPr>
                      <w:rFonts w:hint="eastAsia"/>
                      <w:spacing w:val="4"/>
                    </w:rPr>
                    <w:t>供电</w:t>
                  </w:r>
                </w:p>
              </w:tc>
              <w:tc>
                <w:tcPr>
                  <w:tcW w:w="3476" w:type="pct"/>
                  <w:vAlign w:val="center"/>
                </w:tcPr>
                <w:p w14:paraId="6FE42D8B">
                  <w:pPr>
                    <w:pStyle w:val="94"/>
                  </w:pPr>
                  <w:r>
                    <w:rPr>
                      <w:rFonts w:hint="eastAsia"/>
                      <w:spacing w:val="20"/>
                    </w:rPr>
                    <w:t>①采气井场采用太阳能系统作为井场</w:t>
                  </w:r>
                  <w:r>
                    <w:rPr>
                      <w:rFonts w:hint="eastAsia"/>
                      <w:spacing w:val="5"/>
                    </w:rPr>
                    <w:t>自控系统供电电源，每座井场独立设置一套系统；</w:t>
                  </w:r>
                </w:p>
                <w:p w14:paraId="1FB41460">
                  <w:pPr>
                    <w:pStyle w:val="94"/>
                  </w:pPr>
                  <w:r>
                    <w:rPr>
                      <w:rFonts w:hint="eastAsia"/>
                    </w:rPr>
                    <w:t>②集气站：集气站负荷等级二级。临兴</w:t>
                  </w:r>
                  <w:r>
                    <w:rPr>
                      <w:rFonts w:hint="eastAsia"/>
                      <w:spacing w:val="8"/>
                    </w:rPr>
                    <w:t xml:space="preserve"> </w:t>
                  </w:r>
                  <w:r>
                    <w:rPr>
                      <w:rFonts w:hint="eastAsia"/>
                      <w:spacing w:val="10"/>
                    </w:rPr>
                    <w:t>集气三站由赵家坪乡</w:t>
                  </w:r>
                  <w:r>
                    <w:rPr>
                      <w:rFonts w:hint="eastAsia"/>
                      <w:spacing w:val="-32"/>
                    </w:rPr>
                    <w:t xml:space="preserve"> </w:t>
                  </w:r>
                  <w:r>
                    <w:rPr>
                      <w:rFonts w:ascii="Times New Roman" w:hAnsi="Times New Roman"/>
                      <w:spacing w:val="10"/>
                    </w:rPr>
                    <w:t>35</w:t>
                  </w:r>
                  <w:r>
                    <w:rPr>
                      <w:rFonts w:ascii="Times New Roman" w:hAnsi="Times New Roman"/>
                    </w:rPr>
                    <w:t>kV</w:t>
                  </w:r>
                  <w:r>
                    <w:rPr>
                      <w:rFonts w:ascii="Times New Roman" w:hAnsi="Times New Roman"/>
                      <w:spacing w:val="10"/>
                    </w:rPr>
                    <w:t xml:space="preserve"> </w:t>
                  </w:r>
                  <w:r>
                    <w:rPr>
                      <w:rFonts w:hint="eastAsia"/>
                      <w:spacing w:val="10"/>
                    </w:rPr>
                    <w:t>变电站变引</w:t>
                  </w:r>
                  <w:r>
                    <w:rPr>
                      <w:rFonts w:hint="eastAsia"/>
                      <w:spacing w:val="-3"/>
                    </w:rPr>
                    <w:t>接</w:t>
                  </w:r>
                  <w:r>
                    <w:rPr>
                      <w:rFonts w:ascii="Times New Roman" w:hAnsi="Times New Roman"/>
                      <w:spacing w:val="-3"/>
                    </w:rPr>
                    <w:t>1</w:t>
                  </w:r>
                  <w:r>
                    <w:rPr>
                      <w:rFonts w:hint="eastAsia"/>
                      <w:spacing w:val="-3"/>
                    </w:rPr>
                    <w:t>回</w:t>
                  </w:r>
                  <w:r>
                    <w:rPr>
                      <w:rFonts w:ascii="Times New Roman" w:hAnsi="Times New Roman"/>
                      <w:spacing w:val="-3"/>
                    </w:rPr>
                    <w:t xml:space="preserve">10kV  </w:t>
                  </w:r>
                  <w:r>
                    <w:rPr>
                      <w:rFonts w:hint="eastAsia"/>
                      <w:spacing w:val="-3"/>
                    </w:rPr>
                    <w:t>线</w:t>
                  </w:r>
                  <w:r>
                    <w:rPr>
                      <w:rFonts w:hint="eastAsia"/>
                      <w:spacing w:val="-52"/>
                    </w:rPr>
                    <w:t xml:space="preserve"> </w:t>
                  </w:r>
                  <w:r>
                    <w:rPr>
                      <w:rFonts w:hint="eastAsia"/>
                      <w:spacing w:val="-3"/>
                    </w:rPr>
                    <w:t>路</w:t>
                  </w:r>
                  <w:r>
                    <w:rPr>
                      <w:rFonts w:hint="eastAsia"/>
                      <w:spacing w:val="-53"/>
                    </w:rPr>
                    <w:t xml:space="preserve"> </w:t>
                  </w:r>
                  <w:r>
                    <w:rPr>
                      <w:rFonts w:hint="eastAsia"/>
                      <w:spacing w:val="-3"/>
                    </w:rPr>
                    <w:t>专</w:t>
                  </w:r>
                  <w:r>
                    <w:rPr>
                      <w:rFonts w:hint="eastAsia"/>
                      <w:spacing w:val="-51"/>
                    </w:rPr>
                    <w:t xml:space="preserve"> </w:t>
                  </w:r>
                  <w:r>
                    <w:rPr>
                      <w:rFonts w:hint="eastAsia"/>
                      <w:spacing w:val="-3"/>
                    </w:rPr>
                    <w:t>线</w:t>
                  </w:r>
                  <w:r>
                    <w:rPr>
                      <w:rFonts w:hint="eastAsia"/>
                      <w:spacing w:val="-36"/>
                    </w:rPr>
                    <w:t>，</w:t>
                  </w:r>
                  <w:r>
                    <w:rPr>
                      <w:rFonts w:hint="eastAsia"/>
                      <w:spacing w:val="-3"/>
                    </w:rPr>
                    <w:t>导</w:t>
                  </w:r>
                  <w:r>
                    <w:rPr>
                      <w:rFonts w:hint="eastAsia"/>
                      <w:spacing w:val="-51"/>
                    </w:rPr>
                    <w:t xml:space="preserve"> </w:t>
                  </w:r>
                  <w:r>
                    <w:rPr>
                      <w:rFonts w:hint="eastAsia"/>
                      <w:spacing w:val="-3"/>
                    </w:rPr>
                    <w:t>线</w:t>
                  </w:r>
                  <w:r>
                    <w:rPr>
                      <w:rFonts w:hint="eastAsia"/>
                      <w:spacing w:val="-54"/>
                    </w:rPr>
                    <w:t xml:space="preserve"> </w:t>
                  </w:r>
                  <w:r>
                    <w:rPr>
                      <w:rFonts w:hint="eastAsia"/>
                      <w:spacing w:val="-3"/>
                    </w:rPr>
                    <w:t>选</w:t>
                  </w:r>
                  <w:r>
                    <w:rPr>
                      <w:rFonts w:hint="eastAsia"/>
                      <w:spacing w:val="-52"/>
                    </w:rPr>
                    <w:t xml:space="preserve"> </w:t>
                  </w:r>
                  <w:r>
                    <w:rPr>
                      <w:rFonts w:hint="eastAsia"/>
                      <w:spacing w:val="-3"/>
                    </w:rPr>
                    <w:t>用</w:t>
                  </w:r>
                  <w:r>
                    <w:rPr>
                      <w:rFonts w:hint="eastAsia"/>
                    </w:rPr>
                    <w:t xml:space="preserve"> </w:t>
                  </w:r>
                  <w:r>
                    <w:rPr>
                      <w:rFonts w:ascii="Times New Roman" w:hAnsi="Times New Roman"/>
                    </w:rPr>
                    <w:t>LGJ</w:t>
                  </w:r>
                  <w:r>
                    <w:rPr>
                      <w:rFonts w:ascii="Times New Roman" w:hAnsi="Times New Roman"/>
                      <w:spacing w:val="4"/>
                    </w:rPr>
                    <w:t>-95</w:t>
                  </w:r>
                  <w:r>
                    <w:rPr>
                      <w:rFonts w:hint="eastAsia"/>
                      <w:spacing w:val="-22"/>
                    </w:rPr>
                    <w:t>，</w:t>
                  </w:r>
                  <w:r>
                    <w:rPr>
                      <w:rFonts w:hint="eastAsia"/>
                      <w:spacing w:val="4"/>
                    </w:rPr>
                    <w:t>供电能力</w:t>
                  </w:r>
                  <w:r>
                    <w:rPr>
                      <w:rFonts w:ascii="Times New Roman" w:hAnsi="Times New Roman"/>
                      <w:spacing w:val="4"/>
                    </w:rPr>
                    <w:t>1500</w:t>
                  </w:r>
                  <w:r>
                    <w:rPr>
                      <w:rFonts w:ascii="Times New Roman" w:hAnsi="Times New Roman"/>
                    </w:rPr>
                    <w:t>kW</w:t>
                  </w:r>
                  <w:r>
                    <w:rPr>
                      <w:rFonts w:hint="eastAsia"/>
                      <w:spacing w:val="4"/>
                    </w:rPr>
                    <w:t>。</w:t>
                  </w:r>
                </w:p>
              </w:tc>
            </w:tr>
            <w:tr w14:paraId="528C7D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48" w:type="pct"/>
                  <w:vMerge w:val="continue"/>
                  <w:vAlign w:val="center"/>
                </w:tcPr>
                <w:p w14:paraId="3EA1A63E">
                  <w:pPr>
                    <w:pStyle w:val="94"/>
                    <w:rPr>
                      <w:rFonts w:cs="Arial"/>
                    </w:rPr>
                  </w:pPr>
                </w:p>
              </w:tc>
              <w:tc>
                <w:tcPr>
                  <w:tcW w:w="1076" w:type="pct"/>
                  <w:vAlign w:val="center"/>
                </w:tcPr>
                <w:p w14:paraId="5A737D73">
                  <w:pPr>
                    <w:pStyle w:val="94"/>
                  </w:pPr>
                  <w:r>
                    <w:rPr>
                      <w:rFonts w:hint="eastAsia"/>
                    </w:rPr>
                    <w:t>采暖制冷</w:t>
                  </w:r>
                </w:p>
              </w:tc>
              <w:tc>
                <w:tcPr>
                  <w:tcW w:w="3476" w:type="pct"/>
                  <w:vAlign w:val="center"/>
                </w:tcPr>
                <w:p w14:paraId="1BA09852">
                  <w:pPr>
                    <w:pStyle w:val="94"/>
                  </w:pPr>
                  <w:r>
                    <w:rPr>
                      <w:rFonts w:hint="eastAsia"/>
                      <w:spacing w:val="20"/>
                    </w:rPr>
                    <w:t>①临兴集气三站采用分体式空调制冷</w:t>
                  </w:r>
                  <w:r>
                    <w:rPr>
                      <w:rFonts w:hint="eastAsia"/>
                      <w:spacing w:val="8"/>
                    </w:rPr>
                    <w:t>和温控型电加热器取暖；</w:t>
                  </w:r>
                </w:p>
                <w:p w14:paraId="7B0038B5">
                  <w:pPr>
                    <w:pStyle w:val="94"/>
                  </w:pPr>
                  <w:r>
                    <w:rPr>
                      <w:rFonts w:hint="eastAsia"/>
                      <w:spacing w:val="8"/>
                    </w:rPr>
                    <w:t>②项目部采用县城集中供热。</w:t>
                  </w:r>
                </w:p>
              </w:tc>
            </w:tr>
            <w:tr w14:paraId="5E48FA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48" w:type="pct"/>
                  <w:vMerge w:val="continue"/>
                  <w:vAlign w:val="center"/>
                </w:tcPr>
                <w:p w14:paraId="72B49A3B">
                  <w:pPr>
                    <w:pStyle w:val="94"/>
                    <w:rPr>
                      <w:rFonts w:cs="Arial"/>
                    </w:rPr>
                  </w:pPr>
                </w:p>
              </w:tc>
              <w:tc>
                <w:tcPr>
                  <w:tcW w:w="1076" w:type="pct"/>
                  <w:vAlign w:val="center"/>
                </w:tcPr>
                <w:p w14:paraId="158DCF42">
                  <w:pPr>
                    <w:pStyle w:val="94"/>
                  </w:pPr>
                  <w:r>
                    <w:rPr>
                      <w:rFonts w:hint="eastAsia"/>
                      <w:spacing w:val="2"/>
                    </w:rPr>
                    <w:t>消防</w:t>
                  </w:r>
                </w:p>
              </w:tc>
              <w:tc>
                <w:tcPr>
                  <w:tcW w:w="3476" w:type="pct"/>
                  <w:vAlign w:val="center"/>
                </w:tcPr>
                <w:p w14:paraId="7C54DA55">
                  <w:pPr>
                    <w:pStyle w:val="94"/>
                  </w:pPr>
                  <w:r>
                    <w:rPr>
                      <w:rFonts w:hint="eastAsia"/>
                    </w:rPr>
                    <w:t>井场、集气站配备移动式灭火设备等消</w:t>
                  </w:r>
                  <w:r>
                    <w:rPr>
                      <w:rFonts w:hint="eastAsia"/>
                      <w:spacing w:val="1"/>
                    </w:rPr>
                    <w:t>防器材</w:t>
                  </w:r>
                </w:p>
              </w:tc>
            </w:tr>
          </w:tbl>
          <w:p w14:paraId="6D5E8514">
            <w:pPr>
              <w:pStyle w:val="96"/>
              <w:ind w:firstLine="482"/>
              <w:rPr>
                <w:b/>
                <w:bCs/>
              </w:rPr>
            </w:pPr>
            <w:r>
              <w:rPr>
                <w:b/>
                <w:bCs/>
              </w:rPr>
              <w:t>2</w:t>
            </w:r>
            <w:r>
              <w:rPr>
                <w:rFonts w:hint="eastAsia"/>
                <w:b/>
                <w:bCs/>
              </w:rPr>
              <w:t>、与项目有关现有工程污染物排放情况</w:t>
            </w:r>
          </w:p>
          <w:p w14:paraId="5E243EA2">
            <w:pPr>
              <w:pStyle w:val="96"/>
              <w:ind w:firstLine="480"/>
            </w:pPr>
            <w:r>
              <w:rPr>
                <w:rFonts w:hint="eastAsia"/>
              </w:rPr>
              <w:t>天然气（致密气）开发在不同阶段和工艺过程中，其对环境的影响也不同，大致概括为两类：一是生态环境影响，二是环境污染。生态环境影响主要来自各种占地、人为活动导致的景观变化、土地利用类型的改变，以及直接影响野生动物的栖息环境使原先相对完整的栖息地破碎化和岛屿化，连通程度下降，对物种的扩散和迁徙产生阻碍和限制。环境污染源主要是在地质勘探与钻井、井下作业、采气、天然气（致密气）集输与处理以及配套的给排水、道路建设、通讯等工程建设和运营期间产生的环境污染，包括水、大气、固体废物和噪声污染等。</w:t>
            </w:r>
          </w:p>
          <w:p w14:paraId="320EDF0D">
            <w:pPr>
              <w:pStyle w:val="96"/>
              <w:ind w:firstLine="482"/>
              <w:rPr>
                <w:b/>
                <w:bCs/>
              </w:rPr>
            </w:pPr>
            <w:r>
              <w:rPr>
                <w:rFonts w:hint="eastAsia"/>
                <w:b/>
                <w:bCs/>
              </w:rPr>
              <w:t>2</w:t>
            </w:r>
            <w:r>
              <w:rPr>
                <w:b/>
                <w:bCs/>
              </w:rPr>
              <w:t>.1</w:t>
            </w:r>
            <w:r>
              <w:rPr>
                <w:rFonts w:hint="eastAsia"/>
                <w:b/>
                <w:bCs/>
              </w:rPr>
              <w:t>建设期压裂返排液、集气站分离水</w:t>
            </w:r>
          </w:p>
          <w:p w14:paraId="7F8FD45B">
            <w:pPr>
              <w:pStyle w:val="96"/>
              <w:ind w:firstLine="480"/>
            </w:pPr>
            <w:r>
              <w:rPr>
                <w:rFonts w:hint="eastAsia"/>
              </w:rPr>
              <w:t>临兴东尚义区的集气站分离水及压裂返排液均拉运至中联煤层气有限责任公司临兴东区尚义区</w:t>
            </w:r>
            <w:r>
              <w:t>(山西区块)开发项目</w:t>
            </w:r>
            <w:r>
              <w:rPr>
                <w:rFonts w:hint="eastAsia"/>
              </w:rPr>
              <w:t>排采水处理</w:t>
            </w:r>
            <w:r>
              <w:t xml:space="preserve">2站处理，处理后回用于临兴西区（兴县部分）及临兴东尚义区钻井、压裂用水。    </w:t>
            </w:r>
          </w:p>
          <w:p w14:paraId="4BD290B5">
            <w:pPr>
              <w:pStyle w:val="96"/>
              <w:ind w:firstLine="480"/>
            </w:pPr>
            <w:r>
              <w:rPr>
                <w:rFonts w:hint="eastAsia"/>
              </w:rPr>
              <w:t>临兴集气三站分离水暂存于临兴集气三站的采出水储罐内（</w:t>
            </w:r>
            <w:r>
              <w:t>500m³），分离水定期由罐车密闭运输至</w:t>
            </w:r>
            <w:r>
              <w:rPr>
                <w:rFonts w:hint="eastAsia"/>
              </w:rPr>
              <w:t>中联煤层气有限责任公司临兴东区尚义区</w:t>
            </w:r>
            <w:r>
              <w:t>(山西区块)开发项目排采水处理2站处理。施工期间压裂返排液暂存于压裂反派罐，由罐车定期拉运至</w:t>
            </w:r>
            <w:r>
              <w:rPr>
                <w:rFonts w:hint="eastAsia"/>
              </w:rPr>
              <w:t>中联煤层气有限责任公司临兴东区尚义区</w:t>
            </w:r>
            <w:r>
              <w:t>(山西区块)开发项目排采水处理2站处理。</w:t>
            </w:r>
          </w:p>
          <w:p w14:paraId="2F83BC1F">
            <w:pPr>
              <w:pStyle w:val="96"/>
              <w:ind w:firstLine="480"/>
            </w:pPr>
            <w:r>
              <w:rPr>
                <w:rFonts w:hint="eastAsia"/>
              </w:rPr>
              <w:t>中联煤层气有限责任公司临兴东区尚义区</w:t>
            </w:r>
            <w:r>
              <w:t>(山西区块)开发项目</w:t>
            </w:r>
            <w:r>
              <w:rPr>
                <w:rFonts w:hint="eastAsia"/>
              </w:rPr>
              <w:t>排采水处理</w:t>
            </w:r>
            <w:r>
              <w:t>2站采用间歇式分批次的污水处理方式，污水处理站处理工艺为“絮凝沉淀→杀菌→气浮→砂滤”处理工艺，处理规模 240m</w:t>
            </w:r>
            <w:r>
              <w:rPr>
                <w:vertAlign w:val="superscript"/>
              </w:rPr>
              <w:t>3</w:t>
            </w:r>
            <w:r>
              <w:t xml:space="preserve"> /d，该处理工艺已运行多年，处理出水回用于钻井、压裂液配置，不外排。</w:t>
            </w:r>
          </w:p>
          <w:p w14:paraId="36002EDB">
            <w:pPr>
              <w:pStyle w:val="96"/>
              <w:ind w:firstLine="482"/>
              <w:rPr>
                <w:b/>
                <w:bCs/>
              </w:rPr>
            </w:pPr>
            <w:r>
              <w:rPr>
                <w:rFonts w:hint="eastAsia"/>
                <w:b/>
                <w:bCs/>
              </w:rPr>
              <w:t>2</w:t>
            </w:r>
            <w:r>
              <w:rPr>
                <w:b/>
                <w:bCs/>
              </w:rPr>
              <w:t>.2固体废物</w:t>
            </w:r>
          </w:p>
          <w:p w14:paraId="6BD4C0FC">
            <w:pPr>
              <w:pStyle w:val="96"/>
              <w:ind w:firstLine="480"/>
            </w:pPr>
            <w:r>
              <w:rPr>
                <w:rFonts w:hint="eastAsia"/>
              </w:rPr>
              <w:t>施工期钻井泥浆、岩屑固化填埋。运营期废机油、废油桶在集气站设危废贮存间暂存，定期交由有资质单位处置。</w:t>
            </w:r>
          </w:p>
          <w:p w14:paraId="5BFC6793">
            <w:pPr>
              <w:pStyle w:val="96"/>
              <w:ind w:firstLine="482"/>
              <w:rPr>
                <w:b/>
                <w:bCs/>
              </w:rPr>
            </w:pPr>
            <w:r>
              <w:rPr>
                <w:rFonts w:hint="eastAsia"/>
                <w:b/>
                <w:bCs/>
              </w:rPr>
              <w:t>2</w:t>
            </w:r>
            <w:r>
              <w:rPr>
                <w:b/>
                <w:bCs/>
              </w:rPr>
              <w:t>.3</w:t>
            </w:r>
            <w:r>
              <w:rPr>
                <w:rFonts w:hint="eastAsia"/>
                <w:b/>
                <w:bCs/>
              </w:rPr>
              <w:t>井场生态恢复情况</w:t>
            </w:r>
          </w:p>
          <w:p w14:paraId="7D1E5F1F">
            <w:pPr>
              <w:pStyle w:val="96"/>
              <w:ind w:firstLine="480"/>
            </w:pPr>
            <w:r>
              <w:rPr>
                <w:rFonts w:hint="eastAsia"/>
              </w:rPr>
              <w:t>大部分井场占地除预留检修通道外部分场地复垦，部分场地采用灌草结合方式进行了生态恢复，部分井场施工设备设施未清运，边坡未治理。</w:t>
            </w:r>
          </w:p>
          <w:p w14:paraId="58420B07">
            <w:pPr>
              <w:pStyle w:val="96"/>
              <w:ind w:firstLine="482"/>
              <w:rPr>
                <w:b/>
                <w:bCs/>
              </w:rPr>
            </w:pPr>
            <w:r>
              <w:rPr>
                <w:rFonts w:hint="eastAsia"/>
                <w:b/>
                <w:bCs/>
              </w:rPr>
              <w:t>3、“以新带老”措施分析</w:t>
            </w:r>
          </w:p>
          <w:p w14:paraId="1134179C">
            <w:pPr>
              <w:pStyle w:val="96"/>
              <w:ind w:firstLine="480"/>
            </w:pPr>
            <w:r>
              <w:rPr>
                <w:rFonts w:hint="eastAsia"/>
              </w:rPr>
              <w:t>通过本评价对原有工程找出的环境问题，评价组与建设单位进行了沟通，确定了对现有工程存在环境问题的“以新带老”措施，详见下表。</w:t>
            </w:r>
          </w:p>
          <w:p w14:paraId="378B5FD9">
            <w:pPr>
              <w:pStyle w:val="19"/>
            </w:pPr>
            <w:r>
              <w:t xml:space="preserve">表 </w:t>
            </w:r>
            <w:r>
              <w:fldChar w:fldCharType="begin"/>
            </w:r>
            <w:r>
              <w:instrText xml:space="preserve"> SEQ 表 \* ARABIC </w:instrText>
            </w:r>
            <w:r>
              <w:fldChar w:fldCharType="separate"/>
            </w:r>
            <w:r>
              <w:t>20</w:t>
            </w:r>
            <w:r>
              <w:fldChar w:fldCharType="end"/>
            </w:r>
            <w:r>
              <w:rPr>
                <w:rFonts w:hint="eastAsia"/>
                <w:bCs/>
              </w:rPr>
              <w:t xml:space="preserve"> 对原有工程采取的“以新带老”措施一览表</w:t>
            </w:r>
          </w:p>
          <w:tbl>
            <w:tblPr>
              <w:tblStyle w:val="7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5"/>
              <w:gridCol w:w="1091"/>
              <w:gridCol w:w="1930"/>
              <w:gridCol w:w="1678"/>
              <w:gridCol w:w="3810"/>
            </w:tblGrid>
            <w:tr w14:paraId="0AF5F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 w:hRule="atLeast"/>
                <w:jc w:val="center"/>
              </w:trPr>
              <w:tc>
                <w:tcPr>
                  <w:tcW w:w="447" w:type="pct"/>
                  <w:tcBorders>
                    <w:top w:val="single" w:color="auto" w:sz="4" w:space="0"/>
                    <w:left w:val="single" w:color="auto" w:sz="4" w:space="0"/>
                    <w:bottom w:val="single" w:color="auto" w:sz="4" w:space="0"/>
                    <w:right w:val="single" w:color="auto" w:sz="4" w:space="0"/>
                  </w:tcBorders>
                  <w:vAlign w:val="center"/>
                </w:tcPr>
                <w:p w14:paraId="359C9CF3">
                  <w:pPr>
                    <w:pStyle w:val="94"/>
                  </w:pPr>
                  <w:r>
                    <w:rPr>
                      <w:rFonts w:hint="eastAsia"/>
                    </w:rPr>
                    <w:t>类别</w:t>
                  </w:r>
                </w:p>
              </w:tc>
              <w:tc>
                <w:tcPr>
                  <w:tcW w:w="584" w:type="pct"/>
                  <w:tcBorders>
                    <w:top w:val="single" w:color="auto" w:sz="4" w:space="0"/>
                    <w:left w:val="single" w:color="auto" w:sz="4" w:space="0"/>
                    <w:bottom w:val="single" w:color="auto" w:sz="4" w:space="0"/>
                    <w:right w:val="single" w:color="auto" w:sz="4" w:space="0"/>
                  </w:tcBorders>
                  <w:vAlign w:val="center"/>
                </w:tcPr>
                <w:p w14:paraId="543DDE5C">
                  <w:pPr>
                    <w:pStyle w:val="94"/>
                  </w:pPr>
                  <w:r>
                    <w:rPr>
                      <w:rFonts w:hint="eastAsia"/>
                    </w:rPr>
                    <w:t>污染源</w:t>
                  </w:r>
                </w:p>
              </w:tc>
              <w:tc>
                <w:tcPr>
                  <w:tcW w:w="1033" w:type="pct"/>
                  <w:tcBorders>
                    <w:top w:val="single" w:color="auto" w:sz="4" w:space="0"/>
                    <w:left w:val="single" w:color="auto" w:sz="4" w:space="0"/>
                    <w:bottom w:val="single" w:color="auto" w:sz="4" w:space="0"/>
                    <w:right w:val="single" w:color="auto" w:sz="4" w:space="0"/>
                  </w:tcBorders>
                  <w:vAlign w:val="center"/>
                </w:tcPr>
                <w:p w14:paraId="64884AAF">
                  <w:pPr>
                    <w:pStyle w:val="94"/>
                  </w:pPr>
                  <w:r>
                    <w:rPr>
                      <w:rFonts w:hint="eastAsia"/>
                    </w:rPr>
                    <w:t>现有工程存在的问题</w:t>
                  </w:r>
                </w:p>
              </w:tc>
              <w:tc>
                <w:tcPr>
                  <w:tcW w:w="898" w:type="pct"/>
                  <w:tcBorders>
                    <w:top w:val="single" w:color="auto" w:sz="4" w:space="0"/>
                    <w:left w:val="single" w:color="auto" w:sz="4" w:space="0"/>
                    <w:bottom w:val="single" w:color="auto" w:sz="4" w:space="0"/>
                    <w:right w:val="single" w:color="auto" w:sz="4" w:space="0"/>
                  </w:tcBorders>
                  <w:vAlign w:val="center"/>
                </w:tcPr>
                <w:p w14:paraId="5BA5FE8E">
                  <w:pPr>
                    <w:pStyle w:val="94"/>
                  </w:pPr>
                  <w:r>
                    <w:rPr>
                      <w:rFonts w:hint="eastAsia"/>
                    </w:rPr>
                    <w:t>环保欠账分析</w:t>
                  </w:r>
                </w:p>
              </w:tc>
              <w:tc>
                <w:tcPr>
                  <w:tcW w:w="2038" w:type="pct"/>
                  <w:tcBorders>
                    <w:top w:val="single" w:color="auto" w:sz="4" w:space="0"/>
                    <w:left w:val="single" w:color="auto" w:sz="4" w:space="0"/>
                    <w:bottom w:val="single" w:color="auto" w:sz="4" w:space="0"/>
                    <w:right w:val="single" w:color="auto" w:sz="4" w:space="0"/>
                  </w:tcBorders>
                  <w:vAlign w:val="center"/>
                </w:tcPr>
                <w:p w14:paraId="0A236568">
                  <w:pPr>
                    <w:pStyle w:val="94"/>
                  </w:pPr>
                  <w:r>
                    <w:rPr>
                      <w:rFonts w:hint="eastAsia"/>
                    </w:rPr>
                    <w:t>整改方案（以新带老方案）</w:t>
                  </w:r>
                </w:p>
              </w:tc>
            </w:tr>
            <w:tr w14:paraId="5C9B0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447" w:type="pct"/>
                  <w:tcBorders>
                    <w:top w:val="nil"/>
                    <w:left w:val="single" w:color="auto" w:sz="4" w:space="0"/>
                    <w:bottom w:val="single" w:color="auto" w:sz="4" w:space="0"/>
                    <w:right w:val="single" w:color="auto" w:sz="4" w:space="0"/>
                  </w:tcBorders>
                  <w:vAlign w:val="center"/>
                </w:tcPr>
                <w:p w14:paraId="18E20F69">
                  <w:pPr>
                    <w:pStyle w:val="94"/>
                  </w:pPr>
                  <w:r>
                    <w:rPr>
                      <w:rFonts w:hint="eastAsia"/>
                    </w:rPr>
                    <w:t>生态恢复</w:t>
                  </w:r>
                </w:p>
              </w:tc>
              <w:tc>
                <w:tcPr>
                  <w:tcW w:w="584" w:type="pct"/>
                  <w:tcBorders>
                    <w:top w:val="single" w:color="auto" w:sz="4" w:space="0"/>
                    <w:left w:val="single" w:color="auto" w:sz="4" w:space="0"/>
                    <w:bottom w:val="single" w:color="auto" w:sz="4" w:space="0"/>
                    <w:right w:val="single" w:color="auto" w:sz="4" w:space="0"/>
                  </w:tcBorders>
                  <w:vAlign w:val="center"/>
                </w:tcPr>
                <w:p w14:paraId="3375F341">
                  <w:pPr>
                    <w:pStyle w:val="94"/>
                    <w:rPr>
                      <w:spacing w:val="-1"/>
                    </w:rPr>
                  </w:pPr>
                  <w:r>
                    <w:rPr>
                      <w:rFonts w:hint="eastAsia"/>
                    </w:rPr>
                    <w:t>LXDG-14井场</w:t>
                  </w:r>
                </w:p>
              </w:tc>
              <w:tc>
                <w:tcPr>
                  <w:tcW w:w="1033" w:type="pct"/>
                  <w:tcBorders>
                    <w:top w:val="single" w:color="auto" w:sz="4" w:space="0"/>
                    <w:left w:val="single" w:color="auto" w:sz="4" w:space="0"/>
                    <w:bottom w:val="single" w:color="auto" w:sz="4" w:space="0"/>
                    <w:right w:val="single" w:color="auto" w:sz="4" w:space="0"/>
                  </w:tcBorders>
                  <w:vAlign w:val="center"/>
                </w:tcPr>
                <w:p w14:paraId="4F01E2B9">
                  <w:pPr>
                    <w:pStyle w:val="94"/>
                  </w:pPr>
                  <w:r>
                    <w:rPr>
                      <w:rFonts w:hint="eastAsia"/>
                      <w:spacing w:val="-1"/>
                    </w:rPr>
                    <w:t>自然恢复植被覆盖率低，井场返排液罐未清运</w:t>
                  </w:r>
                </w:p>
              </w:tc>
              <w:tc>
                <w:tcPr>
                  <w:tcW w:w="898" w:type="pct"/>
                  <w:tcBorders>
                    <w:top w:val="single" w:color="auto" w:sz="4" w:space="0"/>
                    <w:left w:val="single" w:color="auto" w:sz="4" w:space="0"/>
                    <w:bottom w:val="single" w:color="auto" w:sz="4" w:space="0"/>
                    <w:right w:val="single" w:color="auto" w:sz="4" w:space="0"/>
                  </w:tcBorders>
                  <w:vAlign w:val="center"/>
                </w:tcPr>
                <w:p w14:paraId="1663B272">
                  <w:pPr>
                    <w:pStyle w:val="94"/>
                  </w:pPr>
                  <w:r>
                    <w:rPr>
                      <w:rFonts w:hint="eastAsia"/>
                    </w:rPr>
                    <w:t>不符合现行环保要求</w:t>
                  </w:r>
                </w:p>
              </w:tc>
              <w:tc>
                <w:tcPr>
                  <w:tcW w:w="2038" w:type="pct"/>
                  <w:tcBorders>
                    <w:top w:val="single" w:color="auto" w:sz="4" w:space="0"/>
                    <w:left w:val="single" w:color="auto" w:sz="4" w:space="0"/>
                    <w:bottom w:val="single" w:color="auto" w:sz="4" w:space="0"/>
                    <w:right w:val="single" w:color="auto" w:sz="4" w:space="0"/>
                  </w:tcBorders>
                  <w:vAlign w:val="center"/>
                </w:tcPr>
                <w:p w14:paraId="09C16DB9">
                  <w:pPr>
                    <w:pStyle w:val="94"/>
                  </w:pPr>
                  <w:r>
                    <w:rPr>
                      <w:rFonts w:hint="eastAsia"/>
                      <w:spacing w:val="-1"/>
                    </w:rPr>
                    <w:t>及时清运施工期遗留设施，井场围栏外除预留检修通道外其余空地采取播撒草籽方式进行生态恢复，于2024年8月底完成</w:t>
                  </w:r>
                </w:p>
              </w:tc>
            </w:tr>
            <w:tr w14:paraId="6B718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 w:hRule="atLeast"/>
                <w:jc w:val="center"/>
              </w:trPr>
              <w:tc>
                <w:tcPr>
                  <w:tcW w:w="447" w:type="pct"/>
                  <w:vMerge w:val="restart"/>
                  <w:tcBorders>
                    <w:top w:val="nil"/>
                    <w:left w:val="single" w:color="auto" w:sz="4" w:space="0"/>
                    <w:bottom w:val="single" w:color="auto" w:sz="4" w:space="0"/>
                    <w:right w:val="single" w:color="auto" w:sz="4" w:space="0"/>
                  </w:tcBorders>
                  <w:vAlign w:val="center"/>
                </w:tcPr>
                <w:p w14:paraId="3C8CD46E">
                  <w:pPr>
                    <w:pStyle w:val="94"/>
                  </w:pPr>
                  <w:r>
                    <w:rPr>
                      <w:rFonts w:hint="eastAsia"/>
                    </w:rPr>
                    <w:t>其他</w:t>
                  </w:r>
                </w:p>
              </w:tc>
              <w:tc>
                <w:tcPr>
                  <w:tcW w:w="584" w:type="pct"/>
                  <w:tcBorders>
                    <w:top w:val="single" w:color="auto" w:sz="4" w:space="0"/>
                    <w:left w:val="single" w:color="auto" w:sz="4" w:space="0"/>
                    <w:bottom w:val="single" w:color="auto" w:sz="4" w:space="0"/>
                    <w:right w:val="single" w:color="auto" w:sz="4" w:space="0"/>
                  </w:tcBorders>
                  <w:vAlign w:val="center"/>
                </w:tcPr>
                <w:p w14:paraId="01BE6245">
                  <w:pPr>
                    <w:pStyle w:val="94"/>
                    <w:rPr>
                      <w:spacing w:val="-1"/>
                    </w:rPr>
                  </w:pPr>
                  <w:r>
                    <w:rPr>
                      <w:rFonts w:hint="eastAsia"/>
                    </w:rPr>
                    <w:t>LXD11-11井场</w:t>
                  </w:r>
                </w:p>
              </w:tc>
              <w:tc>
                <w:tcPr>
                  <w:tcW w:w="1033" w:type="pct"/>
                  <w:tcBorders>
                    <w:top w:val="single" w:color="auto" w:sz="4" w:space="0"/>
                    <w:left w:val="single" w:color="auto" w:sz="4" w:space="0"/>
                    <w:bottom w:val="single" w:color="auto" w:sz="4" w:space="0"/>
                    <w:right w:val="single" w:color="auto" w:sz="4" w:space="0"/>
                  </w:tcBorders>
                  <w:vAlign w:val="center"/>
                </w:tcPr>
                <w:p w14:paraId="7FCCB087">
                  <w:pPr>
                    <w:pStyle w:val="94"/>
                  </w:pPr>
                  <w:r>
                    <w:rPr>
                      <w:rFonts w:hint="eastAsia"/>
                      <w:spacing w:val="-1"/>
                    </w:rPr>
                    <w:t>现场有施工期罐体未清运</w:t>
                  </w:r>
                </w:p>
              </w:tc>
              <w:tc>
                <w:tcPr>
                  <w:tcW w:w="898" w:type="pct"/>
                  <w:tcBorders>
                    <w:top w:val="single" w:color="auto" w:sz="4" w:space="0"/>
                    <w:left w:val="single" w:color="auto" w:sz="4" w:space="0"/>
                    <w:bottom w:val="single" w:color="auto" w:sz="4" w:space="0"/>
                    <w:right w:val="single" w:color="auto" w:sz="4" w:space="0"/>
                  </w:tcBorders>
                  <w:vAlign w:val="center"/>
                </w:tcPr>
                <w:p w14:paraId="6A9D257A">
                  <w:pPr>
                    <w:pStyle w:val="94"/>
                  </w:pPr>
                  <w:r>
                    <w:rPr>
                      <w:rFonts w:hint="eastAsia"/>
                    </w:rPr>
                    <w:t>/</w:t>
                  </w:r>
                </w:p>
              </w:tc>
              <w:tc>
                <w:tcPr>
                  <w:tcW w:w="2038" w:type="pct"/>
                  <w:tcBorders>
                    <w:top w:val="single" w:color="auto" w:sz="4" w:space="0"/>
                    <w:left w:val="single" w:color="auto" w:sz="4" w:space="0"/>
                    <w:bottom w:val="single" w:color="auto" w:sz="4" w:space="0"/>
                    <w:right w:val="single" w:color="auto" w:sz="4" w:space="0"/>
                  </w:tcBorders>
                  <w:vAlign w:val="center"/>
                </w:tcPr>
                <w:p w14:paraId="29B3A299">
                  <w:pPr>
                    <w:pStyle w:val="94"/>
                  </w:pPr>
                  <w:r>
                    <w:rPr>
                      <w:rFonts w:hint="eastAsia"/>
                      <w:spacing w:val="-1"/>
                    </w:rPr>
                    <w:t>及时清运施工期罐体，于2024年8月底完成</w:t>
                  </w:r>
                </w:p>
              </w:tc>
            </w:tr>
            <w:tr w14:paraId="461F34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7CB8928A">
                  <w:pPr>
                    <w:pStyle w:val="94"/>
                    <w:rPr>
                      <w:rFonts w:cs="Arial"/>
                    </w:rPr>
                  </w:pPr>
                </w:p>
              </w:tc>
              <w:tc>
                <w:tcPr>
                  <w:tcW w:w="584" w:type="pct"/>
                  <w:tcBorders>
                    <w:top w:val="single" w:color="auto" w:sz="4" w:space="0"/>
                    <w:left w:val="single" w:color="auto" w:sz="4" w:space="0"/>
                    <w:bottom w:val="single" w:color="auto" w:sz="4" w:space="0"/>
                    <w:right w:val="single" w:color="auto" w:sz="4" w:space="0"/>
                  </w:tcBorders>
                  <w:vAlign w:val="center"/>
                </w:tcPr>
                <w:p w14:paraId="4FDAAD3F">
                  <w:pPr>
                    <w:pStyle w:val="94"/>
                    <w:rPr>
                      <w:spacing w:val="-1"/>
                    </w:rPr>
                  </w:pPr>
                  <w:r>
                    <w:rPr>
                      <w:rFonts w:hint="eastAsia"/>
                    </w:rPr>
                    <w:t>LXD11-25井场</w:t>
                  </w:r>
                </w:p>
              </w:tc>
              <w:tc>
                <w:tcPr>
                  <w:tcW w:w="1033" w:type="pct"/>
                  <w:tcBorders>
                    <w:top w:val="single" w:color="auto" w:sz="4" w:space="0"/>
                    <w:left w:val="single" w:color="auto" w:sz="4" w:space="0"/>
                    <w:bottom w:val="single" w:color="auto" w:sz="4" w:space="0"/>
                    <w:right w:val="single" w:color="auto" w:sz="4" w:space="0"/>
                  </w:tcBorders>
                  <w:vAlign w:val="center"/>
                </w:tcPr>
                <w:p w14:paraId="13352022">
                  <w:pPr>
                    <w:pStyle w:val="94"/>
                  </w:pPr>
                  <w:r>
                    <w:rPr>
                      <w:rFonts w:hint="eastAsia"/>
                      <w:spacing w:val="-1"/>
                    </w:rPr>
                    <w:t>井场施工期泥浆池尚未清理，井场有施工设备遗留</w:t>
                  </w:r>
                </w:p>
              </w:tc>
              <w:tc>
                <w:tcPr>
                  <w:tcW w:w="898" w:type="pct"/>
                  <w:tcBorders>
                    <w:top w:val="single" w:color="auto" w:sz="4" w:space="0"/>
                    <w:left w:val="single" w:color="auto" w:sz="4" w:space="0"/>
                    <w:bottom w:val="single" w:color="auto" w:sz="4" w:space="0"/>
                    <w:right w:val="single" w:color="auto" w:sz="4" w:space="0"/>
                  </w:tcBorders>
                  <w:vAlign w:val="center"/>
                </w:tcPr>
                <w:p w14:paraId="781E6E72">
                  <w:pPr>
                    <w:pStyle w:val="94"/>
                  </w:pPr>
                  <w:r>
                    <w:rPr>
                      <w:rFonts w:hint="eastAsia"/>
                    </w:rPr>
                    <w:t>不符合现行环保要求</w:t>
                  </w:r>
                </w:p>
              </w:tc>
              <w:tc>
                <w:tcPr>
                  <w:tcW w:w="2038" w:type="pct"/>
                  <w:tcBorders>
                    <w:top w:val="single" w:color="auto" w:sz="4" w:space="0"/>
                    <w:left w:val="single" w:color="auto" w:sz="4" w:space="0"/>
                    <w:bottom w:val="single" w:color="auto" w:sz="4" w:space="0"/>
                    <w:right w:val="single" w:color="auto" w:sz="4" w:space="0"/>
                  </w:tcBorders>
                  <w:vAlign w:val="center"/>
                </w:tcPr>
                <w:p w14:paraId="42801129">
                  <w:pPr>
                    <w:pStyle w:val="94"/>
                  </w:pPr>
                  <w:r>
                    <w:rPr>
                      <w:rFonts w:hint="eastAsia"/>
                      <w:spacing w:val="-1"/>
                    </w:rPr>
                    <w:t>泥浆池固化填埋，施工遗留设备及时清运，采取播撒草籽方式进行临时生态恢复，于2024年8月底完成</w:t>
                  </w:r>
                </w:p>
              </w:tc>
            </w:tr>
            <w:tr w14:paraId="1CA67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3630CDB6">
                  <w:pPr>
                    <w:pStyle w:val="94"/>
                    <w:rPr>
                      <w:rFonts w:cs="Arial"/>
                    </w:rPr>
                  </w:pPr>
                </w:p>
              </w:tc>
              <w:tc>
                <w:tcPr>
                  <w:tcW w:w="584" w:type="pct"/>
                  <w:tcBorders>
                    <w:top w:val="single" w:color="auto" w:sz="4" w:space="0"/>
                    <w:left w:val="single" w:color="auto" w:sz="4" w:space="0"/>
                    <w:bottom w:val="single" w:color="auto" w:sz="4" w:space="0"/>
                    <w:right w:val="single" w:color="auto" w:sz="4" w:space="0"/>
                  </w:tcBorders>
                  <w:vAlign w:val="center"/>
                </w:tcPr>
                <w:p w14:paraId="09507E96">
                  <w:pPr>
                    <w:pStyle w:val="94"/>
                    <w:rPr>
                      <w:spacing w:val="-1"/>
                    </w:rPr>
                  </w:pPr>
                  <w:r>
                    <w:rPr>
                      <w:rFonts w:hint="eastAsia"/>
                    </w:rPr>
                    <w:t>LXD7-20井场</w:t>
                  </w:r>
                </w:p>
              </w:tc>
              <w:tc>
                <w:tcPr>
                  <w:tcW w:w="1033" w:type="pct"/>
                  <w:tcBorders>
                    <w:top w:val="single" w:color="auto" w:sz="4" w:space="0"/>
                    <w:left w:val="single" w:color="auto" w:sz="4" w:space="0"/>
                    <w:bottom w:val="single" w:color="auto" w:sz="4" w:space="0"/>
                    <w:right w:val="single" w:color="auto" w:sz="4" w:space="0"/>
                  </w:tcBorders>
                  <w:vAlign w:val="center"/>
                </w:tcPr>
                <w:p w14:paraId="7014EE32">
                  <w:pPr>
                    <w:pStyle w:val="94"/>
                  </w:pPr>
                  <w:r>
                    <w:rPr>
                      <w:rFonts w:hint="eastAsia"/>
                      <w:spacing w:val="-1"/>
                    </w:rPr>
                    <w:t>施工设备设施未清运</w:t>
                  </w:r>
                </w:p>
              </w:tc>
              <w:tc>
                <w:tcPr>
                  <w:tcW w:w="898" w:type="pct"/>
                  <w:tcBorders>
                    <w:top w:val="single" w:color="auto" w:sz="4" w:space="0"/>
                    <w:left w:val="single" w:color="auto" w:sz="4" w:space="0"/>
                    <w:bottom w:val="single" w:color="auto" w:sz="4" w:space="0"/>
                    <w:right w:val="single" w:color="auto" w:sz="4" w:space="0"/>
                  </w:tcBorders>
                  <w:vAlign w:val="center"/>
                </w:tcPr>
                <w:p w14:paraId="6E02ECB9">
                  <w:pPr>
                    <w:pStyle w:val="94"/>
                  </w:pPr>
                  <w:r>
                    <w:rPr>
                      <w:rFonts w:hint="eastAsia"/>
                    </w:rPr>
                    <w:t>/</w:t>
                  </w:r>
                </w:p>
              </w:tc>
              <w:tc>
                <w:tcPr>
                  <w:tcW w:w="2038" w:type="pct"/>
                  <w:tcBorders>
                    <w:top w:val="single" w:color="auto" w:sz="4" w:space="0"/>
                    <w:left w:val="single" w:color="auto" w:sz="4" w:space="0"/>
                    <w:bottom w:val="single" w:color="auto" w:sz="4" w:space="0"/>
                    <w:right w:val="single" w:color="auto" w:sz="4" w:space="0"/>
                  </w:tcBorders>
                  <w:vAlign w:val="center"/>
                </w:tcPr>
                <w:p w14:paraId="01405917">
                  <w:pPr>
                    <w:pStyle w:val="94"/>
                  </w:pPr>
                  <w:r>
                    <w:rPr>
                      <w:rFonts w:hint="eastAsia"/>
                      <w:spacing w:val="-1"/>
                    </w:rPr>
                    <w:t>及时清运设施设备，泥浆池固化填埋，清水池就地填埋，井场占地范围除预留检修通道外采取播撒草籽进行生态恢复，于2024年8月底完成</w:t>
                  </w:r>
                </w:p>
              </w:tc>
            </w:tr>
            <w:tr w14:paraId="1B88C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3A80C684">
                  <w:pPr>
                    <w:pStyle w:val="94"/>
                    <w:rPr>
                      <w:rFonts w:cs="Arial"/>
                    </w:rPr>
                  </w:pPr>
                </w:p>
              </w:tc>
              <w:tc>
                <w:tcPr>
                  <w:tcW w:w="584" w:type="pct"/>
                  <w:tcBorders>
                    <w:top w:val="single" w:color="auto" w:sz="4" w:space="0"/>
                    <w:left w:val="single" w:color="auto" w:sz="4" w:space="0"/>
                    <w:bottom w:val="single" w:color="auto" w:sz="4" w:space="0"/>
                    <w:right w:val="single" w:color="auto" w:sz="4" w:space="0"/>
                  </w:tcBorders>
                  <w:vAlign w:val="center"/>
                </w:tcPr>
                <w:p w14:paraId="794C9765">
                  <w:pPr>
                    <w:pStyle w:val="94"/>
                    <w:rPr>
                      <w:spacing w:val="-1"/>
                    </w:rPr>
                  </w:pPr>
                  <w:r>
                    <w:rPr>
                      <w:rFonts w:hint="eastAsia"/>
                    </w:rPr>
                    <w:t>LXD7-24井场</w:t>
                  </w:r>
                </w:p>
              </w:tc>
              <w:tc>
                <w:tcPr>
                  <w:tcW w:w="1033" w:type="pct"/>
                  <w:tcBorders>
                    <w:top w:val="single" w:color="auto" w:sz="4" w:space="0"/>
                    <w:left w:val="single" w:color="auto" w:sz="4" w:space="0"/>
                    <w:bottom w:val="single" w:color="auto" w:sz="4" w:space="0"/>
                    <w:right w:val="single" w:color="auto" w:sz="4" w:space="0"/>
                  </w:tcBorders>
                  <w:vAlign w:val="center"/>
                </w:tcPr>
                <w:p w14:paraId="0A58F355">
                  <w:pPr>
                    <w:pStyle w:val="94"/>
                  </w:pPr>
                  <w:r>
                    <w:rPr>
                      <w:rFonts w:hint="eastAsia"/>
                      <w:spacing w:val="-1"/>
                    </w:rPr>
                    <w:t>施工设备设施未清运</w:t>
                  </w:r>
                </w:p>
              </w:tc>
              <w:tc>
                <w:tcPr>
                  <w:tcW w:w="898" w:type="pct"/>
                  <w:tcBorders>
                    <w:top w:val="single" w:color="auto" w:sz="4" w:space="0"/>
                    <w:left w:val="single" w:color="auto" w:sz="4" w:space="0"/>
                    <w:bottom w:val="single" w:color="auto" w:sz="4" w:space="0"/>
                    <w:right w:val="single" w:color="auto" w:sz="4" w:space="0"/>
                  </w:tcBorders>
                  <w:vAlign w:val="center"/>
                </w:tcPr>
                <w:p w14:paraId="117BBE40">
                  <w:pPr>
                    <w:pStyle w:val="94"/>
                  </w:pPr>
                  <w:r>
                    <w:rPr>
                      <w:rFonts w:hint="eastAsia"/>
                    </w:rPr>
                    <w:t>/</w:t>
                  </w:r>
                </w:p>
              </w:tc>
              <w:tc>
                <w:tcPr>
                  <w:tcW w:w="2038" w:type="pct"/>
                  <w:tcBorders>
                    <w:top w:val="single" w:color="auto" w:sz="4" w:space="0"/>
                    <w:left w:val="single" w:color="auto" w:sz="4" w:space="0"/>
                    <w:bottom w:val="single" w:color="auto" w:sz="4" w:space="0"/>
                    <w:right w:val="single" w:color="auto" w:sz="4" w:space="0"/>
                  </w:tcBorders>
                  <w:vAlign w:val="center"/>
                </w:tcPr>
                <w:p w14:paraId="533E63D5">
                  <w:pPr>
                    <w:pStyle w:val="94"/>
                  </w:pPr>
                  <w:r>
                    <w:rPr>
                      <w:rFonts w:hint="eastAsia"/>
                      <w:spacing w:val="-1"/>
                    </w:rPr>
                    <w:t>及时清运设施设备，泥浆池固化填埋，清水池就地填埋，井场占地范围除预留检修通道外采取播撒草籽进行生态恢复，于2024年8月底完成</w:t>
                  </w:r>
                </w:p>
              </w:tc>
            </w:tr>
          </w:tbl>
          <w:p w14:paraId="167A6C27">
            <w:pPr>
              <w:adjustRightInd w:val="0"/>
              <w:snapToGrid w:val="0"/>
              <w:spacing w:line="360" w:lineRule="auto"/>
              <w:ind w:firstLine="480" w:firstLineChars="200"/>
              <w:rPr>
                <w:kern w:val="0"/>
                <w:sz w:val="24"/>
              </w:rPr>
            </w:pPr>
          </w:p>
        </w:tc>
      </w:tr>
      <w:tr w14:paraId="1A787B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2435" w:hRule="atLeast"/>
          <w:jc w:val="center"/>
        </w:trPr>
        <w:tc>
          <w:tcPr>
            <w:tcW w:w="710" w:type="dxa"/>
            <w:vAlign w:val="center"/>
          </w:tcPr>
          <w:p w14:paraId="505E5415">
            <w:pPr>
              <w:adjustRightInd w:val="0"/>
              <w:snapToGrid w:val="0"/>
              <w:jc w:val="center"/>
              <w:rPr>
                <w:kern w:val="0"/>
                <w:sz w:val="24"/>
              </w:rPr>
            </w:pPr>
            <w:r>
              <w:rPr>
                <w:kern w:val="0"/>
                <w:sz w:val="24"/>
              </w:rPr>
              <w:t>生态环境保护目标</w:t>
            </w:r>
          </w:p>
        </w:tc>
        <w:tc>
          <w:tcPr>
            <w:tcW w:w="8447" w:type="dxa"/>
            <w:vAlign w:val="center"/>
          </w:tcPr>
          <w:p w14:paraId="4DCC8F4E">
            <w:pPr>
              <w:pStyle w:val="96"/>
              <w:ind w:firstLine="480"/>
            </w:pPr>
            <w:r>
              <w:rPr>
                <w:rFonts w:hint="eastAsia"/>
              </w:rPr>
              <w:t>根据</w:t>
            </w:r>
            <w:r>
              <w:t>现场调查，</w:t>
            </w:r>
            <w:r>
              <w:rPr>
                <w:rFonts w:hint="eastAsia"/>
              </w:rPr>
              <w:t>本项目环境空气保护目标见下表。</w:t>
            </w:r>
          </w:p>
          <w:p w14:paraId="3BA28FD5">
            <w:pPr>
              <w:pStyle w:val="19"/>
              <w:keepNext/>
            </w:pPr>
            <w:r>
              <w:t xml:space="preserve">表 </w:t>
            </w:r>
            <w:r>
              <w:fldChar w:fldCharType="begin"/>
            </w:r>
            <w:r>
              <w:instrText xml:space="preserve"> SEQ 表 \* ARABIC </w:instrText>
            </w:r>
            <w:r>
              <w:fldChar w:fldCharType="separate"/>
            </w:r>
            <w:r>
              <w:t>21</w:t>
            </w:r>
            <w:r>
              <w:fldChar w:fldCharType="end"/>
            </w:r>
            <w:r>
              <w:rPr>
                <w:rFonts w:hint="eastAsia"/>
              </w:rPr>
              <w:t>环境空气保护目标一览表</w:t>
            </w:r>
          </w:p>
          <w:tbl>
            <w:tblPr>
              <w:tblStyle w:val="73"/>
              <w:tblW w:w="487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09"/>
              <w:gridCol w:w="1515"/>
              <w:gridCol w:w="1515"/>
              <w:gridCol w:w="596"/>
              <w:gridCol w:w="868"/>
              <w:gridCol w:w="638"/>
              <w:gridCol w:w="2189"/>
              <w:gridCol w:w="652"/>
            </w:tblGrid>
            <w:tr w14:paraId="32D9F9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85" w:hRule="atLeast"/>
              </w:trPr>
              <w:tc>
                <w:tcPr>
                  <w:tcW w:w="611" w:type="pct"/>
                  <w:vMerge w:val="restart"/>
                  <w:vAlign w:val="center"/>
                </w:tcPr>
                <w:p w14:paraId="6674B8D1">
                  <w:pPr>
                    <w:pStyle w:val="94"/>
                    <w:rPr>
                      <w:color w:val="auto"/>
                    </w:rPr>
                  </w:pPr>
                  <w:r>
                    <w:rPr>
                      <w:color w:val="auto"/>
                    </w:rPr>
                    <w:t>保护目标名称</w:t>
                  </w:r>
                </w:p>
              </w:tc>
              <w:tc>
                <w:tcPr>
                  <w:tcW w:w="1668" w:type="pct"/>
                  <w:gridSpan w:val="2"/>
                  <w:vMerge w:val="restart"/>
                  <w:vAlign w:val="center"/>
                </w:tcPr>
                <w:p w14:paraId="26E30CFC">
                  <w:pPr>
                    <w:pStyle w:val="94"/>
                    <w:rPr>
                      <w:color w:val="auto"/>
                    </w:rPr>
                  </w:pPr>
                  <w:r>
                    <w:rPr>
                      <w:color w:val="auto"/>
                    </w:rPr>
                    <w:t>坐标/m</w:t>
                  </w:r>
                </w:p>
              </w:tc>
              <w:tc>
                <w:tcPr>
                  <w:tcW w:w="328" w:type="pct"/>
                  <w:vMerge w:val="restart"/>
                  <w:vAlign w:val="center"/>
                </w:tcPr>
                <w:p w14:paraId="6F75D7F7">
                  <w:pPr>
                    <w:pStyle w:val="94"/>
                    <w:rPr>
                      <w:color w:val="auto"/>
                    </w:rPr>
                  </w:pPr>
                  <w:r>
                    <w:rPr>
                      <w:color w:val="auto"/>
                    </w:rPr>
                    <w:t>保护对象</w:t>
                  </w:r>
                </w:p>
              </w:tc>
              <w:tc>
                <w:tcPr>
                  <w:tcW w:w="478" w:type="pct"/>
                  <w:vMerge w:val="restart"/>
                  <w:vAlign w:val="center"/>
                </w:tcPr>
                <w:p w14:paraId="16EB1652">
                  <w:pPr>
                    <w:pStyle w:val="94"/>
                    <w:rPr>
                      <w:color w:val="auto"/>
                    </w:rPr>
                  </w:pPr>
                  <w:r>
                    <w:rPr>
                      <w:color w:val="auto"/>
                    </w:rPr>
                    <w:t>保护内容</w:t>
                  </w:r>
                </w:p>
              </w:tc>
              <w:tc>
                <w:tcPr>
                  <w:tcW w:w="351" w:type="pct"/>
                  <w:vMerge w:val="restart"/>
                  <w:vAlign w:val="center"/>
                </w:tcPr>
                <w:p w14:paraId="53C3F75E">
                  <w:pPr>
                    <w:pStyle w:val="94"/>
                    <w:rPr>
                      <w:color w:val="auto"/>
                    </w:rPr>
                  </w:pPr>
                  <w:r>
                    <w:rPr>
                      <w:color w:val="auto"/>
                    </w:rPr>
                    <w:t>环境功能区</w:t>
                  </w:r>
                </w:p>
              </w:tc>
              <w:tc>
                <w:tcPr>
                  <w:tcW w:w="1205" w:type="pct"/>
                  <w:vMerge w:val="restart"/>
                  <w:vAlign w:val="center"/>
                </w:tcPr>
                <w:p w14:paraId="1FF5B81A">
                  <w:pPr>
                    <w:pStyle w:val="94"/>
                    <w:rPr>
                      <w:color w:val="auto"/>
                    </w:rPr>
                  </w:pPr>
                  <w:r>
                    <w:rPr>
                      <w:color w:val="auto"/>
                    </w:rPr>
                    <w:t>相对方位</w:t>
                  </w:r>
                </w:p>
              </w:tc>
              <w:tc>
                <w:tcPr>
                  <w:tcW w:w="359" w:type="pct"/>
                  <w:vMerge w:val="restart"/>
                  <w:vAlign w:val="center"/>
                </w:tcPr>
                <w:p w14:paraId="30A486F4">
                  <w:pPr>
                    <w:pStyle w:val="94"/>
                    <w:rPr>
                      <w:color w:val="auto"/>
                    </w:rPr>
                  </w:pPr>
                  <w:r>
                    <w:rPr>
                      <w:color w:val="auto"/>
                    </w:rPr>
                    <w:t>相对井场距离/m</w:t>
                  </w:r>
                </w:p>
              </w:tc>
            </w:tr>
            <w:tr w14:paraId="561C3B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611" w:type="pct"/>
                  <w:vMerge w:val="continue"/>
                  <w:vAlign w:val="center"/>
                </w:tcPr>
                <w:p w14:paraId="6F410E06">
                  <w:pPr>
                    <w:pStyle w:val="94"/>
                    <w:rPr>
                      <w:color w:val="auto"/>
                    </w:rPr>
                  </w:pPr>
                </w:p>
              </w:tc>
              <w:tc>
                <w:tcPr>
                  <w:tcW w:w="1668" w:type="pct"/>
                  <w:gridSpan w:val="2"/>
                  <w:vMerge w:val="continue"/>
                  <w:vAlign w:val="center"/>
                </w:tcPr>
                <w:p w14:paraId="2DC3EBD3">
                  <w:pPr>
                    <w:pStyle w:val="94"/>
                    <w:rPr>
                      <w:color w:val="auto"/>
                    </w:rPr>
                  </w:pPr>
                </w:p>
              </w:tc>
              <w:tc>
                <w:tcPr>
                  <w:tcW w:w="328" w:type="pct"/>
                  <w:vMerge w:val="continue"/>
                  <w:vAlign w:val="center"/>
                </w:tcPr>
                <w:p w14:paraId="503ACA01">
                  <w:pPr>
                    <w:pStyle w:val="94"/>
                    <w:rPr>
                      <w:color w:val="auto"/>
                    </w:rPr>
                  </w:pPr>
                </w:p>
              </w:tc>
              <w:tc>
                <w:tcPr>
                  <w:tcW w:w="478" w:type="pct"/>
                  <w:vMerge w:val="continue"/>
                  <w:vAlign w:val="center"/>
                </w:tcPr>
                <w:p w14:paraId="7A6465B8">
                  <w:pPr>
                    <w:pStyle w:val="94"/>
                    <w:rPr>
                      <w:color w:val="auto"/>
                    </w:rPr>
                  </w:pPr>
                </w:p>
              </w:tc>
              <w:tc>
                <w:tcPr>
                  <w:tcW w:w="351" w:type="pct"/>
                  <w:vMerge w:val="continue"/>
                  <w:vAlign w:val="center"/>
                </w:tcPr>
                <w:p w14:paraId="789F507B">
                  <w:pPr>
                    <w:pStyle w:val="94"/>
                    <w:rPr>
                      <w:color w:val="auto"/>
                    </w:rPr>
                  </w:pPr>
                </w:p>
              </w:tc>
              <w:tc>
                <w:tcPr>
                  <w:tcW w:w="1205" w:type="pct"/>
                  <w:vMerge w:val="continue"/>
                  <w:vAlign w:val="center"/>
                </w:tcPr>
                <w:p w14:paraId="12DF7CA4">
                  <w:pPr>
                    <w:pStyle w:val="94"/>
                    <w:rPr>
                      <w:color w:val="auto"/>
                    </w:rPr>
                  </w:pPr>
                </w:p>
              </w:tc>
              <w:tc>
                <w:tcPr>
                  <w:tcW w:w="359" w:type="pct"/>
                  <w:vMerge w:val="continue"/>
                  <w:vAlign w:val="center"/>
                </w:tcPr>
                <w:p w14:paraId="22BD6018">
                  <w:pPr>
                    <w:pStyle w:val="94"/>
                    <w:rPr>
                      <w:color w:val="auto"/>
                    </w:rPr>
                  </w:pPr>
                </w:p>
              </w:tc>
            </w:tr>
            <w:tr w14:paraId="495724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85" w:hRule="atLeast"/>
              </w:trPr>
              <w:tc>
                <w:tcPr>
                  <w:tcW w:w="611" w:type="pct"/>
                  <w:vMerge w:val="continue"/>
                  <w:vAlign w:val="center"/>
                </w:tcPr>
                <w:p w14:paraId="141A11D8">
                  <w:pPr>
                    <w:pStyle w:val="94"/>
                    <w:rPr>
                      <w:color w:val="auto"/>
                    </w:rPr>
                  </w:pPr>
                </w:p>
              </w:tc>
              <w:tc>
                <w:tcPr>
                  <w:tcW w:w="834" w:type="pct"/>
                  <w:vAlign w:val="center"/>
                </w:tcPr>
                <w:p w14:paraId="472B4E28">
                  <w:pPr>
                    <w:pStyle w:val="94"/>
                    <w:rPr>
                      <w:color w:val="auto"/>
                    </w:rPr>
                  </w:pPr>
                  <w:r>
                    <w:rPr>
                      <w:color w:val="auto"/>
                    </w:rPr>
                    <w:t>X</w:t>
                  </w:r>
                </w:p>
              </w:tc>
              <w:tc>
                <w:tcPr>
                  <w:tcW w:w="834" w:type="pct"/>
                  <w:vAlign w:val="center"/>
                </w:tcPr>
                <w:p w14:paraId="63622155">
                  <w:pPr>
                    <w:pStyle w:val="94"/>
                    <w:rPr>
                      <w:color w:val="auto"/>
                    </w:rPr>
                  </w:pPr>
                  <w:r>
                    <w:rPr>
                      <w:color w:val="auto"/>
                    </w:rPr>
                    <w:t>Y</w:t>
                  </w:r>
                </w:p>
              </w:tc>
              <w:tc>
                <w:tcPr>
                  <w:tcW w:w="328" w:type="pct"/>
                  <w:vMerge w:val="continue"/>
                  <w:vAlign w:val="center"/>
                </w:tcPr>
                <w:p w14:paraId="46A59AB0">
                  <w:pPr>
                    <w:pStyle w:val="94"/>
                    <w:rPr>
                      <w:color w:val="auto"/>
                    </w:rPr>
                  </w:pPr>
                </w:p>
              </w:tc>
              <w:tc>
                <w:tcPr>
                  <w:tcW w:w="478" w:type="pct"/>
                  <w:vMerge w:val="continue"/>
                  <w:vAlign w:val="center"/>
                </w:tcPr>
                <w:p w14:paraId="5A2C1F7D">
                  <w:pPr>
                    <w:pStyle w:val="94"/>
                    <w:rPr>
                      <w:color w:val="auto"/>
                    </w:rPr>
                  </w:pPr>
                </w:p>
              </w:tc>
              <w:tc>
                <w:tcPr>
                  <w:tcW w:w="351" w:type="pct"/>
                  <w:vMerge w:val="continue"/>
                  <w:vAlign w:val="center"/>
                </w:tcPr>
                <w:p w14:paraId="69C0D82C">
                  <w:pPr>
                    <w:pStyle w:val="94"/>
                    <w:rPr>
                      <w:color w:val="auto"/>
                    </w:rPr>
                  </w:pPr>
                </w:p>
              </w:tc>
              <w:tc>
                <w:tcPr>
                  <w:tcW w:w="1205" w:type="pct"/>
                  <w:vMerge w:val="continue"/>
                  <w:vAlign w:val="center"/>
                </w:tcPr>
                <w:p w14:paraId="2632010E">
                  <w:pPr>
                    <w:pStyle w:val="94"/>
                    <w:rPr>
                      <w:color w:val="auto"/>
                    </w:rPr>
                  </w:pPr>
                </w:p>
              </w:tc>
              <w:tc>
                <w:tcPr>
                  <w:tcW w:w="359" w:type="pct"/>
                  <w:vMerge w:val="continue"/>
                  <w:vAlign w:val="center"/>
                </w:tcPr>
                <w:p w14:paraId="675F2D3B">
                  <w:pPr>
                    <w:pStyle w:val="94"/>
                    <w:rPr>
                      <w:color w:val="auto"/>
                    </w:rPr>
                  </w:pPr>
                </w:p>
              </w:tc>
            </w:tr>
            <w:tr w14:paraId="23B97A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611" w:type="pct"/>
                  <w:vAlign w:val="center"/>
                </w:tcPr>
                <w:p w14:paraId="2F25C395">
                  <w:pPr>
                    <w:pStyle w:val="94"/>
                    <w:rPr>
                      <w:color w:val="auto"/>
                    </w:rPr>
                  </w:pPr>
                  <w:r>
                    <w:rPr>
                      <w:rFonts w:hint="eastAsia"/>
                      <w:color w:val="auto"/>
                    </w:rPr>
                    <w:t>白家洼</w:t>
                  </w:r>
                </w:p>
              </w:tc>
              <w:tc>
                <w:tcPr>
                  <w:tcW w:w="834" w:type="pct"/>
                  <w:vAlign w:val="center"/>
                </w:tcPr>
                <w:p w14:paraId="56CCE559">
                  <w:pPr>
                    <w:pStyle w:val="94"/>
                    <w:rPr>
                      <w:color w:val="auto"/>
                    </w:rPr>
                  </w:pPr>
                  <w:r>
                    <w:rPr>
                      <w:rFonts w:hint="eastAsia"/>
                      <w:color w:val="auto"/>
                    </w:rPr>
                    <w:t>37492455.3</w:t>
                  </w:r>
                </w:p>
              </w:tc>
              <w:tc>
                <w:tcPr>
                  <w:tcW w:w="834" w:type="pct"/>
                  <w:vAlign w:val="center"/>
                </w:tcPr>
                <w:p w14:paraId="0D876658">
                  <w:pPr>
                    <w:pStyle w:val="94"/>
                    <w:rPr>
                      <w:color w:val="auto"/>
                    </w:rPr>
                  </w:pPr>
                  <w:r>
                    <w:rPr>
                      <w:rFonts w:hint="eastAsia"/>
                      <w:color w:val="auto"/>
                    </w:rPr>
                    <w:t>4258603.318</w:t>
                  </w:r>
                </w:p>
              </w:tc>
              <w:tc>
                <w:tcPr>
                  <w:tcW w:w="328" w:type="pct"/>
                  <w:vAlign w:val="center"/>
                </w:tcPr>
                <w:p w14:paraId="1E6DFDBC">
                  <w:pPr>
                    <w:pStyle w:val="94"/>
                    <w:rPr>
                      <w:color w:val="auto"/>
                    </w:rPr>
                  </w:pPr>
                  <w:r>
                    <w:rPr>
                      <w:rFonts w:hint="eastAsia"/>
                      <w:color w:val="auto"/>
                    </w:rPr>
                    <w:t>居民</w:t>
                  </w:r>
                </w:p>
              </w:tc>
              <w:tc>
                <w:tcPr>
                  <w:tcW w:w="478" w:type="pct"/>
                  <w:vAlign w:val="center"/>
                </w:tcPr>
                <w:p w14:paraId="7CABDEE0">
                  <w:pPr>
                    <w:pStyle w:val="94"/>
                    <w:rPr>
                      <w:color w:val="auto"/>
                    </w:rPr>
                  </w:pPr>
                  <w:r>
                    <w:rPr>
                      <w:rFonts w:hint="eastAsia"/>
                      <w:color w:val="auto"/>
                    </w:rPr>
                    <w:t>90人</w:t>
                  </w:r>
                </w:p>
              </w:tc>
              <w:tc>
                <w:tcPr>
                  <w:tcW w:w="351" w:type="pct"/>
                  <w:vAlign w:val="center"/>
                </w:tcPr>
                <w:p w14:paraId="68921F73">
                  <w:pPr>
                    <w:pStyle w:val="94"/>
                    <w:rPr>
                      <w:color w:val="auto"/>
                    </w:rPr>
                  </w:pPr>
                  <w:r>
                    <w:rPr>
                      <w:rFonts w:hint="eastAsia"/>
                      <w:color w:val="auto"/>
                    </w:rPr>
                    <w:t>二类区</w:t>
                  </w:r>
                </w:p>
              </w:tc>
              <w:tc>
                <w:tcPr>
                  <w:tcW w:w="1205" w:type="pct"/>
                  <w:vAlign w:val="center"/>
                </w:tcPr>
                <w:p w14:paraId="48CD6428">
                  <w:pPr>
                    <w:pStyle w:val="94"/>
                    <w:rPr>
                      <w:color w:val="auto"/>
                    </w:rPr>
                  </w:pPr>
                  <w:r>
                    <w:rPr>
                      <w:rFonts w:hint="eastAsia"/>
                      <w:color w:val="auto"/>
                    </w:rPr>
                    <w:t>LXDG-13井场SE</w:t>
                  </w:r>
                </w:p>
              </w:tc>
              <w:tc>
                <w:tcPr>
                  <w:tcW w:w="359" w:type="pct"/>
                  <w:vAlign w:val="center"/>
                </w:tcPr>
                <w:p w14:paraId="0A882328">
                  <w:pPr>
                    <w:pStyle w:val="94"/>
                    <w:rPr>
                      <w:color w:val="auto"/>
                    </w:rPr>
                  </w:pPr>
                  <w:r>
                    <w:rPr>
                      <w:rFonts w:hint="eastAsia"/>
                      <w:color w:val="auto"/>
                    </w:rPr>
                    <w:t xml:space="preserve">352 </w:t>
                  </w:r>
                </w:p>
              </w:tc>
            </w:tr>
            <w:tr w14:paraId="3F8592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611" w:type="pct"/>
                  <w:vAlign w:val="center"/>
                </w:tcPr>
                <w:p w14:paraId="1D8DA5EA">
                  <w:pPr>
                    <w:pStyle w:val="94"/>
                    <w:rPr>
                      <w:color w:val="auto"/>
                    </w:rPr>
                  </w:pPr>
                  <w:r>
                    <w:rPr>
                      <w:rFonts w:hint="eastAsia"/>
                      <w:color w:val="auto"/>
                    </w:rPr>
                    <w:t>石家吉村</w:t>
                  </w:r>
                </w:p>
              </w:tc>
              <w:tc>
                <w:tcPr>
                  <w:tcW w:w="834" w:type="pct"/>
                  <w:vAlign w:val="center"/>
                </w:tcPr>
                <w:p w14:paraId="5E22C884">
                  <w:pPr>
                    <w:pStyle w:val="94"/>
                    <w:rPr>
                      <w:color w:val="auto"/>
                    </w:rPr>
                  </w:pPr>
                  <w:r>
                    <w:rPr>
                      <w:rFonts w:hint="eastAsia"/>
                      <w:color w:val="auto"/>
                    </w:rPr>
                    <w:t>37492970.04</w:t>
                  </w:r>
                </w:p>
              </w:tc>
              <w:tc>
                <w:tcPr>
                  <w:tcW w:w="834" w:type="pct"/>
                  <w:vAlign w:val="center"/>
                </w:tcPr>
                <w:p w14:paraId="777346DE">
                  <w:pPr>
                    <w:pStyle w:val="94"/>
                    <w:rPr>
                      <w:color w:val="auto"/>
                    </w:rPr>
                  </w:pPr>
                  <w:r>
                    <w:rPr>
                      <w:rFonts w:hint="eastAsia"/>
                      <w:color w:val="auto"/>
                    </w:rPr>
                    <w:t>4256519.999</w:t>
                  </w:r>
                </w:p>
              </w:tc>
              <w:tc>
                <w:tcPr>
                  <w:tcW w:w="328" w:type="pct"/>
                  <w:vAlign w:val="center"/>
                </w:tcPr>
                <w:p w14:paraId="1C72A777">
                  <w:pPr>
                    <w:pStyle w:val="94"/>
                    <w:rPr>
                      <w:color w:val="auto"/>
                    </w:rPr>
                  </w:pPr>
                  <w:r>
                    <w:rPr>
                      <w:rFonts w:hint="eastAsia"/>
                      <w:color w:val="auto"/>
                    </w:rPr>
                    <w:t>居民</w:t>
                  </w:r>
                </w:p>
              </w:tc>
              <w:tc>
                <w:tcPr>
                  <w:tcW w:w="478" w:type="pct"/>
                  <w:vAlign w:val="center"/>
                </w:tcPr>
                <w:p w14:paraId="758F3A99">
                  <w:pPr>
                    <w:pStyle w:val="94"/>
                    <w:rPr>
                      <w:color w:val="auto"/>
                    </w:rPr>
                  </w:pPr>
                  <w:r>
                    <w:rPr>
                      <w:rFonts w:hint="eastAsia"/>
                      <w:color w:val="auto"/>
                    </w:rPr>
                    <w:t>165人</w:t>
                  </w:r>
                </w:p>
              </w:tc>
              <w:tc>
                <w:tcPr>
                  <w:tcW w:w="351" w:type="pct"/>
                  <w:vAlign w:val="center"/>
                </w:tcPr>
                <w:p w14:paraId="12C7EC88">
                  <w:pPr>
                    <w:pStyle w:val="94"/>
                    <w:rPr>
                      <w:color w:val="auto"/>
                    </w:rPr>
                  </w:pPr>
                  <w:r>
                    <w:rPr>
                      <w:rFonts w:hint="eastAsia"/>
                      <w:color w:val="auto"/>
                    </w:rPr>
                    <w:t>二类区</w:t>
                  </w:r>
                </w:p>
              </w:tc>
              <w:tc>
                <w:tcPr>
                  <w:tcW w:w="1205" w:type="pct"/>
                  <w:vAlign w:val="center"/>
                </w:tcPr>
                <w:p w14:paraId="1AC9D515">
                  <w:pPr>
                    <w:pStyle w:val="94"/>
                    <w:rPr>
                      <w:color w:val="auto"/>
                    </w:rPr>
                  </w:pPr>
                  <w:r>
                    <w:rPr>
                      <w:rFonts w:hint="eastAsia"/>
                      <w:color w:val="auto"/>
                    </w:rPr>
                    <w:t>LXD12-26井场W</w:t>
                  </w:r>
                </w:p>
              </w:tc>
              <w:tc>
                <w:tcPr>
                  <w:tcW w:w="359" w:type="pct"/>
                  <w:vAlign w:val="center"/>
                </w:tcPr>
                <w:p w14:paraId="4C003888">
                  <w:pPr>
                    <w:pStyle w:val="94"/>
                    <w:rPr>
                      <w:color w:val="auto"/>
                    </w:rPr>
                  </w:pPr>
                  <w:r>
                    <w:rPr>
                      <w:color w:val="auto"/>
                    </w:rPr>
                    <w:t>1</w:t>
                  </w:r>
                  <w:r>
                    <w:rPr>
                      <w:rFonts w:hint="eastAsia"/>
                      <w:color w:val="auto"/>
                    </w:rPr>
                    <w:t xml:space="preserve">94 </w:t>
                  </w:r>
                </w:p>
              </w:tc>
            </w:tr>
            <w:tr w14:paraId="2856B0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85" w:hRule="atLeast"/>
              </w:trPr>
              <w:tc>
                <w:tcPr>
                  <w:tcW w:w="611" w:type="pct"/>
                  <w:noWrap/>
                  <w:vAlign w:val="center"/>
                </w:tcPr>
                <w:p w14:paraId="02466B60">
                  <w:pPr>
                    <w:pStyle w:val="94"/>
                    <w:rPr>
                      <w:color w:val="auto"/>
                    </w:rPr>
                  </w:pPr>
                  <w:r>
                    <w:rPr>
                      <w:color w:val="auto"/>
                    </w:rPr>
                    <w:t>毛儿沟村</w:t>
                  </w:r>
                </w:p>
              </w:tc>
              <w:tc>
                <w:tcPr>
                  <w:tcW w:w="834" w:type="pct"/>
                  <w:noWrap/>
                  <w:vAlign w:val="center"/>
                </w:tcPr>
                <w:p w14:paraId="6291E1DE">
                  <w:pPr>
                    <w:pStyle w:val="94"/>
                    <w:rPr>
                      <w:color w:val="auto"/>
                    </w:rPr>
                  </w:pPr>
                  <w:r>
                    <w:rPr>
                      <w:color w:val="auto"/>
                    </w:rPr>
                    <w:t>37490325.9</w:t>
                  </w:r>
                </w:p>
              </w:tc>
              <w:tc>
                <w:tcPr>
                  <w:tcW w:w="834" w:type="pct"/>
                  <w:noWrap/>
                  <w:vAlign w:val="center"/>
                </w:tcPr>
                <w:p w14:paraId="1192F0FF">
                  <w:pPr>
                    <w:pStyle w:val="94"/>
                    <w:rPr>
                      <w:color w:val="auto"/>
                    </w:rPr>
                  </w:pPr>
                  <w:r>
                    <w:rPr>
                      <w:color w:val="auto"/>
                    </w:rPr>
                    <w:t>4252889.753</w:t>
                  </w:r>
                </w:p>
              </w:tc>
              <w:tc>
                <w:tcPr>
                  <w:tcW w:w="328" w:type="pct"/>
                  <w:vAlign w:val="center"/>
                </w:tcPr>
                <w:p w14:paraId="4D342DF8">
                  <w:pPr>
                    <w:pStyle w:val="94"/>
                    <w:rPr>
                      <w:color w:val="auto"/>
                    </w:rPr>
                  </w:pPr>
                  <w:r>
                    <w:rPr>
                      <w:rFonts w:hint="eastAsia"/>
                      <w:color w:val="auto"/>
                    </w:rPr>
                    <w:t>居民</w:t>
                  </w:r>
                </w:p>
              </w:tc>
              <w:tc>
                <w:tcPr>
                  <w:tcW w:w="478" w:type="pct"/>
                  <w:noWrap/>
                  <w:vAlign w:val="center"/>
                </w:tcPr>
                <w:p w14:paraId="65D459EF">
                  <w:pPr>
                    <w:pStyle w:val="94"/>
                    <w:rPr>
                      <w:color w:val="auto"/>
                    </w:rPr>
                  </w:pPr>
                  <w:r>
                    <w:rPr>
                      <w:color w:val="auto"/>
                    </w:rPr>
                    <w:t>28人</w:t>
                  </w:r>
                </w:p>
              </w:tc>
              <w:tc>
                <w:tcPr>
                  <w:tcW w:w="351" w:type="pct"/>
                  <w:vAlign w:val="center"/>
                </w:tcPr>
                <w:p w14:paraId="1E8B13AC">
                  <w:pPr>
                    <w:pStyle w:val="94"/>
                    <w:rPr>
                      <w:color w:val="auto"/>
                    </w:rPr>
                  </w:pPr>
                  <w:r>
                    <w:rPr>
                      <w:rFonts w:hint="eastAsia"/>
                      <w:color w:val="auto"/>
                    </w:rPr>
                    <w:t>二类区</w:t>
                  </w:r>
                </w:p>
              </w:tc>
              <w:tc>
                <w:tcPr>
                  <w:tcW w:w="1205" w:type="pct"/>
                  <w:noWrap/>
                  <w:vAlign w:val="center"/>
                </w:tcPr>
                <w:p w14:paraId="587E6BE6">
                  <w:pPr>
                    <w:pStyle w:val="94"/>
                    <w:rPr>
                      <w:color w:val="auto"/>
                    </w:rPr>
                  </w:pPr>
                  <w:r>
                    <w:rPr>
                      <w:color w:val="auto"/>
                    </w:rPr>
                    <w:t>LXD7-20井场N</w:t>
                  </w:r>
                </w:p>
              </w:tc>
              <w:tc>
                <w:tcPr>
                  <w:tcW w:w="359" w:type="pct"/>
                  <w:noWrap/>
                  <w:vAlign w:val="center"/>
                </w:tcPr>
                <w:p w14:paraId="04FE3C29">
                  <w:pPr>
                    <w:pStyle w:val="94"/>
                    <w:rPr>
                      <w:color w:val="auto"/>
                    </w:rPr>
                  </w:pPr>
                  <w:r>
                    <w:rPr>
                      <w:color w:val="auto"/>
                    </w:rPr>
                    <w:t xml:space="preserve">375 </w:t>
                  </w:r>
                </w:p>
              </w:tc>
            </w:tr>
            <w:tr w14:paraId="2A4A99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70" w:hRule="atLeast"/>
              </w:trPr>
              <w:tc>
                <w:tcPr>
                  <w:tcW w:w="611" w:type="pct"/>
                  <w:noWrap/>
                  <w:vAlign w:val="center"/>
                </w:tcPr>
                <w:p w14:paraId="20AD0E03">
                  <w:pPr>
                    <w:pStyle w:val="94"/>
                    <w:rPr>
                      <w:color w:val="auto"/>
                    </w:rPr>
                  </w:pPr>
                  <w:r>
                    <w:rPr>
                      <w:color w:val="auto"/>
                    </w:rPr>
                    <w:t>朱家吉</w:t>
                  </w:r>
                </w:p>
              </w:tc>
              <w:tc>
                <w:tcPr>
                  <w:tcW w:w="834" w:type="pct"/>
                  <w:noWrap/>
                  <w:vAlign w:val="center"/>
                </w:tcPr>
                <w:p w14:paraId="29FF4569">
                  <w:pPr>
                    <w:pStyle w:val="94"/>
                    <w:rPr>
                      <w:color w:val="auto"/>
                    </w:rPr>
                  </w:pPr>
                  <w:r>
                    <w:rPr>
                      <w:color w:val="auto"/>
                    </w:rPr>
                    <w:t>37490914.8</w:t>
                  </w:r>
                </w:p>
              </w:tc>
              <w:tc>
                <w:tcPr>
                  <w:tcW w:w="834" w:type="pct"/>
                  <w:noWrap/>
                  <w:vAlign w:val="center"/>
                </w:tcPr>
                <w:p w14:paraId="41168916">
                  <w:pPr>
                    <w:pStyle w:val="94"/>
                    <w:rPr>
                      <w:color w:val="auto"/>
                    </w:rPr>
                  </w:pPr>
                  <w:r>
                    <w:rPr>
                      <w:color w:val="auto"/>
                    </w:rPr>
                    <w:t>4250387.209</w:t>
                  </w:r>
                </w:p>
              </w:tc>
              <w:tc>
                <w:tcPr>
                  <w:tcW w:w="328" w:type="pct"/>
                  <w:vAlign w:val="center"/>
                </w:tcPr>
                <w:p w14:paraId="1895F6D3">
                  <w:pPr>
                    <w:pStyle w:val="94"/>
                    <w:rPr>
                      <w:color w:val="auto"/>
                    </w:rPr>
                  </w:pPr>
                  <w:r>
                    <w:rPr>
                      <w:rFonts w:hint="eastAsia"/>
                      <w:color w:val="auto"/>
                    </w:rPr>
                    <w:t>居民</w:t>
                  </w:r>
                </w:p>
              </w:tc>
              <w:tc>
                <w:tcPr>
                  <w:tcW w:w="478" w:type="pct"/>
                  <w:noWrap/>
                  <w:vAlign w:val="center"/>
                </w:tcPr>
                <w:p w14:paraId="4C2AAA5C">
                  <w:pPr>
                    <w:pStyle w:val="94"/>
                    <w:rPr>
                      <w:color w:val="auto"/>
                    </w:rPr>
                  </w:pPr>
                  <w:r>
                    <w:rPr>
                      <w:color w:val="auto"/>
                    </w:rPr>
                    <w:t>52人</w:t>
                  </w:r>
                </w:p>
              </w:tc>
              <w:tc>
                <w:tcPr>
                  <w:tcW w:w="351" w:type="pct"/>
                  <w:vAlign w:val="center"/>
                </w:tcPr>
                <w:p w14:paraId="1BD65D9F">
                  <w:pPr>
                    <w:pStyle w:val="94"/>
                    <w:rPr>
                      <w:color w:val="auto"/>
                    </w:rPr>
                  </w:pPr>
                  <w:r>
                    <w:rPr>
                      <w:rFonts w:hint="eastAsia"/>
                      <w:color w:val="auto"/>
                    </w:rPr>
                    <w:t>二类区</w:t>
                  </w:r>
                </w:p>
              </w:tc>
              <w:tc>
                <w:tcPr>
                  <w:tcW w:w="1205" w:type="pct"/>
                  <w:noWrap/>
                  <w:vAlign w:val="center"/>
                </w:tcPr>
                <w:p w14:paraId="09D25A35">
                  <w:pPr>
                    <w:pStyle w:val="94"/>
                    <w:rPr>
                      <w:color w:val="auto"/>
                    </w:rPr>
                  </w:pPr>
                  <w:r>
                    <w:rPr>
                      <w:color w:val="auto"/>
                    </w:rPr>
                    <w:t>LXDG-05井场S</w:t>
                  </w:r>
                </w:p>
              </w:tc>
              <w:tc>
                <w:tcPr>
                  <w:tcW w:w="359" w:type="pct"/>
                  <w:noWrap/>
                  <w:vAlign w:val="center"/>
                </w:tcPr>
                <w:p w14:paraId="65DB54A1">
                  <w:pPr>
                    <w:pStyle w:val="94"/>
                    <w:rPr>
                      <w:color w:val="auto"/>
                    </w:rPr>
                  </w:pPr>
                  <w:r>
                    <w:rPr>
                      <w:color w:val="auto"/>
                    </w:rPr>
                    <w:t xml:space="preserve">290 </w:t>
                  </w:r>
                </w:p>
              </w:tc>
            </w:tr>
            <w:tr w14:paraId="395A82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611" w:type="pct"/>
                  <w:noWrap/>
                  <w:vAlign w:val="center"/>
                </w:tcPr>
                <w:p w14:paraId="0AE51FC3">
                  <w:pPr>
                    <w:pStyle w:val="94"/>
                    <w:rPr>
                      <w:color w:val="auto"/>
                    </w:rPr>
                  </w:pPr>
                  <w:r>
                    <w:rPr>
                      <w:color w:val="auto"/>
                    </w:rPr>
                    <w:t>吴儿申村</w:t>
                  </w:r>
                </w:p>
              </w:tc>
              <w:tc>
                <w:tcPr>
                  <w:tcW w:w="834" w:type="pct"/>
                  <w:noWrap/>
                  <w:vAlign w:val="center"/>
                </w:tcPr>
                <w:p w14:paraId="13003F94">
                  <w:pPr>
                    <w:pStyle w:val="94"/>
                    <w:rPr>
                      <w:color w:val="auto"/>
                    </w:rPr>
                  </w:pPr>
                  <w:r>
                    <w:rPr>
                      <w:color w:val="auto"/>
                    </w:rPr>
                    <w:t>37492506.22</w:t>
                  </w:r>
                </w:p>
              </w:tc>
              <w:tc>
                <w:tcPr>
                  <w:tcW w:w="834" w:type="pct"/>
                  <w:noWrap/>
                  <w:vAlign w:val="center"/>
                </w:tcPr>
                <w:p w14:paraId="0B93CC0A">
                  <w:pPr>
                    <w:pStyle w:val="94"/>
                    <w:rPr>
                      <w:color w:val="auto"/>
                    </w:rPr>
                  </w:pPr>
                  <w:r>
                    <w:rPr>
                      <w:color w:val="auto"/>
                    </w:rPr>
                    <w:t>4248908.687</w:t>
                  </w:r>
                </w:p>
              </w:tc>
              <w:tc>
                <w:tcPr>
                  <w:tcW w:w="328" w:type="pct"/>
                  <w:vAlign w:val="center"/>
                </w:tcPr>
                <w:p w14:paraId="400742BF">
                  <w:pPr>
                    <w:pStyle w:val="94"/>
                    <w:rPr>
                      <w:color w:val="auto"/>
                    </w:rPr>
                  </w:pPr>
                  <w:r>
                    <w:rPr>
                      <w:rFonts w:hint="eastAsia"/>
                      <w:color w:val="auto"/>
                    </w:rPr>
                    <w:t>居民</w:t>
                  </w:r>
                </w:p>
              </w:tc>
              <w:tc>
                <w:tcPr>
                  <w:tcW w:w="478" w:type="pct"/>
                  <w:noWrap/>
                  <w:vAlign w:val="center"/>
                </w:tcPr>
                <w:p w14:paraId="71986C2E">
                  <w:pPr>
                    <w:pStyle w:val="94"/>
                    <w:rPr>
                      <w:color w:val="auto"/>
                    </w:rPr>
                  </w:pPr>
                  <w:r>
                    <w:rPr>
                      <w:color w:val="auto"/>
                    </w:rPr>
                    <w:t>110人</w:t>
                  </w:r>
                </w:p>
              </w:tc>
              <w:tc>
                <w:tcPr>
                  <w:tcW w:w="351" w:type="pct"/>
                  <w:vAlign w:val="center"/>
                </w:tcPr>
                <w:p w14:paraId="7F7B15E5">
                  <w:pPr>
                    <w:pStyle w:val="94"/>
                    <w:rPr>
                      <w:color w:val="auto"/>
                    </w:rPr>
                  </w:pPr>
                  <w:r>
                    <w:rPr>
                      <w:rFonts w:hint="eastAsia"/>
                      <w:color w:val="auto"/>
                    </w:rPr>
                    <w:t>二类区</w:t>
                  </w:r>
                </w:p>
              </w:tc>
              <w:tc>
                <w:tcPr>
                  <w:tcW w:w="1205" w:type="pct"/>
                  <w:noWrap/>
                  <w:vAlign w:val="center"/>
                </w:tcPr>
                <w:p w14:paraId="3003F5B1">
                  <w:pPr>
                    <w:pStyle w:val="94"/>
                    <w:rPr>
                      <w:color w:val="auto"/>
                    </w:rPr>
                  </w:pPr>
                  <w:r>
                    <w:rPr>
                      <w:color w:val="auto"/>
                    </w:rPr>
                    <w:t>LXD2-25井场SW</w:t>
                  </w:r>
                </w:p>
              </w:tc>
              <w:tc>
                <w:tcPr>
                  <w:tcW w:w="359" w:type="pct"/>
                  <w:noWrap/>
                  <w:vAlign w:val="center"/>
                </w:tcPr>
                <w:p w14:paraId="22F558C0">
                  <w:pPr>
                    <w:pStyle w:val="94"/>
                    <w:rPr>
                      <w:color w:val="auto"/>
                    </w:rPr>
                  </w:pPr>
                  <w:r>
                    <w:rPr>
                      <w:color w:val="auto"/>
                    </w:rPr>
                    <w:t xml:space="preserve">340 </w:t>
                  </w:r>
                </w:p>
              </w:tc>
            </w:tr>
            <w:tr w14:paraId="64B2AE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611" w:type="pct"/>
                  <w:noWrap/>
                  <w:vAlign w:val="center"/>
                </w:tcPr>
                <w:p w14:paraId="60431262">
                  <w:pPr>
                    <w:pStyle w:val="94"/>
                    <w:rPr>
                      <w:color w:val="auto"/>
                    </w:rPr>
                  </w:pPr>
                  <w:r>
                    <w:rPr>
                      <w:color w:val="auto"/>
                    </w:rPr>
                    <w:t>白家庄</w:t>
                  </w:r>
                </w:p>
              </w:tc>
              <w:tc>
                <w:tcPr>
                  <w:tcW w:w="834" w:type="pct"/>
                  <w:noWrap/>
                  <w:vAlign w:val="center"/>
                </w:tcPr>
                <w:p w14:paraId="08252A99">
                  <w:pPr>
                    <w:pStyle w:val="94"/>
                    <w:rPr>
                      <w:color w:val="auto"/>
                    </w:rPr>
                  </w:pPr>
                  <w:r>
                    <w:rPr>
                      <w:color w:val="auto"/>
                    </w:rPr>
                    <w:t>37488528.59</w:t>
                  </w:r>
                </w:p>
              </w:tc>
              <w:tc>
                <w:tcPr>
                  <w:tcW w:w="834" w:type="pct"/>
                  <w:noWrap/>
                  <w:vAlign w:val="center"/>
                </w:tcPr>
                <w:p w14:paraId="14DFDFC4">
                  <w:pPr>
                    <w:pStyle w:val="94"/>
                    <w:rPr>
                      <w:color w:val="auto"/>
                    </w:rPr>
                  </w:pPr>
                  <w:r>
                    <w:rPr>
                      <w:color w:val="auto"/>
                    </w:rPr>
                    <w:t>4249022.409</w:t>
                  </w:r>
                </w:p>
              </w:tc>
              <w:tc>
                <w:tcPr>
                  <w:tcW w:w="328" w:type="pct"/>
                  <w:vAlign w:val="center"/>
                </w:tcPr>
                <w:p w14:paraId="6B980DCF">
                  <w:pPr>
                    <w:pStyle w:val="94"/>
                    <w:rPr>
                      <w:color w:val="auto"/>
                    </w:rPr>
                  </w:pPr>
                  <w:r>
                    <w:rPr>
                      <w:rFonts w:hint="eastAsia"/>
                      <w:color w:val="auto"/>
                    </w:rPr>
                    <w:t>居民</w:t>
                  </w:r>
                </w:p>
              </w:tc>
              <w:tc>
                <w:tcPr>
                  <w:tcW w:w="478" w:type="pct"/>
                  <w:noWrap/>
                  <w:vAlign w:val="center"/>
                </w:tcPr>
                <w:p w14:paraId="4356B376">
                  <w:pPr>
                    <w:pStyle w:val="94"/>
                    <w:rPr>
                      <w:color w:val="auto"/>
                    </w:rPr>
                  </w:pPr>
                  <w:r>
                    <w:rPr>
                      <w:color w:val="auto"/>
                    </w:rPr>
                    <w:t>116人</w:t>
                  </w:r>
                </w:p>
              </w:tc>
              <w:tc>
                <w:tcPr>
                  <w:tcW w:w="351" w:type="pct"/>
                  <w:vAlign w:val="center"/>
                </w:tcPr>
                <w:p w14:paraId="702F9A0B">
                  <w:pPr>
                    <w:pStyle w:val="94"/>
                    <w:rPr>
                      <w:color w:val="auto"/>
                    </w:rPr>
                  </w:pPr>
                  <w:r>
                    <w:rPr>
                      <w:rFonts w:hint="eastAsia"/>
                      <w:color w:val="auto"/>
                    </w:rPr>
                    <w:t>二类区</w:t>
                  </w:r>
                </w:p>
              </w:tc>
              <w:tc>
                <w:tcPr>
                  <w:tcW w:w="1205" w:type="pct"/>
                  <w:noWrap/>
                  <w:vAlign w:val="center"/>
                </w:tcPr>
                <w:p w14:paraId="6D359294">
                  <w:pPr>
                    <w:pStyle w:val="94"/>
                    <w:rPr>
                      <w:color w:val="auto"/>
                    </w:rPr>
                  </w:pPr>
                  <w:r>
                    <w:rPr>
                      <w:color w:val="auto"/>
                    </w:rPr>
                    <w:t>LXD1-18井场NNW</w:t>
                  </w:r>
                </w:p>
              </w:tc>
              <w:tc>
                <w:tcPr>
                  <w:tcW w:w="359" w:type="pct"/>
                  <w:noWrap/>
                  <w:vAlign w:val="center"/>
                </w:tcPr>
                <w:p w14:paraId="3B4517E6">
                  <w:pPr>
                    <w:pStyle w:val="94"/>
                    <w:rPr>
                      <w:color w:val="auto"/>
                    </w:rPr>
                  </w:pPr>
                  <w:r>
                    <w:rPr>
                      <w:color w:val="auto"/>
                    </w:rPr>
                    <w:t xml:space="preserve">455 </w:t>
                  </w:r>
                </w:p>
              </w:tc>
            </w:tr>
            <w:tr w14:paraId="7D6AA5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611" w:type="pct"/>
                  <w:noWrap/>
                  <w:vAlign w:val="center"/>
                </w:tcPr>
                <w:p w14:paraId="35D16D43">
                  <w:pPr>
                    <w:pStyle w:val="94"/>
                    <w:rPr>
                      <w:color w:val="auto"/>
                    </w:rPr>
                  </w:pPr>
                  <w:r>
                    <w:rPr>
                      <w:color w:val="auto"/>
                    </w:rPr>
                    <w:t>石桥村</w:t>
                  </w:r>
                </w:p>
              </w:tc>
              <w:tc>
                <w:tcPr>
                  <w:tcW w:w="834" w:type="pct"/>
                  <w:noWrap/>
                  <w:vAlign w:val="center"/>
                </w:tcPr>
                <w:p w14:paraId="3E59668D">
                  <w:pPr>
                    <w:pStyle w:val="94"/>
                    <w:rPr>
                      <w:color w:val="auto"/>
                    </w:rPr>
                  </w:pPr>
                  <w:r>
                    <w:rPr>
                      <w:color w:val="auto"/>
                    </w:rPr>
                    <w:t>37483814.8</w:t>
                  </w:r>
                </w:p>
              </w:tc>
              <w:tc>
                <w:tcPr>
                  <w:tcW w:w="834" w:type="pct"/>
                  <w:noWrap/>
                  <w:vAlign w:val="center"/>
                </w:tcPr>
                <w:p w14:paraId="06C00671">
                  <w:pPr>
                    <w:pStyle w:val="94"/>
                    <w:rPr>
                      <w:color w:val="auto"/>
                    </w:rPr>
                  </w:pPr>
                  <w:r>
                    <w:rPr>
                      <w:color w:val="auto"/>
                    </w:rPr>
                    <w:t>4249883.366</w:t>
                  </w:r>
                </w:p>
              </w:tc>
              <w:tc>
                <w:tcPr>
                  <w:tcW w:w="328" w:type="pct"/>
                  <w:vAlign w:val="center"/>
                </w:tcPr>
                <w:p w14:paraId="0FC3E104">
                  <w:pPr>
                    <w:pStyle w:val="94"/>
                    <w:rPr>
                      <w:color w:val="auto"/>
                    </w:rPr>
                  </w:pPr>
                  <w:r>
                    <w:rPr>
                      <w:rFonts w:hint="eastAsia"/>
                      <w:color w:val="auto"/>
                    </w:rPr>
                    <w:t>居民</w:t>
                  </w:r>
                </w:p>
              </w:tc>
              <w:tc>
                <w:tcPr>
                  <w:tcW w:w="478" w:type="pct"/>
                  <w:noWrap/>
                  <w:vAlign w:val="center"/>
                </w:tcPr>
                <w:p w14:paraId="689C0043">
                  <w:pPr>
                    <w:pStyle w:val="94"/>
                    <w:rPr>
                      <w:color w:val="auto"/>
                    </w:rPr>
                  </w:pPr>
                  <w:r>
                    <w:rPr>
                      <w:color w:val="auto"/>
                    </w:rPr>
                    <w:t>32人</w:t>
                  </w:r>
                </w:p>
              </w:tc>
              <w:tc>
                <w:tcPr>
                  <w:tcW w:w="351" w:type="pct"/>
                  <w:vAlign w:val="center"/>
                </w:tcPr>
                <w:p w14:paraId="43C2F1D1">
                  <w:pPr>
                    <w:pStyle w:val="94"/>
                    <w:rPr>
                      <w:color w:val="auto"/>
                    </w:rPr>
                  </w:pPr>
                  <w:r>
                    <w:rPr>
                      <w:rFonts w:hint="eastAsia"/>
                      <w:color w:val="auto"/>
                    </w:rPr>
                    <w:t>二类区</w:t>
                  </w:r>
                </w:p>
              </w:tc>
              <w:tc>
                <w:tcPr>
                  <w:tcW w:w="1205" w:type="pct"/>
                  <w:noWrap/>
                  <w:vAlign w:val="center"/>
                </w:tcPr>
                <w:p w14:paraId="28C3B2D9">
                  <w:pPr>
                    <w:pStyle w:val="94"/>
                    <w:rPr>
                      <w:color w:val="auto"/>
                    </w:rPr>
                  </w:pPr>
                  <w:r>
                    <w:rPr>
                      <w:color w:val="auto"/>
                    </w:rPr>
                    <w:t>LXD3-9井场E</w:t>
                  </w:r>
                </w:p>
              </w:tc>
              <w:tc>
                <w:tcPr>
                  <w:tcW w:w="359" w:type="pct"/>
                  <w:noWrap/>
                  <w:vAlign w:val="center"/>
                </w:tcPr>
                <w:p w14:paraId="76B0F317">
                  <w:pPr>
                    <w:pStyle w:val="94"/>
                    <w:rPr>
                      <w:color w:val="auto"/>
                    </w:rPr>
                  </w:pPr>
                  <w:r>
                    <w:rPr>
                      <w:color w:val="auto"/>
                    </w:rPr>
                    <w:t xml:space="preserve">431 </w:t>
                  </w:r>
                </w:p>
              </w:tc>
            </w:tr>
            <w:tr w14:paraId="561B77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611" w:type="pct"/>
                  <w:noWrap/>
                  <w:vAlign w:val="center"/>
                </w:tcPr>
                <w:p w14:paraId="7F58378E">
                  <w:pPr>
                    <w:pStyle w:val="94"/>
                    <w:rPr>
                      <w:color w:val="auto"/>
                    </w:rPr>
                  </w:pPr>
                  <w:r>
                    <w:rPr>
                      <w:color w:val="auto"/>
                    </w:rPr>
                    <w:t>白家畔村</w:t>
                  </w:r>
                </w:p>
              </w:tc>
              <w:tc>
                <w:tcPr>
                  <w:tcW w:w="834" w:type="pct"/>
                  <w:noWrap/>
                  <w:vAlign w:val="center"/>
                </w:tcPr>
                <w:p w14:paraId="76584C60">
                  <w:pPr>
                    <w:pStyle w:val="94"/>
                    <w:rPr>
                      <w:color w:val="auto"/>
                    </w:rPr>
                  </w:pPr>
                  <w:r>
                    <w:rPr>
                      <w:color w:val="auto"/>
                    </w:rPr>
                    <w:t>37489914.81</w:t>
                  </w:r>
                </w:p>
              </w:tc>
              <w:tc>
                <w:tcPr>
                  <w:tcW w:w="834" w:type="pct"/>
                  <w:noWrap/>
                  <w:vAlign w:val="center"/>
                </w:tcPr>
                <w:p w14:paraId="34770094">
                  <w:pPr>
                    <w:pStyle w:val="94"/>
                    <w:rPr>
                      <w:color w:val="auto"/>
                    </w:rPr>
                  </w:pPr>
                  <w:r>
                    <w:rPr>
                      <w:color w:val="auto"/>
                    </w:rPr>
                    <w:t>4256880.898</w:t>
                  </w:r>
                </w:p>
              </w:tc>
              <w:tc>
                <w:tcPr>
                  <w:tcW w:w="328" w:type="pct"/>
                  <w:vAlign w:val="center"/>
                </w:tcPr>
                <w:p w14:paraId="545DF16D">
                  <w:pPr>
                    <w:pStyle w:val="94"/>
                    <w:rPr>
                      <w:color w:val="auto"/>
                    </w:rPr>
                  </w:pPr>
                  <w:r>
                    <w:rPr>
                      <w:rFonts w:hint="eastAsia"/>
                      <w:color w:val="auto"/>
                    </w:rPr>
                    <w:t>居民</w:t>
                  </w:r>
                </w:p>
              </w:tc>
              <w:tc>
                <w:tcPr>
                  <w:tcW w:w="478" w:type="pct"/>
                  <w:noWrap/>
                  <w:vAlign w:val="center"/>
                </w:tcPr>
                <w:p w14:paraId="3303BD43">
                  <w:pPr>
                    <w:pStyle w:val="94"/>
                    <w:rPr>
                      <w:color w:val="auto"/>
                    </w:rPr>
                  </w:pPr>
                  <w:r>
                    <w:rPr>
                      <w:color w:val="auto"/>
                    </w:rPr>
                    <w:t>21人</w:t>
                  </w:r>
                </w:p>
              </w:tc>
              <w:tc>
                <w:tcPr>
                  <w:tcW w:w="351" w:type="pct"/>
                  <w:vAlign w:val="center"/>
                </w:tcPr>
                <w:p w14:paraId="318084F0">
                  <w:pPr>
                    <w:pStyle w:val="94"/>
                    <w:rPr>
                      <w:color w:val="auto"/>
                    </w:rPr>
                  </w:pPr>
                  <w:r>
                    <w:rPr>
                      <w:rFonts w:hint="eastAsia"/>
                      <w:color w:val="auto"/>
                    </w:rPr>
                    <w:t>二类区</w:t>
                  </w:r>
                </w:p>
              </w:tc>
              <w:tc>
                <w:tcPr>
                  <w:tcW w:w="1205" w:type="pct"/>
                  <w:noWrap/>
                  <w:vAlign w:val="center"/>
                </w:tcPr>
                <w:p w14:paraId="2A78BD9C">
                  <w:pPr>
                    <w:pStyle w:val="94"/>
                    <w:rPr>
                      <w:color w:val="auto"/>
                    </w:rPr>
                  </w:pPr>
                  <w:r>
                    <w:rPr>
                      <w:color w:val="auto"/>
                    </w:rPr>
                    <w:t>LXDG-15井场SW</w:t>
                  </w:r>
                </w:p>
              </w:tc>
              <w:tc>
                <w:tcPr>
                  <w:tcW w:w="359" w:type="pct"/>
                  <w:noWrap/>
                  <w:vAlign w:val="center"/>
                </w:tcPr>
                <w:p w14:paraId="750EDC04">
                  <w:pPr>
                    <w:pStyle w:val="94"/>
                    <w:rPr>
                      <w:color w:val="auto"/>
                    </w:rPr>
                  </w:pPr>
                  <w:r>
                    <w:rPr>
                      <w:color w:val="auto"/>
                    </w:rPr>
                    <w:t xml:space="preserve">137 </w:t>
                  </w:r>
                </w:p>
              </w:tc>
            </w:tr>
            <w:tr w14:paraId="20922A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611" w:type="pct"/>
                  <w:noWrap/>
                  <w:vAlign w:val="center"/>
                </w:tcPr>
                <w:p w14:paraId="76B888CF">
                  <w:pPr>
                    <w:pStyle w:val="94"/>
                    <w:rPr>
                      <w:color w:val="auto"/>
                    </w:rPr>
                  </w:pPr>
                  <w:r>
                    <w:rPr>
                      <w:color w:val="auto"/>
                    </w:rPr>
                    <w:t>堡头</w:t>
                  </w:r>
                </w:p>
              </w:tc>
              <w:tc>
                <w:tcPr>
                  <w:tcW w:w="834" w:type="pct"/>
                  <w:noWrap/>
                  <w:vAlign w:val="center"/>
                </w:tcPr>
                <w:p w14:paraId="206570A0">
                  <w:pPr>
                    <w:pStyle w:val="94"/>
                    <w:rPr>
                      <w:color w:val="auto"/>
                    </w:rPr>
                  </w:pPr>
                  <w:r>
                    <w:rPr>
                      <w:color w:val="auto"/>
                    </w:rPr>
                    <w:t>37488718.68</w:t>
                  </w:r>
                </w:p>
              </w:tc>
              <w:tc>
                <w:tcPr>
                  <w:tcW w:w="834" w:type="pct"/>
                  <w:noWrap/>
                  <w:vAlign w:val="center"/>
                </w:tcPr>
                <w:p w14:paraId="6E9E74AD">
                  <w:pPr>
                    <w:pStyle w:val="94"/>
                    <w:rPr>
                      <w:color w:val="auto"/>
                    </w:rPr>
                  </w:pPr>
                  <w:r>
                    <w:rPr>
                      <w:color w:val="auto"/>
                    </w:rPr>
                    <w:t>4255358.272</w:t>
                  </w:r>
                </w:p>
              </w:tc>
              <w:tc>
                <w:tcPr>
                  <w:tcW w:w="328" w:type="pct"/>
                  <w:vAlign w:val="center"/>
                </w:tcPr>
                <w:p w14:paraId="4FEF06C9">
                  <w:pPr>
                    <w:pStyle w:val="94"/>
                    <w:rPr>
                      <w:color w:val="auto"/>
                    </w:rPr>
                  </w:pPr>
                  <w:r>
                    <w:rPr>
                      <w:rFonts w:hint="eastAsia"/>
                      <w:color w:val="auto"/>
                    </w:rPr>
                    <w:t>居民</w:t>
                  </w:r>
                </w:p>
              </w:tc>
              <w:tc>
                <w:tcPr>
                  <w:tcW w:w="478" w:type="pct"/>
                  <w:noWrap/>
                  <w:vAlign w:val="center"/>
                </w:tcPr>
                <w:p w14:paraId="1FE42344">
                  <w:pPr>
                    <w:pStyle w:val="94"/>
                    <w:rPr>
                      <w:color w:val="auto"/>
                    </w:rPr>
                  </w:pPr>
                  <w:r>
                    <w:rPr>
                      <w:color w:val="auto"/>
                    </w:rPr>
                    <w:t>36人</w:t>
                  </w:r>
                </w:p>
              </w:tc>
              <w:tc>
                <w:tcPr>
                  <w:tcW w:w="351" w:type="pct"/>
                  <w:vAlign w:val="center"/>
                </w:tcPr>
                <w:p w14:paraId="0E299DCE">
                  <w:pPr>
                    <w:pStyle w:val="94"/>
                    <w:rPr>
                      <w:color w:val="auto"/>
                    </w:rPr>
                  </w:pPr>
                  <w:r>
                    <w:rPr>
                      <w:rFonts w:hint="eastAsia"/>
                      <w:color w:val="auto"/>
                    </w:rPr>
                    <w:t>二类区</w:t>
                  </w:r>
                </w:p>
              </w:tc>
              <w:tc>
                <w:tcPr>
                  <w:tcW w:w="1205" w:type="pct"/>
                  <w:noWrap/>
                  <w:vAlign w:val="center"/>
                </w:tcPr>
                <w:p w14:paraId="6D97A0DB">
                  <w:pPr>
                    <w:pStyle w:val="94"/>
                    <w:rPr>
                      <w:color w:val="auto"/>
                    </w:rPr>
                  </w:pPr>
                  <w:r>
                    <w:rPr>
                      <w:color w:val="auto"/>
                    </w:rPr>
                    <w:t>LXDG-14井场SSW</w:t>
                  </w:r>
                </w:p>
              </w:tc>
              <w:tc>
                <w:tcPr>
                  <w:tcW w:w="359" w:type="pct"/>
                  <w:noWrap/>
                  <w:vAlign w:val="center"/>
                </w:tcPr>
                <w:p w14:paraId="6D02D429">
                  <w:pPr>
                    <w:pStyle w:val="94"/>
                    <w:rPr>
                      <w:color w:val="auto"/>
                    </w:rPr>
                  </w:pPr>
                  <w:r>
                    <w:rPr>
                      <w:color w:val="auto"/>
                    </w:rPr>
                    <w:t xml:space="preserve">335 </w:t>
                  </w:r>
                </w:p>
              </w:tc>
            </w:tr>
          </w:tbl>
          <w:p w14:paraId="2278F33F">
            <w:pPr>
              <w:pStyle w:val="96"/>
              <w:ind w:firstLine="480"/>
            </w:pPr>
            <w:r>
              <w:rPr>
                <w:rFonts w:hint="eastAsia"/>
              </w:rPr>
              <w:t>地表水环境保护目标表见下表。</w:t>
            </w:r>
          </w:p>
          <w:p w14:paraId="15186C31">
            <w:pPr>
              <w:pStyle w:val="19"/>
              <w:keepNext/>
            </w:pPr>
            <w:r>
              <w:t xml:space="preserve">表 </w:t>
            </w:r>
            <w:r>
              <w:fldChar w:fldCharType="begin"/>
            </w:r>
            <w:r>
              <w:instrText xml:space="preserve"> SEQ 表 \* ARABIC </w:instrText>
            </w:r>
            <w:r>
              <w:fldChar w:fldCharType="separate"/>
            </w:r>
            <w:r>
              <w:t>22</w:t>
            </w:r>
            <w:r>
              <w:fldChar w:fldCharType="end"/>
            </w:r>
            <w:r>
              <w:rPr>
                <w:rFonts w:hint="eastAsia"/>
              </w:rPr>
              <w:t>地表水环境保护目标表</w:t>
            </w:r>
          </w:p>
          <w:tbl>
            <w:tblPr>
              <w:tblStyle w:val="114"/>
              <w:tblW w:w="9291"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74"/>
              <w:gridCol w:w="1323"/>
              <w:gridCol w:w="4138"/>
              <w:gridCol w:w="3056"/>
            </w:tblGrid>
            <w:tr w14:paraId="066A86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2" w:hRule="atLeast"/>
              </w:trPr>
              <w:tc>
                <w:tcPr>
                  <w:tcW w:w="774" w:type="dxa"/>
                  <w:vAlign w:val="center"/>
                </w:tcPr>
                <w:p w14:paraId="64FB3F08">
                  <w:pPr>
                    <w:pStyle w:val="94"/>
                    <w:rPr>
                      <w:rFonts w:ascii="Times New Roman" w:hAnsi="Times New Roman"/>
                      <w:color w:val="auto"/>
                    </w:rPr>
                  </w:pPr>
                  <w:r>
                    <w:rPr>
                      <w:color w:val="auto"/>
                    </w:rPr>
                    <w:t>影响</w:t>
                  </w:r>
                  <w:r>
                    <w:rPr>
                      <w:color w:val="auto"/>
                      <w:spacing w:val="-7"/>
                    </w:rPr>
                    <w:t>因素</w:t>
                  </w:r>
                </w:p>
              </w:tc>
              <w:tc>
                <w:tcPr>
                  <w:tcW w:w="1323" w:type="dxa"/>
                  <w:vAlign w:val="center"/>
                </w:tcPr>
                <w:p w14:paraId="15AE0EB2">
                  <w:pPr>
                    <w:pStyle w:val="94"/>
                    <w:rPr>
                      <w:rFonts w:ascii="Times New Roman" w:hAnsi="Times New Roman"/>
                      <w:color w:val="auto"/>
                    </w:rPr>
                  </w:pPr>
                  <w:r>
                    <w:rPr>
                      <w:color w:val="auto"/>
                    </w:rPr>
                    <w:t>保护目标名称</w:t>
                  </w:r>
                </w:p>
              </w:tc>
              <w:tc>
                <w:tcPr>
                  <w:tcW w:w="4138" w:type="dxa"/>
                  <w:vAlign w:val="center"/>
                </w:tcPr>
                <w:p w14:paraId="51766EA5">
                  <w:pPr>
                    <w:pStyle w:val="94"/>
                    <w:rPr>
                      <w:rFonts w:ascii="Times New Roman" w:hAnsi="Times New Roman"/>
                      <w:color w:val="auto"/>
                    </w:rPr>
                  </w:pPr>
                  <w:r>
                    <w:rPr>
                      <w:color w:val="auto"/>
                      <w:spacing w:val="-2"/>
                    </w:rPr>
                    <w:t>位置关系</w:t>
                  </w:r>
                </w:p>
              </w:tc>
              <w:tc>
                <w:tcPr>
                  <w:tcW w:w="3056" w:type="dxa"/>
                  <w:vAlign w:val="center"/>
                </w:tcPr>
                <w:p w14:paraId="477FA1AF">
                  <w:pPr>
                    <w:pStyle w:val="94"/>
                    <w:rPr>
                      <w:rFonts w:ascii="Times New Roman" w:hAnsi="Times New Roman"/>
                      <w:color w:val="auto"/>
                    </w:rPr>
                  </w:pPr>
                  <w:r>
                    <w:rPr>
                      <w:color w:val="auto"/>
                      <w:spacing w:val="-2"/>
                    </w:rPr>
                    <w:t>功能区划及保护要求</w:t>
                  </w:r>
                </w:p>
              </w:tc>
            </w:tr>
            <w:tr w14:paraId="640360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1" w:hRule="atLeast"/>
              </w:trPr>
              <w:tc>
                <w:tcPr>
                  <w:tcW w:w="774" w:type="dxa"/>
                  <w:vMerge w:val="restart"/>
                  <w:vAlign w:val="center"/>
                </w:tcPr>
                <w:p w14:paraId="3FA65607">
                  <w:pPr>
                    <w:pStyle w:val="94"/>
                    <w:rPr>
                      <w:rFonts w:ascii="Times New Roman" w:hAnsi="Times New Roman"/>
                      <w:color w:val="auto"/>
                    </w:rPr>
                  </w:pPr>
                  <w:r>
                    <w:rPr>
                      <w:color w:val="auto"/>
                    </w:rPr>
                    <w:t>地表</w:t>
                  </w:r>
                </w:p>
                <w:p w14:paraId="6B3F1D30">
                  <w:pPr>
                    <w:pStyle w:val="94"/>
                    <w:rPr>
                      <w:rFonts w:ascii="Times New Roman" w:hAnsi="Times New Roman"/>
                      <w:color w:val="auto"/>
                    </w:rPr>
                  </w:pPr>
                  <w:r>
                    <w:rPr>
                      <w:color w:val="auto"/>
                    </w:rPr>
                    <w:t>水体</w:t>
                  </w:r>
                </w:p>
              </w:tc>
              <w:tc>
                <w:tcPr>
                  <w:tcW w:w="1323" w:type="dxa"/>
                  <w:vAlign w:val="center"/>
                </w:tcPr>
                <w:p w14:paraId="6F4FA1B0">
                  <w:pPr>
                    <w:pStyle w:val="94"/>
                    <w:rPr>
                      <w:rFonts w:ascii="Times New Roman" w:hAnsi="Times New Roman"/>
                      <w:color w:val="auto"/>
                    </w:rPr>
                  </w:pPr>
                  <w:r>
                    <w:rPr>
                      <w:color w:val="auto"/>
                      <w:spacing w:val="-2"/>
                    </w:rPr>
                    <w:t>黄河</w:t>
                  </w:r>
                </w:p>
              </w:tc>
              <w:tc>
                <w:tcPr>
                  <w:tcW w:w="4138" w:type="dxa"/>
                  <w:vAlign w:val="center"/>
                </w:tcPr>
                <w:p w14:paraId="5CFAC277">
                  <w:pPr>
                    <w:pStyle w:val="94"/>
                    <w:rPr>
                      <w:rFonts w:ascii="Times New Roman" w:hAnsi="Times New Roman"/>
                      <w:color w:val="auto"/>
                    </w:rPr>
                  </w:pPr>
                  <w:r>
                    <w:rPr>
                      <w:color w:val="auto"/>
                    </w:rPr>
                    <w:t>黄河</w:t>
                  </w:r>
                  <w:r>
                    <w:rPr>
                      <w:rFonts w:hint="eastAsia"/>
                      <w:color w:val="auto"/>
                    </w:rPr>
                    <w:t>流经</w:t>
                  </w:r>
                  <w:r>
                    <w:rPr>
                      <w:color w:val="auto"/>
                    </w:rPr>
                    <w:t>临兴</w:t>
                  </w:r>
                  <w:r>
                    <w:rPr>
                      <w:rFonts w:hint="eastAsia"/>
                      <w:color w:val="auto"/>
                    </w:rPr>
                    <w:t>东尚义</w:t>
                  </w:r>
                  <w:r>
                    <w:rPr>
                      <w:color w:val="auto"/>
                    </w:rPr>
                    <w:t>区</w:t>
                  </w:r>
                  <w:r>
                    <w:rPr>
                      <w:rFonts w:hint="eastAsia"/>
                      <w:color w:val="auto"/>
                    </w:rPr>
                    <w:t>西北</w:t>
                  </w:r>
                  <w:r>
                    <w:rPr>
                      <w:color w:val="auto"/>
                    </w:rPr>
                    <w:t>侧，距离最近建设工程为</w:t>
                  </w:r>
                  <w:r>
                    <w:rPr>
                      <w:rFonts w:ascii="Times New Roman" w:hAnsi="Times New Roman"/>
                      <w:color w:val="auto"/>
                    </w:rPr>
                    <w:t>LXD</w:t>
                  </w:r>
                  <w:r>
                    <w:rPr>
                      <w:rFonts w:hint="eastAsia" w:ascii="Times New Roman" w:hAnsi="Times New Roman"/>
                      <w:color w:val="auto"/>
                    </w:rPr>
                    <w:t>12-7</w:t>
                  </w:r>
                  <w:r>
                    <w:rPr>
                      <w:color w:val="auto"/>
                    </w:rPr>
                    <w:t>井场，距离</w:t>
                  </w:r>
                  <w:r>
                    <w:rPr>
                      <w:rFonts w:hint="eastAsia" w:ascii="Times New Roman" w:hAnsi="Times New Roman"/>
                      <w:color w:val="auto"/>
                    </w:rPr>
                    <w:t>1352</w:t>
                  </w:r>
                  <w:r>
                    <w:rPr>
                      <w:rFonts w:ascii="Times New Roman" w:hAnsi="Times New Roman"/>
                      <w:color w:val="auto"/>
                    </w:rPr>
                    <w:t>m</w:t>
                  </w:r>
                </w:p>
              </w:tc>
              <w:tc>
                <w:tcPr>
                  <w:tcW w:w="3056" w:type="dxa"/>
                  <w:vAlign w:val="center"/>
                </w:tcPr>
                <w:p w14:paraId="1B032DDE">
                  <w:pPr>
                    <w:pStyle w:val="94"/>
                    <w:rPr>
                      <w:rFonts w:ascii="Times New Roman" w:hAnsi="Times New Roman"/>
                      <w:color w:val="auto"/>
                    </w:rPr>
                  </w:pPr>
                  <w:r>
                    <w:rPr>
                      <w:rFonts w:ascii="Times New Roman" w:hAnsi="Times New Roman"/>
                      <w:color w:val="auto"/>
                    </w:rPr>
                    <w:t>/</w:t>
                  </w:r>
                </w:p>
              </w:tc>
            </w:tr>
            <w:tr w14:paraId="540AB5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1" w:hRule="atLeast"/>
              </w:trPr>
              <w:tc>
                <w:tcPr>
                  <w:tcW w:w="774" w:type="dxa"/>
                  <w:vMerge w:val="continue"/>
                  <w:vAlign w:val="center"/>
                </w:tcPr>
                <w:p w14:paraId="70AA8F02">
                  <w:pPr>
                    <w:pStyle w:val="94"/>
                    <w:rPr>
                      <w:rFonts w:ascii="Times New Roman" w:hAnsi="Times New Roman"/>
                      <w:color w:val="auto"/>
                    </w:rPr>
                  </w:pPr>
                </w:p>
              </w:tc>
              <w:tc>
                <w:tcPr>
                  <w:tcW w:w="1323" w:type="dxa"/>
                  <w:vAlign w:val="center"/>
                </w:tcPr>
                <w:p w14:paraId="5A3D25ED">
                  <w:pPr>
                    <w:pStyle w:val="94"/>
                    <w:rPr>
                      <w:rFonts w:ascii="Times New Roman" w:hAnsi="Times New Roman"/>
                      <w:color w:val="auto"/>
                      <w:spacing w:val="-2"/>
                    </w:rPr>
                  </w:pPr>
                  <w:r>
                    <w:rPr>
                      <w:rFonts w:hint="eastAsia"/>
                      <w:color w:val="auto"/>
                      <w:spacing w:val="-2"/>
                    </w:rPr>
                    <w:t>赵家坪沟</w:t>
                  </w:r>
                </w:p>
              </w:tc>
              <w:tc>
                <w:tcPr>
                  <w:tcW w:w="4138" w:type="dxa"/>
                  <w:vAlign w:val="center"/>
                </w:tcPr>
                <w:p w14:paraId="76E4EC01">
                  <w:pPr>
                    <w:pStyle w:val="94"/>
                    <w:rPr>
                      <w:rFonts w:ascii="Times New Roman" w:hAnsi="Times New Roman"/>
                      <w:color w:val="auto"/>
                      <w:spacing w:val="-1"/>
                    </w:rPr>
                  </w:pPr>
                  <w:r>
                    <w:rPr>
                      <w:color w:val="auto"/>
                      <w:spacing w:val="-1"/>
                    </w:rPr>
                    <w:t>黄河一级支流，流经区块</w:t>
                  </w:r>
                  <w:r>
                    <w:rPr>
                      <w:rFonts w:hint="eastAsia"/>
                      <w:color w:val="auto"/>
                      <w:spacing w:val="-1"/>
                    </w:rPr>
                    <w:t>南</w:t>
                  </w:r>
                  <w:r>
                    <w:rPr>
                      <w:color w:val="auto"/>
                      <w:spacing w:val="-1"/>
                    </w:rPr>
                    <w:t>部，距离</w:t>
                  </w:r>
                  <w:r>
                    <w:rPr>
                      <w:rFonts w:hint="eastAsia"/>
                      <w:color w:val="auto"/>
                      <w:spacing w:val="-1"/>
                    </w:rPr>
                    <w:t>赵家坪沟</w:t>
                  </w:r>
                  <w:r>
                    <w:rPr>
                      <w:color w:val="auto"/>
                      <w:spacing w:val="-1"/>
                    </w:rPr>
                    <w:t>最近工程为</w:t>
                  </w:r>
                  <w:r>
                    <w:rPr>
                      <w:rFonts w:ascii="Times New Roman" w:hAnsi="Times New Roman"/>
                      <w:color w:val="auto"/>
                      <w:spacing w:val="-1"/>
                    </w:rPr>
                    <w:t>LXD</w:t>
                  </w:r>
                  <w:r>
                    <w:rPr>
                      <w:rFonts w:hint="eastAsia" w:ascii="Times New Roman" w:hAnsi="Times New Roman"/>
                      <w:color w:val="auto"/>
                      <w:spacing w:val="-1"/>
                    </w:rPr>
                    <w:t>3-9</w:t>
                  </w:r>
                  <w:r>
                    <w:rPr>
                      <w:color w:val="auto"/>
                      <w:spacing w:val="-1"/>
                    </w:rPr>
                    <w:t>，距离为</w:t>
                  </w:r>
                  <w:r>
                    <w:rPr>
                      <w:rFonts w:hint="eastAsia" w:ascii="Times New Roman" w:hAnsi="Times New Roman"/>
                      <w:color w:val="auto"/>
                      <w:spacing w:val="-1"/>
                    </w:rPr>
                    <w:t>41</w:t>
                  </w:r>
                  <w:r>
                    <w:rPr>
                      <w:rFonts w:ascii="Times New Roman" w:hAnsi="Times New Roman"/>
                      <w:color w:val="auto"/>
                      <w:spacing w:val="-1"/>
                    </w:rPr>
                    <w:t xml:space="preserve">0m </w:t>
                  </w:r>
                </w:p>
              </w:tc>
              <w:tc>
                <w:tcPr>
                  <w:tcW w:w="3056" w:type="dxa"/>
                  <w:vAlign w:val="center"/>
                </w:tcPr>
                <w:p w14:paraId="473EECAE">
                  <w:pPr>
                    <w:pStyle w:val="94"/>
                    <w:rPr>
                      <w:rFonts w:ascii="Times New Roman" w:hAnsi="Times New Roman"/>
                      <w:color w:val="auto"/>
                    </w:rPr>
                  </w:pPr>
                  <w:r>
                    <w:rPr>
                      <w:color w:val="auto"/>
                    </w:rPr>
                    <w:t>执行《地表水环境质量标准》（</w:t>
                  </w:r>
                  <w:r>
                    <w:rPr>
                      <w:rFonts w:ascii="Times New Roman" w:hAnsi="Times New Roman"/>
                      <w:color w:val="auto"/>
                    </w:rPr>
                    <w:t>GB3838-2002</w:t>
                  </w:r>
                  <w:r>
                    <w:rPr>
                      <w:color w:val="auto"/>
                    </w:rPr>
                    <w:t>）</w:t>
                  </w:r>
                  <w:r>
                    <w:rPr>
                      <w:rFonts w:ascii="Times New Roman" w:hAnsi="Times New Roman"/>
                      <w:color w:val="auto"/>
                    </w:rPr>
                    <w:t>IV</w:t>
                  </w:r>
                  <w:r>
                    <w:rPr>
                      <w:color w:val="auto"/>
                    </w:rPr>
                    <w:t>类水质标准</w:t>
                  </w:r>
                </w:p>
              </w:tc>
            </w:tr>
            <w:tr w14:paraId="731FD3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1" w:hRule="atLeast"/>
              </w:trPr>
              <w:tc>
                <w:tcPr>
                  <w:tcW w:w="774" w:type="dxa"/>
                  <w:vMerge w:val="continue"/>
                  <w:vAlign w:val="center"/>
                </w:tcPr>
                <w:p w14:paraId="39D014B4">
                  <w:pPr>
                    <w:pStyle w:val="94"/>
                    <w:rPr>
                      <w:rFonts w:ascii="Times New Roman" w:hAnsi="Times New Roman"/>
                      <w:color w:val="auto"/>
                    </w:rPr>
                  </w:pPr>
                </w:p>
              </w:tc>
              <w:tc>
                <w:tcPr>
                  <w:tcW w:w="1323" w:type="dxa"/>
                  <w:vAlign w:val="center"/>
                </w:tcPr>
                <w:p w14:paraId="7EB70F95">
                  <w:pPr>
                    <w:pStyle w:val="94"/>
                    <w:rPr>
                      <w:rFonts w:ascii="Times New Roman" w:hAnsi="Times New Roman"/>
                      <w:color w:val="auto"/>
                      <w:spacing w:val="-2"/>
                    </w:rPr>
                  </w:pPr>
                  <w:r>
                    <w:rPr>
                      <w:rFonts w:hint="eastAsia"/>
                      <w:color w:val="auto"/>
                      <w:spacing w:val="-2"/>
                    </w:rPr>
                    <w:t>孟家坪沟</w:t>
                  </w:r>
                </w:p>
              </w:tc>
              <w:tc>
                <w:tcPr>
                  <w:tcW w:w="4138" w:type="dxa"/>
                  <w:vAlign w:val="center"/>
                </w:tcPr>
                <w:p w14:paraId="4FDDD14C">
                  <w:pPr>
                    <w:pStyle w:val="94"/>
                    <w:rPr>
                      <w:rFonts w:ascii="Times New Roman" w:hAnsi="Times New Roman"/>
                      <w:color w:val="auto"/>
                      <w:spacing w:val="-1"/>
                    </w:rPr>
                  </w:pPr>
                  <w:r>
                    <w:rPr>
                      <w:color w:val="auto"/>
                      <w:spacing w:val="-1"/>
                    </w:rPr>
                    <w:t>黄河一级支流，流经区块</w:t>
                  </w:r>
                  <w:r>
                    <w:rPr>
                      <w:rFonts w:hint="eastAsia"/>
                      <w:color w:val="auto"/>
                      <w:spacing w:val="-1"/>
                    </w:rPr>
                    <w:t>北</w:t>
                  </w:r>
                  <w:r>
                    <w:rPr>
                      <w:color w:val="auto"/>
                      <w:spacing w:val="-1"/>
                    </w:rPr>
                    <w:t>部，距离最近建设工程为</w:t>
                  </w:r>
                  <w:r>
                    <w:rPr>
                      <w:rFonts w:ascii="Times New Roman" w:hAnsi="Times New Roman"/>
                      <w:color w:val="auto"/>
                      <w:spacing w:val="-1"/>
                    </w:rPr>
                    <w:t>LXD</w:t>
                  </w:r>
                  <w:r>
                    <w:rPr>
                      <w:rFonts w:hint="eastAsia" w:ascii="Times New Roman" w:hAnsi="Times New Roman"/>
                      <w:color w:val="auto"/>
                      <w:spacing w:val="-1"/>
                    </w:rPr>
                    <w:t>G-13</w:t>
                  </w:r>
                  <w:r>
                    <w:rPr>
                      <w:color w:val="auto"/>
                      <w:spacing w:val="-1"/>
                    </w:rPr>
                    <w:t>井场，距离为</w:t>
                  </w:r>
                  <w:r>
                    <w:rPr>
                      <w:rFonts w:hint="eastAsia" w:ascii="Times New Roman" w:hAnsi="Times New Roman"/>
                      <w:color w:val="auto"/>
                      <w:spacing w:val="-1"/>
                    </w:rPr>
                    <w:t>696</w:t>
                  </w:r>
                  <w:r>
                    <w:rPr>
                      <w:rFonts w:ascii="Times New Roman" w:hAnsi="Times New Roman"/>
                      <w:color w:val="auto"/>
                      <w:spacing w:val="-1"/>
                    </w:rPr>
                    <w:t xml:space="preserve">m </w:t>
                  </w:r>
                </w:p>
              </w:tc>
              <w:tc>
                <w:tcPr>
                  <w:tcW w:w="3056" w:type="dxa"/>
                  <w:vAlign w:val="center"/>
                </w:tcPr>
                <w:p w14:paraId="0BB3285B">
                  <w:pPr>
                    <w:pStyle w:val="94"/>
                    <w:rPr>
                      <w:rFonts w:ascii="Times New Roman" w:hAnsi="Times New Roman"/>
                      <w:color w:val="auto"/>
                    </w:rPr>
                  </w:pPr>
                  <w:r>
                    <w:rPr>
                      <w:color w:val="auto"/>
                    </w:rPr>
                    <w:t>执行《地表水环境质量标准》（</w:t>
                  </w:r>
                  <w:r>
                    <w:rPr>
                      <w:rFonts w:ascii="Times New Roman" w:hAnsi="Times New Roman"/>
                      <w:color w:val="auto"/>
                    </w:rPr>
                    <w:t>GB3838-2002</w:t>
                  </w:r>
                  <w:r>
                    <w:rPr>
                      <w:color w:val="auto"/>
                    </w:rPr>
                    <w:t>）</w:t>
                  </w:r>
                  <w:r>
                    <w:rPr>
                      <w:rFonts w:ascii="Times New Roman" w:hAnsi="Times New Roman"/>
                      <w:color w:val="auto"/>
                    </w:rPr>
                    <w:t>V</w:t>
                  </w:r>
                  <w:r>
                    <w:rPr>
                      <w:color w:val="auto"/>
                    </w:rPr>
                    <w:t>类水质标准</w:t>
                  </w:r>
                </w:p>
              </w:tc>
            </w:tr>
          </w:tbl>
          <w:p w14:paraId="26F1333B">
            <w:pPr>
              <w:pStyle w:val="96"/>
              <w:ind w:firstLine="480"/>
            </w:pPr>
            <w:r>
              <w:rPr>
                <w:rFonts w:hint="eastAsia"/>
              </w:rPr>
              <w:t>项目井场外</w:t>
            </w:r>
            <w:r>
              <w:t>2000米范围内不存在地下水集中式饮用水水源和热水、矿泉水、温泉等特殊地下水资源</w:t>
            </w:r>
            <w:r>
              <w:rPr>
                <w:rFonts w:hint="eastAsia"/>
              </w:rPr>
              <w:t>。</w:t>
            </w:r>
          </w:p>
          <w:p w14:paraId="0E47223F">
            <w:pPr>
              <w:pStyle w:val="96"/>
              <w:ind w:firstLine="480"/>
            </w:pPr>
            <w:r>
              <w:rPr>
                <w:rFonts w:hint="eastAsia"/>
              </w:rPr>
              <w:t>项目井场外</w:t>
            </w:r>
            <w:r>
              <w:t>200</w:t>
            </w:r>
            <w:r>
              <w:rPr>
                <w:rFonts w:hint="eastAsia"/>
              </w:rPr>
              <w:t>m范围内声环境保护目标为位于</w:t>
            </w:r>
            <w:r>
              <w:t>LXDG-15</w:t>
            </w:r>
            <w:r>
              <w:rPr>
                <w:rFonts w:hint="eastAsia"/>
              </w:rPr>
              <w:t>井场西南侧1</w:t>
            </w:r>
            <w:r>
              <w:t>37</w:t>
            </w:r>
            <w:r>
              <w:rPr>
                <w:rFonts w:hint="eastAsia"/>
              </w:rPr>
              <w:t>m处的白家畔村。</w:t>
            </w:r>
          </w:p>
          <w:p w14:paraId="59F98D1F">
            <w:pPr>
              <w:pStyle w:val="96"/>
              <w:ind w:firstLine="480"/>
            </w:pPr>
            <w:r>
              <w:rPr>
                <w:rFonts w:hint="eastAsia"/>
              </w:rPr>
              <w:t>生态环境保护目标表见下表。</w:t>
            </w:r>
          </w:p>
          <w:p w14:paraId="55A7CDFB">
            <w:pPr>
              <w:pStyle w:val="19"/>
              <w:keepNext/>
            </w:pPr>
            <w:r>
              <w:t xml:space="preserve">表 </w:t>
            </w:r>
            <w:r>
              <w:fldChar w:fldCharType="begin"/>
            </w:r>
            <w:r>
              <w:instrText xml:space="preserve"> SEQ 表 \* ARABIC </w:instrText>
            </w:r>
            <w:r>
              <w:fldChar w:fldCharType="separate"/>
            </w:r>
            <w:r>
              <w:t>23</w:t>
            </w:r>
            <w:r>
              <w:fldChar w:fldCharType="end"/>
            </w:r>
            <w:r>
              <w:rPr>
                <w:rFonts w:hint="eastAsia"/>
              </w:rPr>
              <w:t>生态环境保护目标表</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26"/>
              <w:gridCol w:w="645"/>
              <w:gridCol w:w="881"/>
              <w:gridCol w:w="3488"/>
              <w:gridCol w:w="3884"/>
            </w:tblGrid>
            <w:tr w14:paraId="77638B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26" w:type="dxa"/>
                  <w:vAlign w:val="center"/>
                </w:tcPr>
                <w:p w14:paraId="2195E95B">
                  <w:pPr>
                    <w:pStyle w:val="94"/>
                    <w:rPr>
                      <w:color w:val="auto"/>
                    </w:rPr>
                  </w:pPr>
                  <w:r>
                    <w:rPr>
                      <w:rFonts w:hint="eastAsia"/>
                      <w:color w:val="auto"/>
                    </w:rPr>
                    <w:t>影响</w:t>
                  </w:r>
                </w:p>
                <w:p w14:paraId="0F26135D">
                  <w:pPr>
                    <w:pStyle w:val="94"/>
                    <w:rPr>
                      <w:color w:val="auto"/>
                    </w:rPr>
                  </w:pPr>
                  <w:r>
                    <w:rPr>
                      <w:rFonts w:hint="eastAsia"/>
                      <w:color w:val="auto"/>
                    </w:rPr>
                    <w:t>因素</w:t>
                  </w:r>
                </w:p>
              </w:tc>
              <w:tc>
                <w:tcPr>
                  <w:tcW w:w="645" w:type="dxa"/>
                  <w:noWrap/>
                  <w:vAlign w:val="center"/>
                </w:tcPr>
                <w:p w14:paraId="42C19F51">
                  <w:pPr>
                    <w:pStyle w:val="94"/>
                    <w:rPr>
                      <w:color w:val="auto"/>
                    </w:rPr>
                  </w:pPr>
                  <w:r>
                    <w:rPr>
                      <w:rFonts w:hint="eastAsia"/>
                      <w:color w:val="auto"/>
                    </w:rPr>
                    <w:t>保护目标类型</w:t>
                  </w:r>
                </w:p>
              </w:tc>
              <w:tc>
                <w:tcPr>
                  <w:tcW w:w="881" w:type="dxa"/>
                  <w:noWrap/>
                  <w:vAlign w:val="center"/>
                </w:tcPr>
                <w:p w14:paraId="1909B9AC">
                  <w:pPr>
                    <w:pStyle w:val="94"/>
                    <w:rPr>
                      <w:color w:val="auto"/>
                    </w:rPr>
                  </w:pPr>
                  <w:r>
                    <w:rPr>
                      <w:rFonts w:hint="eastAsia"/>
                      <w:color w:val="auto"/>
                    </w:rPr>
                    <w:t>环境保护对象</w:t>
                  </w:r>
                </w:p>
              </w:tc>
              <w:tc>
                <w:tcPr>
                  <w:tcW w:w="3488" w:type="dxa"/>
                  <w:noWrap/>
                  <w:vAlign w:val="center"/>
                </w:tcPr>
                <w:p w14:paraId="2524CDC2">
                  <w:pPr>
                    <w:pStyle w:val="94"/>
                    <w:rPr>
                      <w:color w:val="auto"/>
                    </w:rPr>
                  </w:pPr>
                  <w:r>
                    <w:rPr>
                      <w:rFonts w:hint="eastAsia"/>
                      <w:color w:val="auto"/>
                    </w:rPr>
                    <w:t>保护目标基本情况</w:t>
                  </w:r>
                </w:p>
              </w:tc>
              <w:tc>
                <w:tcPr>
                  <w:tcW w:w="3884" w:type="dxa"/>
                  <w:noWrap/>
                  <w:vAlign w:val="center"/>
                </w:tcPr>
                <w:p w14:paraId="0FF64FE4">
                  <w:pPr>
                    <w:pStyle w:val="94"/>
                    <w:rPr>
                      <w:color w:val="auto"/>
                    </w:rPr>
                  </w:pPr>
                  <w:r>
                    <w:rPr>
                      <w:rFonts w:hint="eastAsia"/>
                      <w:color w:val="auto"/>
                    </w:rPr>
                    <w:t>环境保护要求</w:t>
                  </w:r>
                </w:p>
              </w:tc>
            </w:tr>
            <w:tr w14:paraId="7F0823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26" w:type="dxa"/>
                  <w:vMerge w:val="restart"/>
                  <w:vAlign w:val="center"/>
                </w:tcPr>
                <w:p w14:paraId="40DB99BE">
                  <w:pPr>
                    <w:pStyle w:val="94"/>
                    <w:rPr>
                      <w:color w:val="auto"/>
                    </w:rPr>
                  </w:pPr>
                  <w:r>
                    <w:rPr>
                      <w:rFonts w:hint="eastAsia"/>
                      <w:color w:val="auto"/>
                    </w:rPr>
                    <w:t>工程占地</w:t>
                  </w:r>
                </w:p>
              </w:tc>
              <w:tc>
                <w:tcPr>
                  <w:tcW w:w="645" w:type="dxa"/>
                  <w:vMerge w:val="restart"/>
                  <w:noWrap/>
                  <w:vAlign w:val="center"/>
                </w:tcPr>
                <w:p w14:paraId="43A5E444">
                  <w:pPr>
                    <w:pStyle w:val="94"/>
                    <w:rPr>
                      <w:color w:val="auto"/>
                    </w:rPr>
                  </w:pPr>
                  <w:r>
                    <w:rPr>
                      <w:rFonts w:hint="eastAsia"/>
                      <w:color w:val="auto"/>
                    </w:rPr>
                    <w:t>重要物种</w:t>
                  </w:r>
                </w:p>
              </w:tc>
              <w:tc>
                <w:tcPr>
                  <w:tcW w:w="881" w:type="dxa"/>
                  <w:noWrap/>
                  <w:vAlign w:val="center"/>
                </w:tcPr>
                <w:p w14:paraId="4E32E12A">
                  <w:pPr>
                    <w:pStyle w:val="94"/>
                    <w:rPr>
                      <w:color w:val="auto"/>
                    </w:rPr>
                  </w:pPr>
                  <w:r>
                    <w:rPr>
                      <w:rFonts w:hint="eastAsia"/>
                      <w:color w:val="auto"/>
                    </w:rPr>
                    <w:t>重点保护</w:t>
                  </w:r>
                </w:p>
              </w:tc>
              <w:tc>
                <w:tcPr>
                  <w:tcW w:w="3488" w:type="dxa"/>
                  <w:noWrap/>
                  <w:vAlign w:val="center"/>
                </w:tcPr>
                <w:p w14:paraId="10F4E7A5">
                  <w:pPr>
                    <w:pStyle w:val="94"/>
                    <w:rPr>
                      <w:color w:val="auto"/>
                    </w:rPr>
                  </w:pPr>
                  <w:r>
                    <w:rPr>
                      <w:rFonts w:hint="eastAsia"/>
                      <w:color w:val="auto"/>
                    </w:rPr>
                    <w:t>评价范围不涉及国家重点保护野生动物、不涉及山西省重点保护野生动物</w:t>
                  </w:r>
                </w:p>
              </w:tc>
              <w:tc>
                <w:tcPr>
                  <w:tcW w:w="3884" w:type="dxa"/>
                  <w:vMerge w:val="restart"/>
                  <w:noWrap/>
                  <w:vAlign w:val="center"/>
                </w:tcPr>
                <w:p w14:paraId="1E676130">
                  <w:pPr>
                    <w:pStyle w:val="94"/>
                    <w:rPr>
                      <w:color w:val="auto"/>
                    </w:rPr>
                  </w:pPr>
                  <w:r>
                    <w:rPr>
                      <w:rFonts w:hint="eastAsia"/>
                      <w:color w:val="auto"/>
                    </w:rPr>
                    <w:t>做好施工组织工作，加强施工管理、施工人员培训；严格控制施工作业范围，严禁越界施工；设置标志牌；合理安排施工时序，避开重点保护野生动物繁殖时期；生态监测</w:t>
                  </w:r>
                </w:p>
              </w:tc>
            </w:tr>
            <w:tr w14:paraId="73EB7A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26" w:type="dxa"/>
                  <w:vMerge w:val="continue"/>
                  <w:vAlign w:val="center"/>
                </w:tcPr>
                <w:p w14:paraId="76435D17">
                  <w:pPr>
                    <w:pStyle w:val="94"/>
                    <w:rPr>
                      <w:rFonts w:cs="Times New Roman"/>
                      <w:color w:val="auto"/>
                    </w:rPr>
                  </w:pPr>
                </w:p>
              </w:tc>
              <w:tc>
                <w:tcPr>
                  <w:tcW w:w="645" w:type="dxa"/>
                  <w:vMerge w:val="continue"/>
                  <w:vAlign w:val="center"/>
                </w:tcPr>
                <w:p w14:paraId="11573591">
                  <w:pPr>
                    <w:pStyle w:val="94"/>
                    <w:rPr>
                      <w:rFonts w:cs="Times New Roman"/>
                      <w:color w:val="auto"/>
                    </w:rPr>
                  </w:pPr>
                </w:p>
              </w:tc>
              <w:tc>
                <w:tcPr>
                  <w:tcW w:w="881" w:type="dxa"/>
                  <w:noWrap/>
                  <w:vAlign w:val="center"/>
                </w:tcPr>
                <w:p w14:paraId="59AEB90A">
                  <w:pPr>
                    <w:pStyle w:val="94"/>
                    <w:rPr>
                      <w:color w:val="auto"/>
                    </w:rPr>
                  </w:pPr>
                  <w:r>
                    <w:rPr>
                      <w:rFonts w:hint="eastAsia"/>
                      <w:color w:val="auto"/>
                    </w:rPr>
                    <w:t>“三危物种”</w:t>
                  </w:r>
                </w:p>
              </w:tc>
              <w:tc>
                <w:tcPr>
                  <w:tcW w:w="3488" w:type="dxa"/>
                  <w:noWrap/>
                  <w:vAlign w:val="center"/>
                </w:tcPr>
                <w:p w14:paraId="1EFDABC5">
                  <w:pPr>
                    <w:pStyle w:val="94"/>
                    <w:rPr>
                      <w:color w:val="auto"/>
                    </w:rPr>
                  </w:pPr>
                  <w:r>
                    <w:rPr>
                      <w:rFonts w:hint="eastAsia"/>
                      <w:color w:val="auto"/>
                    </w:rPr>
                    <w:t>评价区不涉及“三危物种”物种</w:t>
                  </w:r>
                </w:p>
              </w:tc>
              <w:tc>
                <w:tcPr>
                  <w:tcW w:w="3884" w:type="dxa"/>
                  <w:vMerge w:val="continue"/>
                  <w:vAlign w:val="center"/>
                </w:tcPr>
                <w:p w14:paraId="04B37711">
                  <w:pPr>
                    <w:pStyle w:val="94"/>
                    <w:rPr>
                      <w:rFonts w:cs="Times New Roman"/>
                      <w:color w:val="auto"/>
                    </w:rPr>
                  </w:pPr>
                </w:p>
              </w:tc>
            </w:tr>
            <w:tr w14:paraId="23D91C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26" w:type="dxa"/>
                  <w:vMerge w:val="continue"/>
                  <w:vAlign w:val="center"/>
                </w:tcPr>
                <w:p w14:paraId="2BB90B3F">
                  <w:pPr>
                    <w:pStyle w:val="94"/>
                    <w:rPr>
                      <w:rFonts w:cs="Times New Roman"/>
                      <w:color w:val="auto"/>
                    </w:rPr>
                  </w:pPr>
                </w:p>
              </w:tc>
              <w:tc>
                <w:tcPr>
                  <w:tcW w:w="645" w:type="dxa"/>
                  <w:vMerge w:val="restart"/>
                  <w:noWrap/>
                  <w:vAlign w:val="center"/>
                </w:tcPr>
                <w:p w14:paraId="74F13FD5">
                  <w:pPr>
                    <w:pStyle w:val="94"/>
                    <w:rPr>
                      <w:color w:val="auto"/>
                    </w:rPr>
                  </w:pPr>
                  <w:r>
                    <w:rPr>
                      <w:rFonts w:hint="eastAsia"/>
                      <w:color w:val="auto"/>
                    </w:rPr>
                    <w:t>生态敏感区</w:t>
                  </w:r>
                </w:p>
              </w:tc>
              <w:tc>
                <w:tcPr>
                  <w:tcW w:w="881" w:type="dxa"/>
                  <w:noWrap/>
                  <w:vAlign w:val="center"/>
                </w:tcPr>
                <w:p w14:paraId="662AC750">
                  <w:pPr>
                    <w:pStyle w:val="94"/>
                    <w:rPr>
                      <w:color w:val="auto"/>
                    </w:rPr>
                  </w:pPr>
                  <w:r>
                    <w:rPr>
                      <w:rFonts w:hint="eastAsia"/>
                      <w:color w:val="auto"/>
                    </w:rPr>
                    <w:t>生态红线</w:t>
                  </w:r>
                </w:p>
              </w:tc>
              <w:tc>
                <w:tcPr>
                  <w:tcW w:w="3488" w:type="dxa"/>
                  <w:noWrap/>
                  <w:vAlign w:val="center"/>
                </w:tcPr>
                <w:p w14:paraId="122D2880">
                  <w:pPr>
                    <w:pStyle w:val="94"/>
                    <w:rPr>
                      <w:color w:val="auto"/>
                    </w:rPr>
                  </w:pPr>
                  <w:r>
                    <w:rPr>
                      <w:rFonts w:hint="eastAsia"/>
                      <w:color w:val="auto"/>
                    </w:rPr>
                    <w:t>本项目占地范围内不涉及生态红线，评价范围涉及生态红线1</w:t>
                  </w:r>
                  <w:r>
                    <w:rPr>
                      <w:color w:val="auto"/>
                    </w:rPr>
                    <w:t>72.38</w:t>
                  </w:r>
                  <w:r>
                    <w:rPr>
                      <w:rFonts w:hint="eastAsia"/>
                      <w:color w:val="auto"/>
                    </w:rPr>
                    <w:t>ha</w:t>
                  </w:r>
                </w:p>
              </w:tc>
              <w:tc>
                <w:tcPr>
                  <w:tcW w:w="3884" w:type="dxa"/>
                  <w:noWrap/>
                  <w:vAlign w:val="center"/>
                </w:tcPr>
                <w:p w14:paraId="69776135">
                  <w:pPr>
                    <w:pStyle w:val="94"/>
                    <w:rPr>
                      <w:color w:val="auto"/>
                    </w:rPr>
                  </w:pPr>
                  <w:r>
                    <w:rPr>
                      <w:rFonts w:hint="eastAsia"/>
                      <w:color w:val="auto"/>
                    </w:rPr>
                    <w:t>严格控制施工作业范围，禁止越界进入生态保护红线内施工</w:t>
                  </w:r>
                </w:p>
              </w:tc>
            </w:tr>
            <w:tr w14:paraId="1348DC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26" w:type="dxa"/>
                  <w:vMerge w:val="continue"/>
                  <w:vAlign w:val="center"/>
                </w:tcPr>
                <w:p w14:paraId="5B2BEEF4">
                  <w:pPr>
                    <w:pStyle w:val="94"/>
                    <w:rPr>
                      <w:rFonts w:cs="Times New Roman"/>
                      <w:color w:val="auto"/>
                    </w:rPr>
                  </w:pPr>
                </w:p>
              </w:tc>
              <w:tc>
                <w:tcPr>
                  <w:tcW w:w="645" w:type="dxa"/>
                  <w:vMerge w:val="continue"/>
                  <w:vAlign w:val="center"/>
                </w:tcPr>
                <w:p w14:paraId="3F7AF5C2">
                  <w:pPr>
                    <w:pStyle w:val="94"/>
                    <w:rPr>
                      <w:rFonts w:cs="Times New Roman"/>
                      <w:color w:val="auto"/>
                    </w:rPr>
                  </w:pPr>
                </w:p>
              </w:tc>
              <w:tc>
                <w:tcPr>
                  <w:tcW w:w="881" w:type="dxa"/>
                  <w:noWrap/>
                  <w:vAlign w:val="center"/>
                </w:tcPr>
                <w:p w14:paraId="6B32FBA0">
                  <w:pPr>
                    <w:pStyle w:val="94"/>
                    <w:rPr>
                      <w:color w:val="auto"/>
                    </w:rPr>
                  </w:pPr>
                  <w:r>
                    <w:rPr>
                      <w:rFonts w:hint="eastAsia"/>
                      <w:color w:val="auto"/>
                    </w:rPr>
                    <w:t>公益林</w:t>
                  </w:r>
                </w:p>
              </w:tc>
              <w:tc>
                <w:tcPr>
                  <w:tcW w:w="3488" w:type="dxa"/>
                  <w:noWrap/>
                  <w:vAlign w:val="center"/>
                </w:tcPr>
                <w:p w14:paraId="1DEC1566">
                  <w:pPr>
                    <w:pStyle w:val="94"/>
                    <w:rPr>
                      <w:color w:val="auto"/>
                    </w:rPr>
                  </w:pPr>
                  <w:r>
                    <w:rPr>
                      <w:rFonts w:hint="eastAsia"/>
                      <w:color w:val="auto"/>
                    </w:rPr>
                    <w:t>评价范围内涉及国家二级公益林、Ⅱ级保护林地</w:t>
                  </w:r>
                  <w:r>
                    <w:rPr>
                      <w:color w:val="auto"/>
                    </w:rPr>
                    <w:t>0.048</w:t>
                  </w:r>
                  <w:r>
                    <w:rPr>
                      <w:rFonts w:hint="eastAsia"/>
                      <w:color w:val="auto"/>
                    </w:rPr>
                    <w:t>ha，本项目占地范围内不涉及国家二级公益林、Ⅱ级保护林地，仅L</w:t>
                  </w:r>
                  <w:r>
                    <w:rPr>
                      <w:color w:val="auto"/>
                    </w:rPr>
                    <w:t>XD3-9</w:t>
                  </w:r>
                  <w:r>
                    <w:rPr>
                      <w:rFonts w:hint="eastAsia"/>
                      <w:color w:val="auto"/>
                    </w:rPr>
                    <w:t>井场道路涉及占用地方公益林1</w:t>
                  </w:r>
                  <w:r>
                    <w:rPr>
                      <w:color w:val="auto"/>
                    </w:rPr>
                    <w:t>03.37</w:t>
                  </w:r>
                  <w:r>
                    <w:rPr>
                      <w:rFonts w:hint="eastAsia"/>
                      <w:color w:val="auto"/>
                    </w:rPr>
                    <w:t>ha，其余工程均不涉及占用地方公益林</w:t>
                  </w:r>
                </w:p>
              </w:tc>
              <w:tc>
                <w:tcPr>
                  <w:tcW w:w="3884" w:type="dxa"/>
                  <w:noWrap/>
                  <w:vAlign w:val="center"/>
                </w:tcPr>
                <w:p w14:paraId="04FDAFAB">
                  <w:pPr>
                    <w:pStyle w:val="94"/>
                    <w:rPr>
                      <w:color w:val="auto"/>
                    </w:rPr>
                  </w:pPr>
                  <w:r>
                    <w:rPr>
                      <w:rFonts w:hint="eastAsia"/>
                      <w:color w:val="auto"/>
                    </w:rPr>
                    <w:t>不占用国家公益林，施工结束后及时进行覆土恢复植被。</w:t>
                  </w:r>
                </w:p>
              </w:tc>
            </w:tr>
            <w:tr w14:paraId="0DC529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26" w:type="dxa"/>
                  <w:vMerge w:val="continue"/>
                  <w:vAlign w:val="center"/>
                </w:tcPr>
                <w:p w14:paraId="6D4ABE31">
                  <w:pPr>
                    <w:pStyle w:val="94"/>
                    <w:rPr>
                      <w:rFonts w:cs="Times New Roman"/>
                      <w:color w:val="auto"/>
                    </w:rPr>
                  </w:pPr>
                </w:p>
              </w:tc>
              <w:tc>
                <w:tcPr>
                  <w:tcW w:w="645" w:type="dxa"/>
                  <w:vMerge w:val="continue"/>
                  <w:vAlign w:val="center"/>
                </w:tcPr>
                <w:p w14:paraId="676F6053">
                  <w:pPr>
                    <w:pStyle w:val="94"/>
                    <w:rPr>
                      <w:rFonts w:cs="Times New Roman"/>
                      <w:color w:val="auto"/>
                    </w:rPr>
                  </w:pPr>
                </w:p>
              </w:tc>
              <w:tc>
                <w:tcPr>
                  <w:tcW w:w="881" w:type="dxa"/>
                  <w:noWrap/>
                  <w:vAlign w:val="center"/>
                </w:tcPr>
                <w:p w14:paraId="36CF3A2D">
                  <w:pPr>
                    <w:pStyle w:val="94"/>
                    <w:rPr>
                      <w:color w:val="auto"/>
                    </w:rPr>
                  </w:pPr>
                  <w:r>
                    <w:rPr>
                      <w:rFonts w:hint="eastAsia"/>
                      <w:color w:val="auto"/>
                    </w:rPr>
                    <w:t>基本农田</w:t>
                  </w:r>
                </w:p>
              </w:tc>
              <w:tc>
                <w:tcPr>
                  <w:tcW w:w="3488" w:type="dxa"/>
                  <w:noWrap/>
                  <w:vAlign w:val="center"/>
                </w:tcPr>
                <w:p w14:paraId="46F7AB03">
                  <w:pPr>
                    <w:pStyle w:val="94"/>
                    <w:rPr>
                      <w:color w:val="auto"/>
                    </w:rPr>
                  </w:pPr>
                  <w:r>
                    <w:rPr>
                      <w:rFonts w:hint="eastAsia"/>
                      <w:color w:val="auto"/>
                    </w:rPr>
                    <w:t>项目井场、道路等占地范围内不涉及占用基本农田，评价范围共涉及基本农田</w:t>
                  </w:r>
                  <w:r>
                    <w:rPr>
                      <w:color w:val="auto"/>
                    </w:rPr>
                    <w:t>84.47</w:t>
                  </w:r>
                  <w:r>
                    <w:rPr>
                      <w:rFonts w:hint="eastAsia"/>
                      <w:color w:val="auto"/>
                    </w:rPr>
                    <w:t>hm</w:t>
                  </w:r>
                  <w:r>
                    <w:rPr>
                      <w:rFonts w:hint="eastAsia"/>
                      <w:color w:val="auto"/>
                      <w:vertAlign w:val="superscript"/>
                    </w:rPr>
                    <w:t>2，</w:t>
                  </w:r>
                  <w:r>
                    <w:rPr>
                      <w:rFonts w:hint="eastAsia"/>
                      <w:color w:val="auto"/>
                    </w:rPr>
                    <w:t>具体见附图</w:t>
                  </w:r>
                </w:p>
              </w:tc>
              <w:tc>
                <w:tcPr>
                  <w:tcW w:w="3884" w:type="dxa"/>
                  <w:noWrap/>
                  <w:vAlign w:val="center"/>
                </w:tcPr>
                <w:p w14:paraId="266863B0">
                  <w:pPr>
                    <w:pStyle w:val="94"/>
                    <w:rPr>
                      <w:color w:val="auto"/>
                    </w:rPr>
                  </w:pPr>
                  <w:r>
                    <w:rPr>
                      <w:rFonts w:hint="eastAsia"/>
                      <w:color w:val="auto"/>
                    </w:rPr>
                    <w:t>项目井场、道路等占地范围内不占基本农田，尽量不影响农业生产季节进行施工，确保农业产量不减少</w:t>
                  </w:r>
                </w:p>
              </w:tc>
            </w:tr>
            <w:tr w14:paraId="0E132C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26" w:type="dxa"/>
                  <w:vMerge w:val="continue"/>
                  <w:vAlign w:val="center"/>
                </w:tcPr>
                <w:p w14:paraId="5FD080C4">
                  <w:pPr>
                    <w:pStyle w:val="94"/>
                    <w:rPr>
                      <w:rFonts w:cs="Times New Roman"/>
                      <w:color w:val="auto"/>
                    </w:rPr>
                  </w:pPr>
                </w:p>
              </w:tc>
              <w:tc>
                <w:tcPr>
                  <w:tcW w:w="645" w:type="dxa"/>
                  <w:vAlign w:val="center"/>
                </w:tcPr>
                <w:p w14:paraId="5CE8D0F1">
                  <w:pPr>
                    <w:pStyle w:val="94"/>
                    <w:rPr>
                      <w:color w:val="auto"/>
                    </w:rPr>
                  </w:pPr>
                  <w:r>
                    <w:rPr>
                      <w:rFonts w:hint="eastAsia"/>
                      <w:color w:val="auto"/>
                    </w:rPr>
                    <w:t>其他生态保护目标</w:t>
                  </w:r>
                </w:p>
              </w:tc>
              <w:tc>
                <w:tcPr>
                  <w:tcW w:w="881" w:type="dxa"/>
                  <w:noWrap/>
                  <w:vAlign w:val="center"/>
                </w:tcPr>
                <w:p w14:paraId="6AA4A369">
                  <w:pPr>
                    <w:pStyle w:val="94"/>
                    <w:rPr>
                      <w:color w:val="auto"/>
                    </w:rPr>
                  </w:pPr>
                  <w:r>
                    <w:rPr>
                      <w:rFonts w:hint="eastAsia"/>
                      <w:color w:val="auto"/>
                    </w:rPr>
                    <w:t>水土流失重点治理区</w:t>
                  </w:r>
                </w:p>
              </w:tc>
              <w:tc>
                <w:tcPr>
                  <w:tcW w:w="3488" w:type="dxa"/>
                  <w:noWrap/>
                  <w:vAlign w:val="center"/>
                </w:tcPr>
                <w:p w14:paraId="491DE8A2">
                  <w:pPr>
                    <w:pStyle w:val="94"/>
                    <w:rPr>
                      <w:color w:val="auto"/>
                    </w:rPr>
                  </w:pPr>
                  <w:r>
                    <w:rPr>
                      <w:rFonts w:hint="eastAsia"/>
                      <w:color w:val="auto"/>
                    </w:rPr>
                    <w:t>根据《山西省人民政府关于划分水土流失重点防治区的公告》(晋政发 ( 1998 )42号)，本项目位于黄河多沙粗沙国家级水土流失重点治理区</w:t>
                  </w:r>
                </w:p>
              </w:tc>
              <w:tc>
                <w:tcPr>
                  <w:tcW w:w="3884" w:type="dxa"/>
                  <w:noWrap/>
                  <w:vAlign w:val="center"/>
                </w:tcPr>
                <w:p w14:paraId="1B726180">
                  <w:pPr>
                    <w:pStyle w:val="94"/>
                    <w:rPr>
                      <w:color w:val="auto"/>
                    </w:rPr>
                  </w:pPr>
                  <w:r>
                    <w:rPr>
                      <w:rFonts w:hint="eastAsia"/>
                      <w:color w:val="auto"/>
                    </w:rPr>
                    <w:t>严格控制施工作业范围，做好施工期水土流失防治措施、生态恢复措施</w:t>
                  </w:r>
                </w:p>
              </w:tc>
            </w:tr>
          </w:tbl>
          <w:p w14:paraId="109AB759">
            <w:pPr>
              <w:adjustRightInd w:val="0"/>
              <w:snapToGrid w:val="0"/>
              <w:spacing w:line="360" w:lineRule="auto"/>
              <w:ind w:firstLine="480" w:firstLineChars="200"/>
              <w:rPr>
                <w:kern w:val="0"/>
                <w:sz w:val="24"/>
              </w:rPr>
            </w:pPr>
          </w:p>
        </w:tc>
      </w:tr>
      <w:tr w14:paraId="341F92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2211" w:hRule="atLeast"/>
          <w:jc w:val="center"/>
        </w:trPr>
        <w:tc>
          <w:tcPr>
            <w:tcW w:w="710" w:type="dxa"/>
            <w:vAlign w:val="center"/>
          </w:tcPr>
          <w:p w14:paraId="1B2A3AC8">
            <w:pPr>
              <w:adjustRightInd w:val="0"/>
              <w:snapToGrid w:val="0"/>
              <w:jc w:val="center"/>
              <w:rPr>
                <w:kern w:val="0"/>
                <w:sz w:val="24"/>
              </w:rPr>
            </w:pPr>
            <w:r>
              <w:rPr>
                <w:kern w:val="0"/>
                <w:sz w:val="24"/>
              </w:rPr>
              <w:t>评价</w:t>
            </w:r>
          </w:p>
          <w:p w14:paraId="3E1DC5DA">
            <w:pPr>
              <w:adjustRightInd w:val="0"/>
              <w:snapToGrid w:val="0"/>
              <w:jc w:val="center"/>
              <w:rPr>
                <w:kern w:val="0"/>
                <w:sz w:val="24"/>
              </w:rPr>
            </w:pPr>
            <w:r>
              <w:rPr>
                <w:kern w:val="0"/>
                <w:sz w:val="24"/>
              </w:rPr>
              <w:t>标准</w:t>
            </w:r>
          </w:p>
        </w:tc>
        <w:tc>
          <w:tcPr>
            <w:tcW w:w="8447" w:type="dxa"/>
            <w:vAlign w:val="center"/>
          </w:tcPr>
          <w:p w14:paraId="173C02B5">
            <w:pPr>
              <w:pStyle w:val="96"/>
              <w:ind w:firstLine="0" w:firstLineChars="0"/>
              <w:rPr>
                <w:b/>
                <w:bCs/>
              </w:rPr>
            </w:pPr>
            <w:r>
              <w:rPr>
                <w:rFonts w:hint="eastAsia"/>
                <w:b/>
                <w:bCs/>
              </w:rPr>
              <w:t>1、</w:t>
            </w:r>
            <w:r>
              <w:rPr>
                <w:b/>
                <w:bCs/>
              </w:rPr>
              <w:t>环境质量标准</w:t>
            </w:r>
          </w:p>
          <w:p w14:paraId="74408A4E">
            <w:pPr>
              <w:pStyle w:val="96"/>
              <w:ind w:firstLine="480"/>
            </w:pPr>
            <w:r>
              <w:rPr>
                <w:rFonts w:hint="eastAsia"/>
              </w:rPr>
              <w:t>（1）环境</w:t>
            </w:r>
            <w:r>
              <w:t>空气</w:t>
            </w:r>
          </w:p>
          <w:p w14:paraId="6B06C726">
            <w:pPr>
              <w:pStyle w:val="96"/>
              <w:ind w:firstLine="480"/>
            </w:pPr>
            <w:r>
              <w:t>本项目所辖区为居住、商业交通居民混合区，根据《环境空气质量标准》（GB3095-2012）二类功能区的规定：城镇规划中确定的居住区、商业交通居民混合区、文化区、一般工业区和农村地区，本项目的环境空气质量功能区划分为二类功能区，执行《环境空气质量标准》中的二级标准。</w:t>
            </w:r>
          </w:p>
          <w:p w14:paraId="7E12DD89">
            <w:pPr>
              <w:pStyle w:val="19"/>
              <w:keepNext/>
            </w:pPr>
            <w:r>
              <w:t xml:space="preserve">表 </w:t>
            </w:r>
            <w:r>
              <w:fldChar w:fldCharType="begin"/>
            </w:r>
            <w:r>
              <w:instrText xml:space="preserve"> SEQ 表 \* ARABIC </w:instrText>
            </w:r>
            <w:r>
              <w:fldChar w:fldCharType="separate"/>
            </w:r>
            <w:r>
              <w:t>24</w:t>
            </w:r>
            <w:r>
              <w:fldChar w:fldCharType="end"/>
            </w:r>
            <w:r>
              <w:rPr>
                <w:rFonts w:hint="eastAsia"/>
              </w:rPr>
              <w:t>环境空气质量标准</w:t>
            </w:r>
          </w:p>
          <w:tbl>
            <w:tblPr>
              <w:tblStyle w:val="7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 w:type="dxa"/>
                <w:bottom w:w="0" w:type="dxa"/>
                <w:right w:w="10" w:type="dxa"/>
              </w:tblCellMar>
            </w:tblPr>
            <w:tblGrid>
              <w:gridCol w:w="1147"/>
              <w:gridCol w:w="1048"/>
              <w:gridCol w:w="1145"/>
              <w:gridCol w:w="1783"/>
              <w:gridCol w:w="2566"/>
              <w:gridCol w:w="1635"/>
            </w:tblGrid>
            <w:tr w14:paraId="7E55DB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cantSplit/>
                <w:jc w:val="center"/>
              </w:trPr>
              <w:tc>
                <w:tcPr>
                  <w:tcW w:w="615" w:type="pct"/>
                  <w:vAlign w:val="center"/>
                </w:tcPr>
                <w:p w14:paraId="34C9BDCB">
                  <w:pPr>
                    <w:pStyle w:val="94"/>
                    <w:rPr>
                      <w:color w:val="auto"/>
                    </w:rPr>
                  </w:pPr>
                  <w:r>
                    <w:rPr>
                      <w:color w:val="auto"/>
                    </w:rPr>
                    <w:t>污染物</w:t>
                  </w:r>
                </w:p>
              </w:tc>
              <w:tc>
                <w:tcPr>
                  <w:tcW w:w="562" w:type="pct"/>
                  <w:vAlign w:val="center"/>
                </w:tcPr>
                <w:p w14:paraId="3A82D350">
                  <w:pPr>
                    <w:pStyle w:val="94"/>
                    <w:rPr>
                      <w:color w:val="auto"/>
                    </w:rPr>
                  </w:pPr>
                  <w:r>
                    <w:rPr>
                      <w:color w:val="auto"/>
                    </w:rPr>
                    <w:t>单位</w:t>
                  </w:r>
                </w:p>
              </w:tc>
              <w:tc>
                <w:tcPr>
                  <w:tcW w:w="614" w:type="pct"/>
                  <w:vAlign w:val="center"/>
                </w:tcPr>
                <w:p w14:paraId="47F1713D">
                  <w:pPr>
                    <w:pStyle w:val="94"/>
                    <w:rPr>
                      <w:color w:val="auto"/>
                    </w:rPr>
                  </w:pPr>
                  <w:r>
                    <w:rPr>
                      <w:color w:val="auto"/>
                    </w:rPr>
                    <w:t>年平均</w:t>
                  </w:r>
                </w:p>
              </w:tc>
              <w:tc>
                <w:tcPr>
                  <w:tcW w:w="956" w:type="pct"/>
                  <w:vAlign w:val="center"/>
                </w:tcPr>
                <w:p w14:paraId="14920E73">
                  <w:pPr>
                    <w:pStyle w:val="94"/>
                    <w:rPr>
                      <w:color w:val="auto"/>
                    </w:rPr>
                  </w:pPr>
                  <w:r>
                    <w:rPr>
                      <w:color w:val="auto"/>
                    </w:rPr>
                    <w:t>24小时平均</w:t>
                  </w:r>
                </w:p>
              </w:tc>
              <w:tc>
                <w:tcPr>
                  <w:tcW w:w="1376" w:type="pct"/>
                  <w:vAlign w:val="center"/>
                </w:tcPr>
                <w:p w14:paraId="42410AB9">
                  <w:pPr>
                    <w:pStyle w:val="94"/>
                    <w:rPr>
                      <w:color w:val="auto"/>
                    </w:rPr>
                  </w:pPr>
                  <w:r>
                    <w:rPr>
                      <w:rFonts w:hint="eastAsia"/>
                      <w:color w:val="auto"/>
                    </w:rPr>
                    <w:t>日</w:t>
                  </w:r>
                  <w:r>
                    <w:rPr>
                      <w:color w:val="auto"/>
                    </w:rPr>
                    <w:t>最大</w:t>
                  </w:r>
                  <w:r>
                    <w:rPr>
                      <w:rFonts w:hint="eastAsia"/>
                      <w:color w:val="auto"/>
                    </w:rPr>
                    <w:t>8小时平均</w:t>
                  </w:r>
                </w:p>
              </w:tc>
              <w:tc>
                <w:tcPr>
                  <w:tcW w:w="878" w:type="pct"/>
                  <w:vAlign w:val="center"/>
                </w:tcPr>
                <w:p w14:paraId="544536D8">
                  <w:pPr>
                    <w:pStyle w:val="94"/>
                    <w:rPr>
                      <w:color w:val="auto"/>
                    </w:rPr>
                  </w:pPr>
                  <w:r>
                    <w:rPr>
                      <w:color w:val="auto"/>
                    </w:rPr>
                    <w:t>1小时平均</w:t>
                  </w:r>
                </w:p>
              </w:tc>
            </w:tr>
            <w:tr w14:paraId="489B0F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cantSplit/>
                <w:jc w:val="center"/>
              </w:trPr>
              <w:tc>
                <w:tcPr>
                  <w:tcW w:w="615" w:type="pct"/>
                  <w:vAlign w:val="center"/>
                </w:tcPr>
                <w:p w14:paraId="3EE2FCAC">
                  <w:pPr>
                    <w:pStyle w:val="94"/>
                    <w:rPr>
                      <w:color w:val="auto"/>
                    </w:rPr>
                  </w:pPr>
                  <w:r>
                    <w:rPr>
                      <w:color w:val="auto"/>
                    </w:rPr>
                    <w:t>SO</w:t>
                  </w:r>
                  <w:r>
                    <w:rPr>
                      <w:color w:val="auto"/>
                      <w:vertAlign w:val="subscript"/>
                    </w:rPr>
                    <w:t>2</w:t>
                  </w:r>
                </w:p>
              </w:tc>
              <w:tc>
                <w:tcPr>
                  <w:tcW w:w="562" w:type="pct"/>
                  <w:vAlign w:val="center"/>
                </w:tcPr>
                <w:p w14:paraId="250429C7">
                  <w:pPr>
                    <w:pStyle w:val="94"/>
                    <w:rPr>
                      <w:color w:val="auto"/>
                    </w:rPr>
                  </w:pPr>
                  <w:r>
                    <w:rPr>
                      <w:color w:val="auto"/>
                    </w:rPr>
                    <w:t>μg/m</w:t>
                  </w:r>
                  <w:r>
                    <w:rPr>
                      <w:color w:val="auto"/>
                      <w:vertAlign w:val="superscript"/>
                    </w:rPr>
                    <w:t>3</w:t>
                  </w:r>
                </w:p>
              </w:tc>
              <w:tc>
                <w:tcPr>
                  <w:tcW w:w="614" w:type="pct"/>
                  <w:vAlign w:val="center"/>
                </w:tcPr>
                <w:p w14:paraId="2BC38239">
                  <w:pPr>
                    <w:pStyle w:val="94"/>
                    <w:rPr>
                      <w:color w:val="auto"/>
                    </w:rPr>
                  </w:pPr>
                  <w:r>
                    <w:rPr>
                      <w:color w:val="auto"/>
                    </w:rPr>
                    <w:t>60</w:t>
                  </w:r>
                </w:p>
              </w:tc>
              <w:tc>
                <w:tcPr>
                  <w:tcW w:w="956" w:type="pct"/>
                  <w:vAlign w:val="center"/>
                </w:tcPr>
                <w:p w14:paraId="066790C3">
                  <w:pPr>
                    <w:pStyle w:val="94"/>
                    <w:rPr>
                      <w:color w:val="auto"/>
                    </w:rPr>
                  </w:pPr>
                  <w:r>
                    <w:rPr>
                      <w:color w:val="auto"/>
                    </w:rPr>
                    <w:t>150</w:t>
                  </w:r>
                </w:p>
              </w:tc>
              <w:tc>
                <w:tcPr>
                  <w:tcW w:w="1376" w:type="pct"/>
                  <w:vAlign w:val="center"/>
                </w:tcPr>
                <w:p w14:paraId="4E294A54">
                  <w:pPr>
                    <w:pStyle w:val="94"/>
                    <w:rPr>
                      <w:color w:val="auto"/>
                    </w:rPr>
                  </w:pPr>
                  <w:r>
                    <w:rPr>
                      <w:rFonts w:hint="eastAsia"/>
                      <w:color w:val="auto"/>
                    </w:rPr>
                    <w:t>/</w:t>
                  </w:r>
                </w:p>
              </w:tc>
              <w:tc>
                <w:tcPr>
                  <w:tcW w:w="878" w:type="pct"/>
                  <w:vAlign w:val="center"/>
                </w:tcPr>
                <w:p w14:paraId="211548EA">
                  <w:pPr>
                    <w:pStyle w:val="94"/>
                    <w:rPr>
                      <w:color w:val="auto"/>
                    </w:rPr>
                  </w:pPr>
                  <w:r>
                    <w:rPr>
                      <w:color w:val="auto"/>
                    </w:rPr>
                    <w:t>500</w:t>
                  </w:r>
                </w:p>
              </w:tc>
            </w:tr>
            <w:tr w14:paraId="4CA8BF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cantSplit/>
                <w:jc w:val="center"/>
              </w:trPr>
              <w:tc>
                <w:tcPr>
                  <w:tcW w:w="615" w:type="pct"/>
                  <w:vAlign w:val="center"/>
                </w:tcPr>
                <w:p w14:paraId="7F9C4719">
                  <w:pPr>
                    <w:pStyle w:val="94"/>
                    <w:rPr>
                      <w:color w:val="auto"/>
                    </w:rPr>
                  </w:pPr>
                  <w:r>
                    <w:rPr>
                      <w:color w:val="auto"/>
                    </w:rPr>
                    <w:t>NO</w:t>
                  </w:r>
                  <w:r>
                    <w:rPr>
                      <w:color w:val="auto"/>
                      <w:vertAlign w:val="subscript"/>
                    </w:rPr>
                    <w:t>2</w:t>
                  </w:r>
                </w:p>
              </w:tc>
              <w:tc>
                <w:tcPr>
                  <w:tcW w:w="562" w:type="pct"/>
                  <w:vAlign w:val="center"/>
                </w:tcPr>
                <w:p w14:paraId="296075D5">
                  <w:pPr>
                    <w:pStyle w:val="94"/>
                    <w:rPr>
                      <w:color w:val="auto"/>
                    </w:rPr>
                  </w:pPr>
                  <w:r>
                    <w:rPr>
                      <w:color w:val="auto"/>
                    </w:rPr>
                    <w:t>μg/m</w:t>
                  </w:r>
                  <w:r>
                    <w:rPr>
                      <w:color w:val="auto"/>
                      <w:vertAlign w:val="superscript"/>
                    </w:rPr>
                    <w:t>3</w:t>
                  </w:r>
                </w:p>
              </w:tc>
              <w:tc>
                <w:tcPr>
                  <w:tcW w:w="614" w:type="pct"/>
                  <w:vAlign w:val="center"/>
                </w:tcPr>
                <w:p w14:paraId="749527A5">
                  <w:pPr>
                    <w:pStyle w:val="94"/>
                    <w:rPr>
                      <w:color w:val="auto"/>
                    </w:rPr>
                  </w:pPr>
                  <w:r>
                    <w:rPr>
                      <w:color w:val="auto"/>
                    </w:rPr>
                    <w:t>40</w:t>
                  </w:r>
                </w:p>
              </w:tc>
              <w:tc>
                <w:tcPr>
                  <w:tcW w:w="956" w:type="pct"/>
                  <w:vAlign w:val="center"/>
                </w:tcPr>
                <w:p w14:paraId="191ED8C9">
                  <w:pPr>
                    <w:pStyle w:val="94"/>
                    <w:rPr>
                      <w:color w:val="auto"/>
                    </w:rPr>
                  </w:pPr>
                  <w:r>
                    <w:rPr>
                      <w:color w:val="auto"/>
                    </w:rPr>
                    <w:t>80</w:t>
                  </w:r>
                </w:p>
              </w:tc>
              <w:tc>
                <w:tcPr>
                  <w:tcW w:w="1376" w:type="pct"/>
                  <w:vAlign w:val="center"/>
                </w:tcPr>
                <w:p w14:paraId="4F6F439A">
                  <w:pPr>
                    <w:pStyle w:val="94"/>
                    <w:rPr>
                      <w:color w:val="auto"/>
                    </w:rPr>
                  </w:pPr>
                  <w:r>
                    <w:rPr>
                      <w:rFonts w:hint="eastAsia"/>
                      <w:color w:val="auto"/>
                    </w:rPr>
                    <w:t>/</w:t>
                  </w:r>
                </w:p>
              </w:tc>
              <w:tc>
                <w:tcPr>
                  <w:tcW w:w="878" w:type="pct"/>
                  <w:vAlign w:val="center"/>
                </w:tcPr>
                <w:p w14:paraId="7A8147B4">
                  <w:pPr>
                    <w:pStyle w:val="94"/>
                    <w:rPr>
                      <w:color w:val="auto"/>
                    </w:rPr>
                  </w:pPr>
                  <w:r>
                    <w:rPr>
                      <w:color w:val="auto"/>
                    </w:rPr>
                    <w:t>200</w:t>
                  </w:r>
                </w:p>
              </w:tc>
            </w:tr>
            <w:tr w14:paraId="645FBA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cantSplit/>
                <w:jc w:val="center"/>
              </w:trPr>
              <w:tc>
                <w:tcPr>
                  <w:tcW w:w="615" w:type="pct"/>
                  <w:vAlign w:val="center"/>
                </w:tcPr>
                <w:p w14:paraId="00CD1581">
                  <w:pPr>
                    <w:pStyle w:val="94"/>
                    <w:rPr>
                      <w:color w:val="auto"/>
                    </w:rPr>
                  </w:pPr>
                  <w:r>
                    <w:rPr>
                      <w:color w:val="auto"/>
                    </w:rPr>
                    <w:t>PM</w:t>
                  </w:r>
                  <w:r>
                    <w:rPr>
                      <w:color w:val="auto"/>
                      <w:vertAlign w:val="subscript"/>
                    </w:rPr>
                    <w:t>10</w:t>
                  </w:r>
                </w:p>
              </w:tc>
              <w:tc>
                <w:tcPr>
                  <w:tcW w:w="562" w:type="pct"/>
                  <w:vAlign w:val="center"/>
                </w:tcPr>
                <w:p w14:paraId="56BEB34E">
                  <w:pPr>
                    <w:pStyle w:val="94"/>
                    <w:rPr>
                      <w:color w:val="auto"/>
                    </w:rPr>
                  </w:pPr>
                  <w:r>
                    <w:rPr>
                      <w:color w:val="auto"/>
                    </w:rPr>
                    <w:t>μg/m</w:t>
                  </w:r>
                  <w:r>
                    <w:rPr>
                      <w:color w:val="auto"/>
                      <w:vertAlign w:val="superscript"/>
                    </w:rPr>
                    <w:t>3</w:t>
                  </w:r>
                </w:p>
              </w:tc>
              <w:tc>
                <w:tcPr>
                  <w:tcW w:w="614" w:type="pct"/>
                  <w:vAlign w:val="center"/>
                </w:tcPr>
                <w:p w14:paraId="6CF18F13">
                  <w:pPr>
                    <w:pStyle w:val="94"/>
                    <w:rPr>
                      <w:color w:val="auto"/>
                    </w:rPr>
                  </w:pPr>
                  <w:r>
                    <w:rPr>
                      <w:color w:val="auto"/>
                    </w:rPr>
                    <w:t>70</w:t>
                  </w:r>
                </w:p>
              </w:tc>
              <w:tc>
                <w:tcPr>
                  <w:tcW w:w="956" w:type="pct"/>
                  <w:vAlign w:val="center"/>
                </w:tcPr>
                <w:p w14:paraId="0A0ACC1C">
                  <w:pPr>
                    <w:pStyle w:val="94"/>
                    <w:rPr>
                      <w:color w:val="auto"/>
                    </w:rPr>
                  </w:pPr>
                  <w:r>
                    <w:rPr>
                      <w:color w:val="auto"/>
                    </w:rPr>
                    <w:t>150</w:t>
                  </w:r>
                </w:p>
              </w:tc>
              <w:tc>
                <w:tcPr>
                  <w:tcW w:w="1376" w:type="pct"/>
                  <w:vAlign w:val="center"/>
                </w:tcPr>
                <w:p w14:paraId="5B44F98E">
                  <w:pPr>
                    <w:pStyle w:val="94"/>
                    <w:rPr>
                      <w:color w:val="auto"/>
                    </w:rPr>
                  </w:pPr>
                  <w:r>
                    <w:rPr>
                      <w:rFonts w:hint="eastAsia"/>
                      <w:color w:val="auto"/>
                    </w:rPr>
                    <w:t>/</w:t>
                  </w:r>
                </w:p>
              </w:tc>
              <w:tc>
                <w:tcPr>
                  <w:tcW w:w="878" w:type="pct"/>
                  <w:vAlign w:val="center"/>
                </w:tcPr>
                <w:p w14:paraId="00269CF3">
                  <w:pPr>
                    <w:pStyle w:val="94"/>
                    <w:rPr>
                      <w:color w:val="auto"/>
                    </w:rPr>
                  </w:pPr>
                  <w:r>
                    <w:rPr>
                      <w:color w:val="auto"/>
                    </w:rPr>
                    <w:t>/</w:t>
                  </w:r>
                </w:p>
              </w:tc>
            </w:tr>
            <w:tr w14:paraId="28649D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cantSplit/>
                <w:jc w:val="center"/>
              </w:trPr>
              <w:tc>
                <w:tcPr>
                  <w:tcW w:w="615" w:type="pct"/>
                  <w:vAlign w:val="center"/>
                </w:tcPr>
                <w:p w14:paraId="47701DF2">
                  <w:pPr>
                    <w:pStyle w:val="94"/>
                    <w:rPr>
                      <w:color w:val="auto"/>
                    </w:rPr>
                  </w:pPr>
                  <w:r>
                    <w:rPr>
                      <w:color w:val="auto"/>
                    </w:rPr>
                    <w:t>PM</w:t>
                  </w:r>
                  <w:r>
                    <w:rPr>
                      <w:color w:val="auto"/>
                      <w:vertAlign w:val="subscript"/>
                    </w:rPr>
                    <w:t>2.5</w:t>
                  </w:r>
                </w:p>
              </w:tc>
              <w:tc>
                <w:tcPr>
                  <w:tcW w:w="562" w:type="pct"/>
                  <w:vAlign w:val="center"/>
                </w:tcPr>
                <w:p w14:paraId="3339A3C2">
                  <w:pPr>
                    <w:pStyle w:val="94"/>
                    <w:rPr>
                      <w:color w:val="auto"/>
                    </w:rPr>
                  </w:pPr>
                  <w:r>
                    <w:rPr>
                      <w:color w:val="auto"/>
                    </w:rPr>
                    <w:t>μg/m</w:t>
                  </w:r>
                  <w:r>
                    <w:rPr>
                      <w:color w:val="auto"/>
                      <w:vertAlign w:val="superscript"/>
                    </w:rPr>
                    <w:t>3</w:t>
                  </w:r>
                </w:p>
              </w:tc>
              <w:tc>
                <w:tcPr>
                  <w:tcW w:w="614" w:type="pct"/>
                  <w:vAlign w:val="center"/>
                </w:tcPr>
                <w:p w14:paraId="454C10F5">
                  <w:pPr>
                    <w:pStyle w:val="94"/>
                    <w:rPr>
                      <w:color w:val="auto"/>
                    </w:rPr>
                  </w:pPr>
                  <w:r>
                    <w:rPr>
                      <w:color w:val="auto"/>
                    </w:rPr>
                    <w:t>35</w:t>
                  </w:r>
                </w:p>
              </w:tc>
              <w:tc>
                <w:tcPr>
                  <w:tcW w:w="956" w:type="pct"/>
                  <w:vAlign w:val="center"/>
                </w:tcPr>
                <w:p w14:paraId="12336BC9">
                  <w:pPr>
                    <w:pStyle w:val="94"/>
                    <w:rPr>
                      <w:color w:val="auto"/>
                    </w:rPr>
                  </w:pPr>
                  <w:r>
                    <w:rPr>
                      <w:color w:val="auto"/>
                    </w:rPr>
                    <w:t>75</w:t>
                  </w:r>
                </w:p>
              </w:tc>
              <w:tc>
                <w:tcPr>
                  <w:tcW w:w="1376" w:type="pct"/>
                  <w:vAlign w:val="center"/>
                </w:tcPr>
                <w:p w14:paraId="59BABD42">
                  <w:pPr>
                    <w:pStyle w:val="94"/>
                    <w:rPr>
                      <w:color w:val="auto"/>
                    </w:rPr>
                  </w:pPr>
                  <w:r>
                    <w:rPr>
                      <w:rFonts w:hint="eastAsia"/>
                      <w:color w:val="auto"/>
                    </w:rPr>
                    <w:t>/</w:t>
                  </w:r>
                </w:p>
              </w:tc>
              <w:tc>
                <w:tcPr>
                  <w:tcW w:w="878" w:type="pct"/>
                  <w:vAlign w:val="center"/>
                </w:tcPr>
                <w:p w14:paraId="6BFB7281">
                  <w:pPr>
                    <w:pStyle w:val="94"/>
                    <w:rPr>
                      <w:color w:val="auto"/>
                    </w:rPr>
                  </w:pPr>
                  <w:r>
                    <w:rPr>
                      <w:color w:val="auto"/>
                    </w:rPr>
                    <w:t>/</w:t>
                  </w:r>
                </w:p>
              </w:tc>
            </w:tr>
            <w:tr w14:paraId="52554E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cantSplit/>
                <w:jc w:val="center"/>
              </w:trPr>
              <w:tc>
                <w:tcPr>
                  <w:tcW w:w="615" w:type="pct"/>
                  <w:vAlign w:val="center"/>
                </w:tcPr>
                <w:p w14:paraId="36F81B11">
                  <w:pPr>
                    <w:pStyle w:val="94"/>
                    <w:rPr>
                      <w:color w:val="auto"/>
                    </w:rPr>
                  </w:pPr>
                  <w:r>
                    <w:rPr>
                      <w:rFonts w:hint="eastAsia"/>
                      <w:color w:val="auto"/>
                    </w:rPr>
                    <w:t>O</w:t>
                  </w:r>
                  <w:r>
                    <w:rPr>
                      <w:rFonts w:hint="eastAsia"/>
                      <w:color w:val="auto"/>
                      <w:vertAlign w:val="subscript"/>
                    </w:rPr>
                    <w:t>3</w:t>
                  </w:r>
                </w:p>
              </w:tc>
              <w:tc>
                <w:tcPr>
                  <w:tcW w:w="562" w:type="pct"/>
                  <w:vAlign w:val="center"/>
                </w:tcPr>
                <w:p w14:paraId="6733250E">
                  <w:pPr>
                    <w:pStyle w:val="94"/>
                    <w:rPr>
                      <w:color w:val="auto"/>
                    </w:rPr>
                  </w:pPr>
                  <w:r>
                    <w:rPr>
                      <w:color w:val="auto"/>
                    </w:rPr>
                    <w:t>μg/m</w:t>
                  </w:r>
                  <w:r>
                    <w:rPr>
                      <w:color w:val="auto"/>
                      <w:vertAlign w:val="superscript"/>
                    </w:rPr>
                    <w:t>3</w:t>
                  </w:r>
                </w:p>
              </w:tc>
              <w:tc>
                <w:tcPr>
                  <w:tcW w:w="614" w:type="pct"/>
                  <w:vAlign w:val="center"/>
                </w:tcPr>
                <w:p w14:paraId="302167AC">
                  <w:pPr>
                    <w:pStyle w:val="94"/>
                    <w:rPr>
                      <w:color w:val="auto"/>
                    </w:rPr>
                  </w:pPr>
                  <w:r>
                    <w:rPr>
                      <w:rFonts w:hint="eastAsia"/>
                      <w:color w:val="auto"/>
                    </w:rPr>
                    <w:t>/</w:t>
                  </w:r>
                </w:p>
              </w:tc>
              <w:tc>
                <w:tcPr>
                  <w:tcW w:w="956" w:type="pct"/>
                  <w:vAlign w:val="center"/>
                </w:tcPr>
                <w:p w14:paraId="0C93064F">
                  <w:pPr>
                    <w:pStyle w:val="94"/>
                    <w:rPr>
                      <w:color w:val="auto"/>
                    </w:rPr>
                  </w:pPr>
                  <w:r>
                    <w:rPr>
                      <w:rFonts w:hint="eastAsia"/>
                      <w:color w:val="auto"/>
                    </w:rPr>
                    <w:t>/</w:t>
                  </w:r>
                </w:p>
              </w:tc>
              <w:tc>
                <w:tcPr>
                  <w:tcW w:w="1376" w:type="pct"/>
                  <w:vAlign w:val="center"/>
                </w:tcPr>
                <w:p w14:paraId="7F65A97C">
                  <w:pPr>
                    <w:pStyle w:val="94"/>
                    <w:rPr>
                      <w:color w:val="auto"/>
                    </w:rPr>
                  </w:pPr>
                  <w:r>
                    <w:rPr>
                      <w:rFonts w:hint="eastAsia"/>
                      <w:color w:val="auto"/>
                    </w:rPr>
                    <w:t>160</w:t>
                  </w:r>
                </w:p>
              </w:tc>
              <w:tc>
                <w:tcPr>
                  <w:tcW w:w="878" w:type="pct"/>
                  <w:vAlign w:val="center"/>
                </w:tcPr>
                <w:p w14:paraId="7A24015D">
                  <w:pPr>
                    <w:pStyle w:val="94"/>
                    <w:rPr>
                      <w:color w:val="auto"/>
                    </w:rPr>
                  </w:pPr>
                  <w:r>
                    <w:rPr>
                      <w:rFonts w:hint="eastAsia"/>
                      <w:color w:val="auto"/>
                    </w:rPr>
                    <w:t>200</w:t>
                  </w:r>
                </w:p>
              </w:tc>
            </w:tr>
            <w:tr w14:paraId="75BE87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cantSplit/>
                <w:jc w:val="center"/>
              </w:trPr>
              <w:tc>
                <w:tcPr>
                  <w:tcW w:w="615" w:type="pct"/>
                  <w:vAlign w:val="center"/>
                </w:tcPr>
                <w:p w14:paraId="2DBC548E">
                  <w:pPr>
                    <w:pStyle w:val="94"/>
                    <w:rPr>
                      <w:color w:val="auto"/>
                    </w:rPr>
                  </w:pPr>
                  <w:r>
                    <w:rPr>
                      <w:color w:val="auto"/>
                    </w:rPr>
                    <w:t>CO</w:t>
                  </w:r>
                </w:p>
              </w:tc>
              <w:tc>
                <w:tcPr>
                  <w:tcW w:w="562" w:type="pct"/>
                  <w:vAlign w:val="center"/>
                </w:tcPr>
                <w:p w14:paraId="2D0495C4">
                  <w:pPr>
                    <w:pStyle w:val="94"/>
                    <w:rPr>
                      <w:color w:val="auto"/>
                    </w:rPr>
                  </w:pPr>
                  <w:r>
                    <w:rPr>
                      <w:color w:val="auto"/>
                    </w:rPr>
                    <w:t>mg/m</w:t>
                  </w:r>
                  <w:r>
                    <w:rPr>
                      <w:color w:val="auto"/>
                      <w:vertAlign w:val="superscript"/>
                    </w:rPr>
                    <w:t>3</w:t>
                  </w:r>
                </w:p>
              </w:tc>
              <w:tc>
                <w:tcPr>
                  <w:tcW w:w="614" w:type="pct"/>
                  <w:vAlign w:val="center"/>
                </w:tcPr>
                <w:p w14:paraId="23F2534D">
                  <w:pPr>
                    <w:pStyle w:val="94"/>
                    <w:rPr>
                      <w:color w:val="auto"/>
                    </w:rPr>
                  </w:pPr>
                  <w:r>
                    <w:rPr>
                      <w:color w:val="auto"/>
                    </w:rPr>
                    <w:t>/</w:t>
                  </w:r>
                </w:p>
              </w:tc>
              <w:tc>
                <w:tcPr>
                  <w:tcW w:w="956" w:type="pct"/>
                  <w:vAlign w:val="center"/>
                </w:tcPr>
                <w:p w14:paraId="2272754F">
                  <w:pPr>
                    <w:pStyle w:val="94"/>
                    <w:rPr>
                      <w:color w:val="auto"/>
                    </w:rPr>
                  </w:pPr>
                  <w:r>
                    <w:rPr>
                      <w:color w:val="auto"/>
                    </w:rPr>
                    <w:t>4</w:t>
                  </w:r>
                </w:p>
              </w:tc>
              <w:tc>
                <w:tcPr>
                  <w:tcW w:w="1376" w:type="pct"/>
                  <w:vAlign w:val="center"/>
                </w:tcPr>
                <w:p w14:paraId="1C0B245A">
                  <w:pPr>
                    <w:pStyle w:val="94"/>
                    <w:rPr>
                      <w:color w:val="auto"/>
                    </w:rPr>
                  </w:pPr>
                  <w:r>
                    <w:rPr>
                      <w:rFonts w:hint="eastAsia"/>
                      <w:color w:val="auto"/>
                    </w:rPr>
                    <w:t>/</w:t>
                  </w:r>
                </w:p>
              </w:tc>
              <w:tc>
                <w:tcPr>
                  <w:tcW w:w="878" w:type="pct"/>
                  <w:vAlign w:val="center"/>
                </w:tcPr>
                <w:p w14:paraId="727E6390">
                  <w:pPr>
                    <w:pStyle w:val="94"/>
                    <w:rPr>
                      <w:color w:val="auto"/>
                    </w:rPr>
                  </w:pPr>
                  <w:r>
                    <w:rPr>
                      <w:color w:val="auto"/>
                    </w:rPr>
                    <w:t>10</w:t>
                  </w:r>
                </w:p>
              </w:tc>
            </w:tr>
            <w:tr w14:paraId="23CBE4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jc w:val="center"/>
              </w:trPr>
              <w:tc>
                <w:tcPr>
                  <w:tcW w:w="615" w:type="pct"/>
                  <w:vAlign w:val="center"/>
                </w:tcPr>
                <w:p w14:paraId="295FDFAF">
                  <w:pPr>
                    <w:pStyle w:val="94"/>
                    <w:rPr>
                      <w:color w:val="auto"/>
                    </w:rPr>
                  </w:pPr>
                  <w:r>
                    <w:rPr>
                      <w:color w:val="auto"/>
                    </w:rPr>
                    <w:t>TSP</w:t>
                  </w:r>
                </w:p>
              </w:tc>
              <w:tc>
                <w:tcPr>
                  <w:tcW w:w="562" w:type="pct"/>
                  <w:vAlign w:val="center"/>
                </w:tcPr>
                <w:p w14:paraId="5E15155D">
                  <w:pPr>
                    <w:pStyle w:val="94"/>
                    <w:rPr>
                      <w:color w:val="auto"/>
                    </w:rPr>
                  </w:pPr>
                  <w:r>
                    <w:rPr>
                      <w:color w:val="auto"/>
                    </w:rPr>
                    <w:t>μg/m</w:t>
                  </w:r>
                  <w:r>
                    <w:rPr>
                      <w:color w:val="auto"/>
                      <w:vertAlign w:val="superscript"/>
                    </w:rPr>
                    <w:t>3</w:t>
                  </w:r>
                </w:p>
              </w:tc>
              <w:tc>
                <w:tcPr>
                  <w:tcW w:w="614" w:type="pct"/>
                  <w:vAlign w:val="center"/>
                </w:tcPr>
                <w:p w14:paraId="69E173FD">
                  <w:pPr>
                    <w:pStyle w:val="94"/>
                    <w:rPr>
                      <w:color w:val="auto"/>
                    </w:rPr>
                  </w:pPr>
                  <w:r>
                    <w:rPr>
                      <w:color w:val="auto"/>
                    </w:rPr>
                    <w:t>200</w:t>
                  </w:r>
                </w:p>
              </w:tc>
              <w:tc>
                <w:tcPr>
                  <w:tcW w:w="956" w:type="pct"/>
                  <w:vAlign w:val="center"/>
                </w:tcPr>
                <w:p w14:paraId="092B9DA3">
                  <w:pPr>
                    <w:pStyle w:val="94"/>
                    <w:rPr>
                      <w:color w:val="auto"/>
                    </w:rPr>
                  </w:pPr>
                  <w:r>
                    <w:rPr>
                      <w:color w:val="auto"/>
                    </w:rPr>
                    <w:t>300</w:t>
                  </w:r>
                </w:p>
              </w:tc>
              <w:tc>
                <w:tcPr>
                  <w:tcW w:w="1376" w:type="pct"/>
                  <w:vAlign w:val="center"/>
                </w:tcPr>
                <w:p w14:paraId="694B18D4">
                  <w:pPr>
                    <w:pStyle w:val="94"/>
                    <w:rPr>
                      <w:color w:val="auto"/>
                    </w:rPr>
                  </w:pPr>
                  <w:r>
                    <w:rPr>
                      <w:rFonts w:hint="eastAsia"/>
                      <w:color w:val="auto"/>
                    </w:rPr>
                    <w:t>/</w:t>
                  </w:r>
                </w:p>
              </w:tc>
              <w:tc>
                <w:tcPr>
                  <w:tcW w:w="878" w:type="pct"/>
                  <w:vAlign w:val="center"/>
                </w:tcPr>
                <w:p w14:paraId="01047A13">
                  <w:pPr>
                    <w:pStyle w:val="94"/>
                    <w:rPr>
                      <w:color w:val="auto"/>
                    </w:rPr>
                  </w:pPr>
                  <w:r>
                    <w:rPr>
                      <w:color w:val="auto"/>
                    </w:rPr>
                    <w:t>/</w:t>
                  </w:r>
                </w:p>
              </w:tc>
            </w:tr>
          </w:tbl>
          <w:p w14:paraId="6007D66F">
            <w:pPr>
              <w:pStyle w:val="96"/>
              <w:ind w:firstLine="480"/>
            </w:pPr>
            <w:r>
              <w:rPr>
                <w:rFonts w:hint="eastAsia"/>
              </w:rPr>
              <w:t>（2）地表水环境</w:t>
            </w:r>
          </w:p>
          <w:p w14:paraId="27BA50AE">
            <w:pPr>
              <w:pStyle w:val="96"/>
              <w:ind w:firstLine="480"/>
            </w:pPr>
            <w:r>
              <w:rPr>
                <w:rFonts w:hint="eastAsia"/>
              </w:rPr>
              <w:t>地表水主要为赵家坪沟及孟家坪沟，赵家坪沟水质要求为</w:t>
            </w:r>
            <w:r>
              <w:t>IV类，执行《地表水环境质量标准》（GB3838-2002）IV类水质标准。孟家坪沟水质要求为V类，执行《地表水环境质量标准》（GB3838-2002）V类水质标准。</w:t>
            </w:r>
            <w:r>
              <w:rPr>
                <w:rFonts w:hint="eastAsia"/>
              </w:rPr>
              <w:t>标准值见下表。</w:t>
            </w:r>
          </w:p>
          <w:p w14:paraId="31B5F808">
            <w:pPr>
              <w:pStyle w:val="19"/>
              <w:keepNext/>
            </w:pPr>
            <w:r>
              <w:t xml:space="preserve">表 </w:t>
            </w:r>
            <w:r>
              <w:fldChar w:fldCharType="begin"/>
            </w:r>
            <w:r>
              <w:instrText xml:space="preserve"> SEQ 表 \* ARABIC </w:instrText>
            </w:r>
            <w:r>
              <w:fldChar w:fldCharType="separate"/>
            </w:r>
            <w:r>
              <w:t>25</w:t>
            </w:r>
            <w:r>
              <w:fldChar w:fldCharType="end"/>
            </w:r>
            <w:r>
              <w:rPr>
                <w:rFonts w:hint="eastAsia"/>
              </w:rPr>
              <w:t>地表水环境质量标准</w:t>
            </w:r>
            <w:r>
              <w:t xml:space="preserve"> 单位：mg/L，pH无量纲</w:t>
            </w:r>
          </w:p>
          <w:tbl>
            <w:tblPr>
              <w:tblStyle w:val="114"/>
              <w:tblW w:w="4996"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36"/>
              <w:gridCol w:w="965"/>
              <w:gridCol w:w="1138"/>
              <w:gridCol w:w="787"/>
              <w:gridCol w:w="765"/>
              <w:gridCol w:w="743"/>
              <w:gridCol w:w="974"/>
              <w:gridCol w:w="1021"/>
              <w:gridCol w:w="801"/>
              <w:gridCol w:w="787"/>
            </w:tblGrid>
            <w:tr w14:paraId="757A92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trPr>
              <w:tc>
                <w:tcPr>
                  <w:tcW w:w="716" w:type="pct"/>
                  <w:vAlign w:val="center"/>
                </w:tcPr>
                <w:p w14:paraId="2CF91610">
                  <w:pPr>
                    <w:pStyle w:val="94"/>
                    <w:rPr>
                      <w:rFonts w:ascii="Times New Roman" w:hAnsi="Times New Roman"/>
                      <w:color w:val="auto"/>
                    </w:rPr>
                  </w:pPr>
                  <w:r>
                    <w:rPr>
                      <w:color w:val="auto"/>
                    </w:rPr>
                    <w:t>项目</w:t>
                  </w:r>
                </w:p>
              </w:tc>
              <w:tc>
                <w:tcPr>
                  <w:tcW w:w="517" w:type="pct"/>
                  <w:vAlign w:val="center"/>
                </w:tcPr>
                <w:p w14:paraId="6AD01E67">
                  <w:pPr>
                    <w:pStyle w:val="94"/>
                    <w:rPr>
                      <w:rFonts w:ascii="Times New Roman" w:hAnsi="Times New Roman"/>
                      <w:color w:val="auto"/>
                      <w:spacing w:val="4"/>
                    </w:rPr>
                  </w:pPr>
                  <w:r>
                    <w:rPr>
                      <w:rFonts w:ascii="Times New Roman" w:hAnsi="Times New Roman"/>
                      <w:color w:val="auto"/>
                      <w:spacing w:val="4"/>
                    </w:rPr>
                    <w:t>pH</w:t>
                  </w:r>
                </w:p>
              </w:tc>
              <w:tc>
                <w:tcPr>
                  <w:tcW w:w="610" w:type="pct"/>
                  <w:vAlign w:val="center"/>
                </w:tcPr>
                <w:p w14:paraId="4D2B5745">
                  <w:pPr>
                    <w:pStyle w:val="94"/>
                    <w:rPr>
                      <w:rFonts w:ascii="Times New Roman" w:hAnsi="Times New Roman"/>
                      <w:color w:val="auto"/>
                      <w:spacing w:val="4"/>
                    </w:rPr>
                  </w:pPr>
                  <w:r>
                    <w:rPr>
                      <w:rFonts w:ascii="Times New Roman" w:hAnsi="Times New Roman"/>
                      <w:color w:val="auto"/>
                      <w:spacing w:val="4"/>
                    </w:rPr>
                    <w:t>CODcr</w:t>
                  </w:r>
                </w:p>
              </w:tc>
              <w:tc>
                <w:tcPr>
                  <w:tcW w:w="422" w:type="pct"/>
                  <w:vAlign w:val="center"/>
                </w:tcPr>
                <w:p w14:paraId="12BFC3AB">
                  <w:pPr>
                    <w:pStyle w:val="94"/>
                    <w:rPr>
                      <w:rFonts w:ascii="Times New Roman" w:hAnsi="Times New Roman"/>
                      <w:color w:val="auto"/>
                      <w:spacing w:val="4"/>
                    </w:rPr>
                  </w:pPr>
                  <w:r>
                    <w:rPr>
                      <w:rFonts w:ascii="Times New Roman" w:hAnsi="Times New Roman"/>
                      <w:color w:val="auto"/>
                      <w:spacing w:val="4"/>
                    </w:rPr>
                    <w:t>BOD</w:t>
                  </w:r>
                  <w:r>
                    <w:rPr>
                      <w:rFonts w:ascii="Times New Roman" w:hAnsi="Times New Roman"/>
                      <w:color w:val="auto"/>
                      <w:spacing w:val="4"/>
                      <w:vertAlign w:val="subscript"/>
                    </w:rPr>
                    <w:t>5</w:t>
                  </w:r>
                </w:p>
              </w:tc>
              <w:tc>
                <w:tcPr>
                  <w:tcW w:w="410" w:type="pct"/>
                  <w:vAlign w:val="center"/>
                </w:tcPr>
                <w:p w14:paraId="61C2232D">
                  <w:pPr>
                    <w:pStyle w:val="94"/>
                    <w:rPr>
                      <w:rFonts w:ascii="Times New Roman" w:hAnsi="Times New Roman"/>
                      <w:color w:val="auto"/>
                      <w:spacing w:val="4"/>
                    </w:rPr>
                  </w:pPr>
                  <w:r>
                    <w:rPr>
                      <w:color w:val="auto"/>
                      <w:spacing w:val="4"/>
                    </w:rPr>
                    <w:t>氨氮</w:t>
                  </w:r>
                </w:p>
              </w:tc>
              <w:tc>
                <w:tcPr>
                  <w:tcW w:w="398" w:type="pct"/>
                  <w:vAlign w:val="center"/>
                </w:tcPr>
                <w:p w14:paraId="6FCC6E0E">
                  <w:pPr>
                    <w:pStyle w:val="94"/>
                    <w:rPr>
                      <w:rFonts w:ascii="Times New Roman" w:hAnsi="Times New Roman"/>
                      <w:color w:val="auto"/>
                      <w:spacing w:val="4"/>
                    </w:rPr>
                  </w:pPr>
                  <w:r>
                    <w:rPr>
                      <w:color w:val="auto"/>
                      <w:spacing w:val="4"/>
                    </w:rPr>
                    <w:t>石油类</w:t>
                  </w:r>
                </w:p>
              </w:tc>
              <w:tc>
                <w:tcPr>
                  <w:tcW w:w="522" w:type="pct"/>
                  <w:vAlign w:val="center"/>
                </w:tcPr>
                <w:p w14:paraId="10A700D5">
                  <w:pPr>
                    <w:pStyle w:val="94"/>
                    <w:rPr>
                      <w:rFonts w:ascii="Times New Roman" w:hAnsi="Times New Roman"/>
                      <w:color w:val="auto"/>
                      <w:spacing w:val="4"/>
                    </w:rPr>
                  </w:pPr>
                  <w:r>
                    <w:rPr>
                      <w:color w:val="auto"/>
                      <w:spacing w:val="4"/>
                    </w:rPr>
                    <w:t>铁</w:t>
                  </w:r>
                </w:p>
              </w:tc>
              <w:tc>
                <w:tcPr>
                  <w:tcW w:w="547" w:type="pct"/>
                  <w:vAlign w:val="center"/>
                </w:tcPr>
                <w:p w14:paraId="71D794A9">
                  <w:pPr>
                    <w:pStyle w:val="94"/>
                    <w:rPr>
                      <w:rFonts w:ascii="Times New Roman" w:hAnsi="Times New Roman"/>
                      <w:color w:val="auto"/>
                      <w:spacing w:val="4"/>
                    </w:rPr>
                  </w:pPr>
                  <w:r>
                    <w:rPr>
                      <w:color w:val="auto"/>
                      <w:spacing w:val="4"/>
                    </w:rPr>
                    <w:t>锰</w:t>
                  </w:r>
                </w:p>
              </w:tc>
              <w:tc>
                <w:tcPr>
                  <w:tcW w:w="429" w:type="pct"/>
                  <w:vAlign w:val="center"/>
                </w:tcPr>
                <w:p w14:paraId="766F1AD1">
                  <w:pPr>
                    <w:pStyle w:val="94"/>
                    <w:rPr>
                      <w:rFonts w:ascii="Times New Roman" w:hAnsi="Times New Roman"/>
                      <w:color w:val="auto"/>
                      <w:spacing w:val="4"/>
                    </w:rPr>
                  </w:pPr>
                  <w:r>
                    <w:rPr>
                      <w:color w:val="auto"/>
                      <w:spacing w:val="4"/>
                    </w:rPr>
                    <w:t>汞</w:t>
                  </w:r>
                </w:p>
              </w:tc>
              <w:tc>
                <w:tcPr>
                  <w:tcW w:w="422" w:type="pct"/>
                  <w:vAlign w:val="center"/>
                </w:tcPr>
                <w:p w14:paraId="1F64B4D8">
                  <w:pPr>
                    <w:pStyle w:val="94"/>
                    <w:rPr>
                      <w:rFonts w:ascii="Times New Roman" w:hAnsi="Times New Roman"/>
                      <w:color w:val="auto"/>
                      <w:spacing w:val="4"/>
                    </w:rPr>
                  </w:pPr>
                  <w:r>
                    <w:rPr>
                      <w:color w:val="auto"/>
                      <w:spacing w:val="4"/>
                    </w:rPr>
                    <w:t>总磷</w:t>
                  </w:r>
                </w:p>
              </w:tc>
            </w:tr>
            <w:tr w14:paraId="1D5883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716" w:type="pct"/>
                  <w:vAlign w:val="center"/>
                </w:tcPr>
                <w:p w14:paraId="7A4465F5">
                  <w:pPr>
                    <w:pStyle w:val="94"/>
                    <w:rPr>
                      <w:rFonts w:ascii="Times New Roman" w:hAnsi="Times New Roman"/>
                      <w:color w:val="auto"/>
                    </w:rPr>
                  </w:pPr>
                  <w:r>
                    <w:rPr>
                      <w:rFonts w:ascii="Times New Roman" w:hAnsi="Times New Roman"/>
                      <w:color w:val="auto"/>
                    </w:rPr>
                    <w:t>IV</w:t>
                  </w:r>
                  <w:r>
                    <w:rPr>
                      <w:color w:val="auto"/>
                    </w:rPr>
                    <w:t>类标准值（</w:t>
                  </w:r>
                  <w:r>
                    <w:rPr>
                      <w:rFonts w:ascii="Times New Roman" w:hAnsi="Times New Roman"/>
                      <w:color w:val="auto"/>
                    </w:rPr>
                    <w:t>mg/L</w:t>
                  </w:r>
                  <w:r>
                    <w:rPr>
                      <w:color w:val="auto"/>
                    </w:rPr>
                    <w:t>）</w:t>
                  </w:r>
                </w:p>
              </w:tc>
              <w:tc>
                <w:tcPr>
                  <w:tcW w:w="517" w:type="pct"/>
                  <w:vAlign w:val="center"/>
                </w:tcPr>
                <w:p w14:paraId="2D0858EC">
                  <w:pPr>
                    <w:pStyle w:val="94"/>
                    <w:rPr>
                      <w:rFonts w:ascii="Times New Roman" w:hAnsi="Times New Roman"/>
                      <w:color w:val="auto"/>
                    </w:rPr>
                  </w:pPr>
                  <w:r>
                    <w:rPr>
                      <w:rFonts w:hint="eastAsia" w:ascii="Times New Roman" w:hAnsi="Times New Roman"/>
                      <w:color w:val="auto"/>
                    </w:rPr>
                    <w:t>6~9</w:t>
                  </w:r>
                </w:p>
              </w:tc>
              <w:tc>
                <w:tcPr>
                  <w:tcW w:w="610" w:type="pct"/>
                  <w:vAlign w:val="center"/>
                </w:tcPr>
                <w:p w14:paraId="34482562">
                  <w:pPr>
                    <w:pStyle w:val="94"/>
                    <w:rPr>
                      <w:rFonts w:ascii="Times New Roman" w:hAnsi="Times New Roman"/>
                      <w:color w:val="auto"/>
                    </w:rPr>
                  </w:pPr>
                  <w:r>
                    <w:rPr>
                      <w:rFonts w:hint="eastAsia" w:ascii="Times New Roman" w:hAnsi="Times New Roman"/>
                      <w:color w:val="auto"/>
                    </w:rPr>
                    <w:t>30</w:t>
                  </w:r>
                </w:p>
              </w:tc>
              <w:tc>
                <w:tcPr>
                  <w:tcW w:w="422" w:type="pct"/>
                  <w:vAlign w:val="center"/>
                </w:tcPr>
                <w:p w14:paraId="4ECEFDA9">
                  <w:pPr>
                    <w:pStyle w:val="94"/>
                    <w:rPr>
                      <w:rFonts w:ascii="Times New Roman" w:hAnsi="Times New Roman"/>
                      <w:color w:val="auto"/>
                    </w:rPr>
                  </w:pPr>
                  <w:r>
                    <w:rPr>
                      <w:rFonts w:hint="eastAsia" w:ascii="Times New Roman" w:hAnsi="Times New Roman"/>
                      <w:color w:val="auto"/>
                    </w:rPr>
                    <w:t>6</w:t>
                  </w:r>
                </w:p>
              </w:tc>
              <w:tc>
                <w:tcPr>
                  <w:tcW w:w="410" w:type="pct"/>
                  <w:vAlign w:val="center"/>
                </w:tcPr>
                <w:p w14:paraId="75E62D29">
                  <w:pPr>
                    <w:pStyle w:val="94"/>
                    <w:rPr>
                      <w:rFonts w:ascii="Times New Roman" w:hAnsi="Times New Roman"/>
                      <w:color w:val="auto"/>
                    </w:rPr>
                  </w:pPr>
                  <w:r>
                    <w:rPr>
                      <w:rFonts w:hint="eastAsia" w:ascii="Times New Roman" w:hAnsi="Times New Roman"/>
                      <w:color w:val="auto"/>
                    </w:rPr>
                    <w:t>1.5</w:t>
                  </w:r>
                </w:p>
              </w:tc>
              <w:tc>
                <w:tcPr>
                  <w:tcW w:w="398" w:type="pct"/>
                  <w:vAlign w:val="center"/>
                </w:tcPr>
                <w:p w14:paraId="1A5F65E6">
                  <w:pPr>
                    <w:pStyle w:val="94"/>
                    <w:rPr>
                      <w:rFonts w:ascii="Times New Roman" w:hAnsi="Times New Roman"/>
                      <w:color w:val="auto"/>
                    </w:rPr>
                  </w:pPr>
                  <w:r>
                    <w:rPr>
                      <w:rFonts w:hint="eastAsia" w:ascii="Times New Roman" w:hAnsi="Times New Roman"/>
                      <w:color w:val="auto"/>
                    </w:rPr>
                    <w:t>0.5</w:t>
                  </w:r>
                </w:p>
              </w:tc>
              <w:tc>
                <w:tcPr>
                  <w:tcW w:w="522" w:type="pct"/>
                  <w:vAlign w:val="center"/>
                </w:tcPr>
                <w:p w14:paraId="58D4E086">
                  <w:pPr>
                    <w:pStyle w:val="94"/>
                    <w:rPr>
                      <w:rFonts w:ascii="Times New Roman" w:hAnsi="Times New Roman"/>
                      <w:color w:val="auto"/>
                    </w:rPr>
                  </w:pPr>
                  <w:r>
                    <w:rPr>
                      <w:rFonts w:hint="eastAsia" w:ascii="Times New Roman" w:hAnsi="Times New Roman"/>
                      <w:color w:val="auto"/>
                    </w:rPr>
                    <w:t>0.3</w:t>
                  </w:r>
                </w:p>
              </w:tc>
              <w:tc>
                <w:tcPr>
                  <w:tcW w:w="547" w:type="pct"/>
                  <w:vAlign w:val="center"/>
                </w:tcPr>
                <w:p w14:paraId="79B668D1">
                  <w:pPr>
                    <w:pStyle w:val="94"/>
                    <w:rPr>
                      <w:rFonts w:ascii="Times New Roman" w:hAnsi="Times New Roman"/>
                      <w:color w:val="auto"/>
                    </w:rPr>
                  </w:pPr>
                  <w:r>
                    <w:rPr>
                      <w:rFonts w:hint="eastAsia" w:ascii="Times New Roman" w:hAnsi="Times New Roman"/>
                      <w:color w:val="auto"/>
                    </w:rPr>
                    <w:t>0.1</w:t>
                  </w:r>
                </w:p>
              </w:tc>
              <w:tc>
                <w:tcPr>
                  <w:tcW w:w="429" w:type="pct"/>
                  <w:vAlign w:val="center"/>
                </w:tcPr>
                <w:p w14:paraId="65E00898">
                  <w:pPr>
                    <w:pStyle w:val="94"/>
                    <w:rPr>
                      <w:rFonts w:ascii="Times New Roman" w:hAnsi="Times New Roman"/>
                      <w:color w:val="auto"/>
                    </w:rPr>
                  </w:pPr>
                  <w:r>
                    <w:rPr>
                      <w:rFonts w:hint="eastAsia" w:ascii="Times New Roman" w:hAnsi="Times New Roman"/>
                      <w:color w:val="auto"/>
                    </w:rPr>
                    <w:t>0.001</w:t>
                  </w:r>
                </w:p>
              </w:tc>
              <w:tc>
                <w:tcPr>
                  <w:tcW w:w="422" w:type="pct"/>
                  <w:vAlign w:val="center"/>
                </w:tcPr>
                <w:p w14:paraId="5EB693FF">
                  <w:pPr>
                    <w:pStyle w:val="94"/>
                    <w:rPr>
                      <w:rFonts w:ascii="Times New Roman" w:hAnsi="Times New Roman"/>
                      <w:color w:val="auto"/>
                    </w:rPr>
                  </w:pPr>
                  <w:r>
                    <w:rPr>
                      <w:rFonts w:hint="eastAsia" w:ascii="Times New Roman" w:hAnsi="Times New Roman"/>
                      <w:color w:val="auto"/>
                    </w:rPr>
                    <w:t>0.3</w:t>
                  </w:r>
                </w:p>
              </w:tc>
            </w:tr>
            <w:tr w14:paraId="6960A4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716" w:type="pct"/>
                  <w:vAlign w:val="center"/>
                </w:tcPr>
                <w:p w14:paraId="67AFA0B0">
                  <w:pPr>
                    <w:pStyle w:val="94"/>
                    <w:rPr>
                      <w:rFonts w:ascii="Times New Roman" w:hAnsi="Times New Roman"/>
                      <w:color w:val="auto"/>
                    </w:rPr>
                  </w:pPr>
                  <w:r>
                    <w:rPr>
                      <w:rFonts w:ascii="Times New Roman" w:hAnsi="Times New Roman"/>
                      <w:color w:val="auto"/>
                    </w:rPr>
                    <w:t>V</w:t>
                  </w:r>
                  <w:r>
                    <w:rPr>
                      <w:color w:val="auto"/>
                    </w:rPr>
                    <w:t>类标准值（</w:t>
                  </w:r>
                  <w:r>
                    <w:rPr>
                      <w:rFonts w:ascii="Times New Roman" w:hAnsi="Times New Roman"/>
                      <w:color w:val="auto"/>
                    </w:rPr>
                    <w:t>mg/L</w:t>
                  </w:r>
                  <w:r>
                    <w:rPr>
                      <w:color w:val="auto"/>
                    </w:rPr>
                    <w:t>）</w:t>
                  </w:r>
                </w:p>
              </w:tc>
              <w:tc>
                <w:tcPr>
                  <w:tcW w:w="517" w:type="pct"/>
                  <w:vAlign w:val="center"/>
                </w:tcPr>
                <w:p w14:paraId="57B45E7F">
                  <w:pPr>
                    <w:pStyle w:val="94"/>
                    <w:rPr>
                      <w:rFonts w:ascii="Times New Roman" w:hAnsi="Times New Roman"/>
                      <w:color w:val="auto"/>
                    </w:rPr>
                  </w:pPr>
                  <w:r>
                    <w:rPr>
                      <w:rFonts w:hint="eastAsia" w:ascii="Times New Roman" w:hAnsi="Times New Roman"/>
                      <w:color w:val="auto"/>
                    </w:rPr>
                    <w:t>6~9</w:t>
                  </w:r>
                </w:p>
              </w:tc>
              <w:tc>
                <w:tcPr>
                  <w:tcW w:w="610" w:type="pct"/>
                  <w:vAlign w:val="center"/>
                </w:tcPr>
                <w:p w14:paraId="3D9A10D1">
                  <w:pPr>
                    <w:pStyle w:val="94"/>
                    <w:rPr>
                      <w:rFonts w:ascii="Times New Roman" w:hAnsi="Times New Roman"/>
                      <w:color w:val="auto"/>
                    </w:rPr>
                  </w:pPr>
                  <w:r>
                    <w:rPr>
                      <w:rFonts w:hint="eastAsia" w:ascii="Times New Roman" w:hAnsi="Times New Roman"/>
                      <w:color w:val="auto"/>
                    </w:rPr>
                    <w:t>40</w:t>
                  </w:r>
                </w:p>
              </w:tc>
              <w:tc>
                <w:tcPr>
                  <w:tcW w:w="422" w:type="pct"/>
                  <w:vAlign w:val="center"/>
                </w:tcPr>
                <w:p w14:paraId="5A84043B">
                  <w:pPr>
                    <w:pStyle w:val="94"/>
                    <w:rPr>
                      <w:rFonts w:ascii="Times New Roman" w:hAnsi="Times New Roman"/>
                      <w:color w:val="auto"/>
                    </w:rPr>
                  </w:pPr>
                  <w:r>
                    <w:rPr>
                      <w:rFonts w:hint="eastAsia" w:ascii="Times New Roman" w:hAnsi="Times New Roman"/>
                      <w:color w:val="auto"/>
                    </w:rPr>
                    <w:t>10</w:t>
                  </w:r>
                </w:p>
              </w:tc>
              <w:tc>
                <w:tcPr>
                  <w:tcW w:w="410" w:type="pct"/>
                  <w:vAlign w:val="center"/>
                </w:tcPr>
                <w:p w14:paraId="15A33144">
                  <w:pPr>
                    <w:pStyle w:val="94"/>
                    <w:rPr>
                      <w:rFonts w:ascii="Times New Roman" w:hAnsi="Times New Roman"/>
                      <w:color w:val="auto"/>
                    </w:rPr>
                  </w:pPr>
                  <w:r>
                    <w:rPr>
                      <w:rFonts w:hint="eastAsia" w:ascii="Times New Roman" w:hAnsi="Times New Roman"/>
                      <w:color w:val="auto"/>
                    </w:rPr>
                    <w:t>2</w:t>
                  </w:r>
                </w:p>
              </w:tc>
              <w:tc>
                <w:tcPr>
                  <w:tcW w:w="398" w:type="pct"/>
                  <w:vAlign w:val="center"/>
                </w:tcPr>
                <w:p w14:paraId="30A5AB69">
                  <w:pPr>
                    <w:pStyle w:val="94"/>
                    <w:rPr>
                      <w:rFonts w:ascii="Times New Roman" w:hAnsi="Times New Roman"/>
                      <w:color w:val="auto"/>
                    </w:rPr>
                  </w:pPr>
                  <w:r>
                    <w:rPr>
                      <w:rFonts w:hint="eastAsia" w:ascii="Times New Roman" w:hAnsi="Times New Roman"/>
                      <w:color w:val="auto"/>
                    </w:rPr>
                    <w:t>1</w:t>
                  </w:r>
                </w:p>
              </w:tc>
              <w:tc>
                <w:tcPr>
                  <w:tcW w:w="522" w:type="pct"/>
                  <w:vAlign w:val="center"/>
                </w:tcPr>
                <w:p w14:paraId="5EADAD57">
                  <w:pPr>
                    <w:pStyle w:val="94"/>
                    <w:rPr>
                      <w:rFonts w:ascii="Times New Roman" w:hAnsi="Times New Roman"/>
                      <w:color w:val="auto"/>
                    </w:rPr>
                  </w:pPr>
                  <w:r>
                    <w:rPr>
                      <w:rFonts w:hint="eastAsia" w:ascii="Times New Roman" w:hAnsi="Times New Roman"/>
                      <w:color w:val="auto"/>
                    </w:rPr>
                    <w:t>0.3</w:t>
                  </w:r>
                </w:p>
              </w:tc>
              <w:tc>
                <w:tcPr>
                  <w:tcW w:w="547" w:type="pct"/>
                  <w:vAlign w:val="center"/>
                </w:tcPr>
                <w:p w14:paraId="47DFC669">
                  <w:pPr>
                    <w:pStyle w:val="94"/>
                    <w:rPr>
                      <w:rFonts w:ascii="Times New Roman" w:hAnsi="Times New Roman"/>
                      <w:color w:val="auto"/>
                    </w:rPr>
                  </w:pPr>
                  <w:r>
                    <w:rPr>
                      <w:rFonts w:hint="eastAsia" w:ascii="Times New Roman" w:hAnsi="Times New Roman"/>
                      <w:color w:val="auto"/>
                    </w:rPr>
                    <w:t>0.1</w:t>
                  </w:r>
                </w:p>
              </w:tc>
              <w:tc>
                <w:tcPr>
                  <w:tcW w:w="429" w:type="pct"/>
                  <w:vAlign w:val="center"/>
                </w:tcPr>
                <w:p w14:paraId="6ECB81E2">
                  <w:pPr>
                    <w:pStyle w:val="94"/>
                    <w:rPr>
                      <w:rFonts w:ascii="Times New Roman" w:hAnsi="Times New Roman"/>
                      <w:color w:val="auto"/>
                    </w:rPr>
                  </w:pPr>
                  <w:r>
                    <w:rPr>
                      <w:rFonts w:hint="eastAsia" w:ascii="Times New Roman" w:hAnsi="Times New Roman"/>
                      <w:color w:val="auto"/>
                    </w:rPr>
                    <w:t>0.001</w:t>
                  </w:r>
                </w:p>
              </w:tc>
              <w:tc>
                <w:tcPr>
                  <w:tcW w:w="422" w:type="pct"/>
                  <w:vAlign w:val="center"/>
                </w:tcPr>
                <w:p w14:paraId="1042AFD8">
                  <w:pPr>
                    <w:pStyle w:val="94"/>
                    <w:rPr>
                      <w:rFonts w:ascii="Times New Roman" w:hAnsi="Times New Roman"/>
                      <w:color w:val="auto"/>
                    </w:rPr>
                  </w:pPr>
                  <w:r>
                    <w:rPr>
                      <w:rFonts w:hint="eastAsia" w:ascii="Times New Roman" w:hAnsi="Times New Roman"/>
                      <w:color w:val="auto"/>
                    </w:rPr>
                    <w:t>0.4</w:t>
                  </w:r>
                </w:p>
              </w:tc>
            </w:tr>
            <w:tr w14:paraId="7F4657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716" w:type="pct"/>
                  <w:vAlign w:val="center"/>
                </w:tcPr>
                <w:p w14:paraId="3BA4A996">
                  <w:pPr>
                    <w:pStyle w:val="94"/>
                    <w:rPr>
                      <w:rFonts w:ascii="Times New Roman" w:hAnsi="Times New Roman"/>
                      <w:color w:val="auto"/>
                      <w:kern w:val="2"/>
                    </w:rPr>
                  </w:pPr>
                  <w:r>
                    <w:rPr>
                      <w:color w:val="auto"/>
                    </w:rPr>
                    <w:t>项目</w:t>
                  </w:r>
                </w:p>
              </w:tc>
              <w:tc>
                <w:tcPr>
                  <w:tcW w:w="517" w:type="pct"/>
                  <w:vAlign w:val="center"/>
                </w:tcPr>
                <w:p w14:paraId="370AB8E2">
                  <w:pPr>
                    <w:pStyle w:val="94"/>
                    <w:rPr>
                      <w:rFonts w:ascii="Times New Roman" w:hAnsi="Times New Roman"/>
                      <w:color w:val="auto"/>
                      <w:spacing w:val="4"/>
                      <w:kern w:val="2"/>
                    </w:rPr>
                  </w:pPr>
                  <w:r>
                    <w:rPr>
                      <w:color w:val="auto"/>
                      <w:spacing w:val="4"/>
                    </w:rPr>
                    <w:t>镉</w:t>
                  </w:r>
                </w:p>
              </w:tc>
              <w:tc>
                <w:tcPr>
                  <w:tcW w:w="610" w:type="pct"/>
                  <w:vAlign w:val="center"/>
                </w:tcPr>
                <w:p w14:paraId="31638454">
                  <w:pPr>
                    <w:pStyle w:val="94"/>
                    <w:rPr>
                      <w:rFonts w:ascii="Times New Roman" w:hAnsi="Times New Roman"/>
                      <w:color w:val="auto"/>
                      <w:spacing w:val="4"/>
                      <w:kern w:val="2"/>
                    </w:rPr>
                  </w:pPr>
                  <w:r>
                    <w:rPr>
                      <w:color w:val="auto"/>
                      <w:spacing w:val="4"/>
                    </w:rPr>
                    <w:t>六价铬</w:t>
                  </w:r>
                </w:p>
              </w:tc>
              <w:tc>
                <w:tcPr>
                  <w:tcW w:w="422" w:type="pct"/>
                  <w:vAlign w:val="center"/>
                </w:tcPr>
                <w:p w14:paraId="51D85644">
                  <w:pPr>
                    <w:pStyle w:val="94"/>
                    <w:rPr>
                      <w:rFonts w:ascii="Times New Roman" w:hAnsi="Times New Roman"/>
                      <w:color w:val="auto"/>
                      <w:spacing w:val="4"/>
                      <w:kern w:val="2"/>
                    </w:rPr>
                  </w:pPr>
                  <w:r>
                    <w:rPr>
                      <w:color w:val="auto"/>
                      <w:spacing w:val="4"/>
                    </w:rPr>
                    <w:t>铅</w:t>
                  </w:r>
                </w:p>
              </w:tc>
              <w:tc>
                <w:tcPr>
                  <w:tcW w:w="410" w:type="pct"/>
                  <w:vAlign w:val="center"/>
                </w:tcPr>
                <w:p w14:paraId="7372610A">
                  <w:pPr>
                    <w:pStyle w:val="94"/>
                    <w:rPr>
                      <w:rFonts w:ascii="Times New Roman" w:hAnsi="Times New Roman"/>
                      <w:color w:val="auto"/>
                    </w:rPr>
                  </w:pPr>
                  <w:r>
                    <w:rPr>
                      <w:color w:val="auto"/>
                    </w:rPr>
                    <w:t>砷</w:t>
                  </w:r>
                </w:p>
              </w:tc>
              <w:tc>
                <w:tcPr>
                  <w:tcW w:w="398" w:type="pct"/>
                  <w:vAlign w:val="center"/>
                </w:tcPr>
                <w:p w14:paraId="0601C3E2">
                  <w:pPr>
                    <w:pStyle w:val="94"/>
                    <w:rPr>
                      <w:rFonts w:ascii="Times New Roman" w:hAnsi="Times New Roman"/>
                      <w:color w:val="auto"/>
                    </w:rPr>
                  </w:pPr>
                  <w:r>
                    <w:rPr>
                      <w:color w:val="auto"/>
                    </w:rPr>
                    <w:t>锌</w:t>
                  </w:r>
                </w:p>
              </w:tc>
              <w:tc>
                <w:tcPr>
                  <w:tcW w:w="522" w:type="pct"/>
                  <w:vAlign w:val="center"/>
                </w:tcPr>
                <w:p w14:paraId="0CC46356">
                  <w:pPr>
                    <w:pStyle w:val="94"/>
                    <w:rPr>
                      <w:rFonts w:ascii="Times New Roman" w:hAnsi="Times New Roman"/>
                      <w:color w:val="auto"/>
                    </w:rPr>
                  </w:pPr>
                  <w:r>
                    <w:rPr>
                      <w:color w:val="auto"/>
                    </w:rPr>
                    <w:t>氟化物</w:t>
                  </w:r>
                </w:p>
              </w:tc>
              <w:tc>
                <w:tcPr>
                  <w:tcW w:w="547" w:type="pct"/>
                  <w:vAlign w:val="center"/>
                </w:tcPr>
                <w:p w14:paraId="6523907D">
                  <w:pPr>
                    <w:pStyle w:val="94"/>
                    <w:rPr>
                      <w:rFonts w:ascii="Times New Roman" w:hAnsi="Times New Roman"/>
                      <w:color w:val="auto"/>
                    </w:rPr>
                  </w:pPr>
                  <w:r>
                    <w:rPr>
                      <w:color w:val="auto"/>
                    </w:rPr>
                    <w:t>硫化物</w:t>
                  </w:r>
                </w:p>
              </w:tc>
              <w:tc>
                <w:tcPr>
                  <w:tcW w:w="429" w:type="pct"/>
                  <w:vAlign w:val="center"/>
                </w:tcPr>
                <w:p w14:paraId="206AF8BC">
                  <w:pPr>
                    <w:pStyle w:val="94"/>
                    <w:rPr>
                      <w:rFonts w:ascii="Times New Roman" w:hAnsi="Times New Roman"/>
                      <w:color w:val="auto"/>
                    </w:rPr>
                  </w:pPr>
                  <w:r>
                    <w:rPr>
                      <w:color w:val="auto"/>
                    </w:rPr>
                    <w:t>总氮</w:t>
                  </w:r>
                </w:p>
              </w:tc>
              <w:tc>
                <w:tcPr>
                  <w:tcW w:w="422" w:type="pct"/>
                  <w:vAlign w:val="center"/>
                </w:tcPr>
                <w:p w14:paraId="42D4F84C">
                  <w:pPr>
                    <w:pStyle w:val="94"/>
                    <w:rPr>
                      <w:rFonts w:ascii="Times New Roman" w:hAnsi="Times New Roman"/>
                      <w:color w:val="auto"/>
                    </w:rPr>
                  </w:pPr>
                </w:p>
              </w:tc>
            </w:tr>
            <w:tr w14:paraId="50A74D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716" w:type="pct"/>
                  <w:vAlign w:val="center"/>
                </w:tcPr>
                <w:p w14:paraId="489F2A92">
                  <w:pPr>
                    <w:pStyle w:val="94"/>
                    <w:rPr>
                      <w:rFonts w:ascii="Times New Roman" w:hAnsi="Times New Roman"/>
                      <w:color w:val="auto"/>
                      <w:kern w:val="2"/>
                    </w:rPr>
                  </w:pPr>
                  <w:r>
                    <w:rPr>
                      <w:rFonts w:ascii="Times New Roman" w:hAnsi="Times New Roman"/>
                      <w:color w:val="auto"/>
                    </w:rPr>
                    <w:t>IV</w:t>
                  </w:r>
                  <w:r>
                    <w:rPr>
                      <w:color w:val="auto"/>
                    </w:rPr>
                    <w:t>类标准值（</w:t>
                  </w:r>
                  <w:r>
                    <w:rPr>
                      <w:rFonts w:ascii="Times New Roman" w:hAnsi="Times New Roman"/>
                      <w:color w:val="auto"/>
                    </w:rPr>
                    <w:t>mg/L</w:t>
                  </w:r>
                  <w:r>
                    <w:rPr>
                      <w:color w:val="auto"/>
                    </w:rPr>
                    <w:t>）</w:t>
                  </w:r>
                </w:p>
              </w:tc>
              <w:tc>
                <w:tcPr>
                  <w:tcW w:w="517" w:type="pct"/>
                  <w:vAlign w:val="center"/>
                </w:tcPr>
                <w:p w14:paraId="1D30F3E4">
                  <w:pPr>
                    <w:pStyle w:val="94"/>
                    <w:rPr>
                      <w:rFonts w:ascii="Times New Roman" w:hAnsi="Times New Roman"/>
                      <w:color w:val="auto"/>
                    </w:rPr>
                  </w:pPr>
                  <w:r>
                    <w:rPr>
                      <w:rFonts w:hint="eastAsia" w:ascii="Times New Roman" w:hAnsi="Times New Roman"/>
                      <w:color w:val="auto"/>
                    </w:rPr>
                    <w:t>0.005</w:t>
                  </w:r>
                </w:p>
              </w:tc>
              <w:tc>
                <w:tcPr>
                  <w:tcW w:w="610" w:type="pct"/>
                  <w:vAlign w:val="center"/>
                </w:tcPr>
                <w:p w14:paraId="7A0924ED">
                  <w:pPr>
                    <w:pStyle w:val="94"/>
                    <w:rPr>
                      <w:rFonts w:ascii="Times New Roman" w:hAnsi="Times New Roman"/>
                      <w:color w:val="auto"/>
                    </w:rPr>
                  </w:pPr>
                  <w:r>
                    <w:rPr>
                      <w:rFonts w:hint="eastAsia" w:ascii="Times New Roman" w:hAnsi="Times New Roman"/>
                      <w:color w:val="auto"/>
                    </w:rPr>
                    <w:t>0.05</w:t>
                  </w:r>
                </w:p>
              </w:tc>
              <w:tc>
                <w:tcPr>
                  <w:tcW w:w="422" w:type="pct"/>
                  <w:vAlign w:val="center"/>
                </w:tcPr>
                <w:p w14:paraId="4BDA93A7">
                  <w:pPr>
                    <w:pStyle w:val="94"/>
                    <w:rPr>
                      <w:rFonts w:ascii="Times New Roman" w:hAnsi="Times New Roman"/>
                      <w:color w:val="auto"/>
                    </w:rPr>
                  </w:pPr>
                  <w:r>
                    <w:rPr>
                      <w:rFonts w:hint="eastAsia" w:ascii="Times New Roman" w:hAnsi="Times New Roman"/>
                      <w:color w:val="auto"/>
                    </w:rPr>
                    <w:t>0.05</w:t>
                  </w:r>
                </w:p>
              </w:tc>
              <w:tc>
                <w:tcPr>
                  <w:tcW w:w="410" w:type="pct"/>
                  <w:vAlign w:val="center"/>
                </w:tcPr>
                <w:p w14:paraId="1B5F5BBD">
                  <w:pPr>
                    <w:pStyle w:val="94"/>
                    <w:rPr>
                      <w:rFonts w:ascii="Times New Roman" w:hAnsi="Times New Roman"/>
                      <w:color w:val="auto"/>
                    </w:rPr>
                  </w:pPr>
                  <w:r>
                    <w:rPr>
                      <w:rFonts w:hint="eastAsia" w:ascii="Times New Roman" w:hAnsi="Times New Roman"/>
                      <w:color w:val="auto"/>
                    </w:rPr>
                    <w:t>0.1</w:t>
                  </w:r>
                </w:p>
              </w:tc>
              <w:tc>
                <w:tcPr>
                  <w:tcW w:w="398" w:type="pct"/>
                  <w:vAlign w:val="center"/>
                </w:tcPr>
                <w:p w14:paraId="344F34FB">
                  <w:pPr>
                    <w:pStyle w:val="94"/>
                    <w:rPr>
                      <w:rFonts w:ascii="Times New Roman" w:hAnsi="Times New Roman"/>
                      <w:color w:val="auto"/>
                    </w:rPr>
                  </w:pPr>
                  <w:r>
                    <w:rPr>
                      <w:rFonts w:hint="eastAsia" w:ascii="Times New Roman" w:hAnsi="Times New Roman"/>
                      <w:color w:val="auto"/>
                    </w:rPr>
                    <w:t>2.0</w:t>
                  </w:r>
                </w:p>
              </w:tc>
              <w:tc>
                <w:tcPr>
                  <w:tcW w:w="522" w:type="pct"/>
                  <w:vAlign w:val="center"/>
                </w:tcPr>
                <w:p w14:paraId="5DB05A6C">
                  <w:pPr>
                    <w:pStyle w:val="94"/>
                    <w:rPr>
                      <w:rFonts w:ascii="Times New Roman" w:hAnsi="Times New Roman"/>
                      <w:color w:val="auto"/>
                    </w:rPr>
                  </w:pPr>
                  <w:r>
                    <w:rPr>
                      <w:rFonts w:hint="eastAsia" w:ascii="Times New Roman" w:hAnsi="Times New Roman"/>
                      <w:color w:val="auto"/>
                    </w:rPr>
                    <w:t>1.5</w:t>
                  </w:r>
                </w:p>
              </w:tc>
              <w:tc>
                <w:tcPr>
                  <w:tcW w:w="547" w:type="pct"/>
                  <w:vAlign w:val="center"/>
                </w:tcPr>
                <w:p w14:paraId="5189C7E3">
                  <w:pPr>
                    <w:pStyle w:val="94"/>
                    <w:rPr>
                      <w:rFonts w:ascii="Times New Roman" w:hAnsi="Times New Roman"/>
                      <w:color w:val="auto"/>
                    </w:rPr>
                  </w:pPr>
                  <w:r>
                    <w:rPr>
                      <w:rFonts w:hint="eastAsia" w:ascii="Times New Roman" w:hAnsi="Times New Roman"/>
                      <w:color w:val="auto"/>
                    </w:rPr>
                    <w:t>0.5</w:t>
                  </w:r>
                </w:p>
              </w:tc>
              <w:tc>
                <w:tcPr>
                  <w:tcW w:w="429" w:type="pct"/>
                  <w:vAlign w:val="center"/>
                </w:tcPr>
                <w:p w14:paraId="2DC62376">
                  <w:pPr>
                    <w:pStyle w:val="94"/>
                    <w:rPr>
                      <w:rFonts w:ascii="Times New Roman" w:hAnsi="Times New Roman"/>
                      <w:color w:val="auto"/>
                    </w:rPr>
                  </w:pPr>
                  <w:r>
                    <w:rPr>
                      <w:rFonts w:hint="eastAsia" w:ascii="Times New Roman" w:hAnsi="Times New Roman"/>
                      <w:color w:val="auto"/>
                    </w:rPr>
                    <w:t>1.5</w:t>
                  </w:r>
                </w:p>
              </w:tc>
              <w:tc>
                <w:tcPr>
                  <w:tcW w:w="422" w:type="pct"/>
                  <w:vAlign w:val="center"/>
                </w:tcPr>
                <w:p w14:paraId="254B3119">
                  <w:pPr>
                    <w:pStyle w:val="94"/>
                    <w:rPr>
                      <w:rFonts w:ascii="Times New Roman" w:hAnsi="Times New Roman"/>
                      <w:color w:val="auto"/>
                    </w:rPr>
                  </w:pPr>
                </w:p>
              </w:tc>
            </w:tr>
            <w:tr w14:paraId="7B8A67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716" w:type="pct"/>
                  <w:vAlign w:val="center"/>
                </w:tcPr>
                <w:p w14:paraId="3D5A8A4F">
                  <w:pPr>
                    <w:pStyle w:val="94"/>
                    <w:rPr>
                      <w:rFonts w:ascii="Times New Roman" w:hAnsi="Times New Roman"/>
                      <w:color w:val="auto"/>
                    </w:rPr>
                  </w:pPr>
                  <w:r>
                    <w:rPr>
                      <w:rFonts w:ascii="Times New Roman" w:hAnsi="Times New Roman"/>
                      <w:color w:val="auto"/>
                    </w:rPr>
                    <w:t>V</w:t>
                  </w:r>
                  <w:r>
                    <w:rPr>
                      <w:color w:val="auto"/>
                    </w:rPr>
                    <w:t>类标准值（</w:t>
                  </w:r>
                  <w:r>
                    <w:rPr>
                      <w:rFonts w:ascii="Times New Roman" w:hAnsi="Times New Roman"/>
                      <w:color w:val="auto"/>
                    </w:rPr>
                    <w:t>mg/L</w:t>
                  </w:r>
                  <w:r>
                    <w:rPr>
                      <w:color w:val="auto"/>
                    </w:rPr>
                    <w:t>）</w:t>
                  </w:r>
                </w:p>
              </w:tc>
              <w:tc>
                <w:tcPr>
                  <w:tcW w:w="517" w:type="pct"/>
                  <w:vAlign w:val="center"/>
                </w:tcPr>
                <w:p w14:paraId="5578CA98">
                  <w:pPr>
                    <w:pStyle w:val="94"/>
                    <w:rPr>
                      <w:rFonts w:ascii="Times New Roman" w:hAnsi="Times New Roman"/>
                      <w:color w:val="auto"/>
                    </w:rPr>
                  </w:pPr>
                  <w:r>
                    <w:rPr>
                      <w:rFonts w:hint="eastAsia" w:ascii="Times New Roman" w:hAnsi="Times New Roman"/>
                      <w:color w:val="auto"/>
                    </w:rPr>
                    <w:t>0.01</w:t>
                  </w:r>
                </w:p>
              </w:tc>
              <w:tc>
                <w:tcPr>
                  <w:tcW w:w="610" w:type="pct"/>
                  <w:vAlign w:val="center"/>
                </w:tcPr>
                <w:p w14:paraId="16011784">
                  <w:pPr>
                    <w:pStyle w:val="94"/>
                    <w:rPr>
                      <w:rFonts w:ascii="Times New Roman" w:hAnsi="Times New Roman"/>
                      <w:color w:val="auto"/>
                    </w:rPr>
                  </w:pPr>
                  <w:r>
                    <w:rPr>
                      <w:rFonts w:hint="eastAsia" w:ascii="Times New Roman" w:hAnsi="Times New Roman"/>
                      <w:color w:val="auto"/>
                    </w:rPr>
                    <w:t>0.1</w:t>
                  </w:r>
                </w:p>
              </w:tc>
              <w:tc>
                <w:tcPr>
                  <w:tcW w:w="422" w:type="pct"/>
                  <w:vAlign w:val="center"/>
                </w:tcPr>
                <w:p w14:paraId="42EFE4D1">
                  <w:pPr>
                    <w:pStyle w:val="94"/>
                    <w:rPr>
                      <w:rFonts w:ascii="Times New Roman" w:hAnsi="Times New Roman"/>
                      <w:color w:val="auto"/>
                    </w:rPr>
                  </w:pPr>
                  <w:r>
                    <w:rPr>
                      <w:rFonts w:hint="eastAsia" w:ascii="Times New Roman" w:hAnsi="Times New Roman"/>
                      <w:color w:val="auto"/>
                    </w:rPr>
                    <w:t>0.1</w:t>
                  </w:r>
                </w:p>
              </w:tc>
              <w:tc>
                <w:tcPr>
                  <w:tcW w:w="410" w:type="pct"/>
                  <w:vAlign w:val="center"/>
                </w:tcPr>
                <w:p w14:paraId="0829F2CE">
                  <w:pPr>
                    <w:pStyle w:val="94"/>
                    <w:rPr>
                      <w:rFonts w:ascii="Times New Roman" w:hAnsi="Times New Roman"/>
                      <w:color w:val="auto"/>
                    </w:rPr>
                  </w:pPr>
                  <w:r>
                    <w:rPr>
                      <w:rFonts w:hint="eastAsia" w:ascii="Times New Roman" w:hAnsi="Times New Roman"/>
                      <w:color w:val="auto"/>
                    </w:rPr>
                    <w:t>0.1</w:t>
                  </w:r>
                </w:p>
              </w:tc>
              <w:tc>
                <w:tcPr>
                  <w:tcW w:w="398" w:type="pct"/>
                  <w:vAlign w:val="center"/>
                </w:tcPr>
                <w:p w14:paraId="4C548A3F">
                  <w:pPr>
                    <w:pStyle w:val="94"/>
                    <w:rPr>
                      <w:rFonts w:ascii="Times New Roman" w:hAnsi="Times New Roman"/>
                      <w:color w:val="auto"/>
                    </w:rPr>
                  </w:pPr>
                  <w:r>
                    <w:rPr>
                      <w:rFonts w:hint="eastAsia" w:ascii="Times New Roman" w:hAnsi="Times New Roman"/>
                      <w:color w:val="auto"/>
                    </w:rPr>
                    <w:t>2.0</w:t>
                  </w:r>
                </w:p>
              </w:tc>
              <w:tc>
                <w:tcPr>
                  <w:tcW w:w="522" w:type="pct"/>
                  <w:vAlign w:val="center"/>
                </w:tcPr>
                <w:p w14:paraId="624882AE">
                  <w:pPr>
                    <w:pStyle w:val="94"/>
                    <w:rPr>
                      <w:rFonts w:ascii="Times New Roman" w:hAnsi="Times New Roman"/>
                      <w:color w:val="auto"/>
                    </w:rPr>
                  </w:pPr>
                  <w:r>
                    <w:rPr>
                      <w:rFonts w:hint="eastAsia" w:ascii="Times New Roman" w:hAnsi="Times New Roman"/>
                      <w:color w:val="auto"/>
                    </w:rPr>
                    <w:t>1.5</w:t>
                  </w:r>
                </w:p>
              </w:tc>
              <w:tc>
                <w:tcPr>
                  <w:tcW w:w="547" w:type="pct"/>
                  <w:vAlign w:val="center"/>
                </w:tcPr>
                <w:p w14:paraId="12CA275A">
                  <w:pPr>
                    <w:pStyle w:val="94"/>
                    <w:rPr>
                      <w:rFonts w:ascii="Times New Roman" w:hAnsi="Times New Roman"/>
                      <w:color w:val="auto"/>
                    </w:rPr>
                  </w:pPr>
                  <w:r>
                    <w:rPr>
                      <w:rFonts w:hint="eastAsia" w:ascii="Times New Roman" w:hAnsi="Times New Roman"/>
                      <w:color w:val="auto"/>
                    </w:rPr>
                    <w:t>1.0</w:t>
                  </w:r>
                </w:p>
              </w:tc>
              <w:tc>
                <w:tcPr>
                  <w:tcW w:w="429" w:type="pct"/>
                  <w:vAlign w:val="center"/>
                </w:tcPr>
                <w:p w14:paraId="70546EE0">
                  <w:pPr>
                    <w:pStyle w:val="94"/>
                    <w:rPr>
                      <w:rFonts w:ascii="Times New Roman" w:hAnsi="Times New Roman" w:eastAsia="Arial"/>
                      <w:color w:val="auto"/>
                    </w:rPr>
                  </w:pPr>
                  <w:r>
                    <w:rPr>
                      <w:rFonts w:ascii="Times New Roman" w:hAnsi="Times New Roman"/>
                      <w:color w:val="auto"/>
                    </w:rPr>
                    <w:t>2.0</w:t>
                  </w:r>
                </w:p>
              </w:tc>
              <w:tc>
                <w:tcPr>
                  <w:tcW w:w="422" w:type="pct"/>
                  <w:vAlign w:val="center"/>
                </w:tcPr>
                <w:p w14:paraId="722E76A4">
                  <w:pPr>
                    <w:pStyle w:val="94"/>
                    <w:rPr>
                      <w:rFonts w:ascii="Times New Roman" w:hAnsi="Times New Roman"/>
                      <w:color w:val="auto"/>
                    </w:rPr>
                  </w:pPr>
                </w:p>
              </w:tc>
            </w:tr>
          </w:tbl>
          <w:p w14:paraId="07BAA8BD">
            <w:pPr>
              <w:pStyle w:val="96"/>
              <w:ind w:firstLine="480"/>
            </w:pPr>
            <w:r>
              <w:rPr>
                <w:rFonts w:hint="eastAsia"/>
              </w:rPr>
              <w:t>（3）声环境</w:t>
            </w:r>
          </w:p>
          <w:p w14:paraId="1EE7FD81">
            <w:pPr>
              <w:pStyle w:val="96"/>
              <w:ind w:firstLine="480"/>
            </w:pPr>
            <w:r>
              <w:rPr>
                <w:rFonts w:hint="eastAsia"/>
              </w:rPr>
              <w:t>根据《声环境质量标准》（GB3096-2008），项目所在地为1类区域，执行1类标准限值，即昼间55dB（A），夜间45dB（A）。</w:t>
            </w:r>
          </w:p>
          <w:p w14:paraId="44F50319">
            <w:pPr>
              <w:pStyle w:val="96"/>
              <w:ind w:firstLine="36" w:firstLineChars="15"/>
              <w:rPr>
                <w:b/>
                <w:bCs/>
              </w:rPr>
            </w:pPr>
            <w:r>
              <w:rPr>
                <w:rFonts w:hint="eastAsia"/>
                <w:b/>
                <w:bCs/>
              </w:rPr>
              <w:t>2、</w:t>
            </w:r>
            <w:r>
              <w:rPr>
                <w:b/>
                <w:bCs/>
              </w:rPr>
              <w:t>污染物排放标准</w:t>
            </w:r>
          </w:p>
          <w:p w14:paraId="0684A9A2">
            <w:pPr>
              <w:pStyle w:val="96"/>
              <w:ind w:firstLine="480"/>
            </w:pPr>
            <w:r>
              <w:rPr>
                <w:rFonts w:hint="eastAsia"/>
              </w:rPr>
              <w:t>（1）大气</w:t>
            </w:r>
            <w:r>
              <w:t>污染物排放标准</w:t>
            </w:r>
          </w:p>
          <w:p w14:paraId="2A6C4D45">
            <w:pPr>
              <w:pStyle w:val="96"/>
              <w:ind w:firstLine="480"/>
            </w:pPr>
            <w:r>
              <w:rPr>
                <w:rFonts w:hint="eastAsia"/>
              </w:rPr>
              <w:t>①井场</w:t>
            </w:r>
            <w:r>
              <w:t>废气排放标准</w:t>
            </w:r>
          </w:p>
          <w:p w14:paraId="17DD2A5C">
            <w:pPr>
              <w:pStyle w:val="96"/>
              <w:ind w:firstLine="480"/>
            </w:pPr>
            <w:r>
              <w:rPr>
                <w:rFonts w:hint="eastAsia"/>
              </w:rPr>
              <w:t>各井场废气污染物排放执行《大气污染物综合排放标准》（GB16297-</w:t>
            </w:r>
            <w:r>
              <w:t>19</w:t>
            </w:r>
            <w:r>
              <w:rPr>
                <w:rFonts w:hint="eastAsia"/>
              </w:rPr>
              <w:t>96）中的无组织监控浓度限值，相关污染物排放限值见下表。</w:t>
            </w:r>
          </w:p>
          <w:p w14:paraId="1AAEBA2E">
            <w:pPr>
              <w:pStyle w:val="19"/>
              <w:keepNext/>
            </w:pPr>
            <w:r>
              <w:t xml:space="preserve">表 </w:t>
            </w:r>
            <w:r>
              <w:fldChar w:fldCharType="begin"/>
            </w:r>
            <w:r>
              <w:instrText xml:space="preserve"> SEQ 表 \* ARABIC </w:instrText>
            </w:r>
            <w:r>
              <w:fldChar w:fldCharType="separate"/>
            </w:r>
            <w:r>
              <w:t>26</w:t>
            </w:r>
            <w:r>
              <w:fldChar w:fldCharType="end"/>
            </w:r>
            <w:r>
              <w:rPr>
                <w:rFonts w:hint="eastAsia"/>
              </w:rPr>
              <w:t>大气污染物综合排放标准</w:t>
            </w:r>
          </w:p>
          <w:tbl>
            <w:tblPr>
              <w:tblStyle w:val="7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 w:type="dxa"/>
                <w:bottom w:w="0" w:type="dxa"/>
                <w:right w:w="10" w:type="dxa"/>
              </w:tblCellMar>
            </w:tblPr>
            <w:tblGrid>
              <w:gridCol w:w="1744"/>
              <w:gridCol w:w="7580"/>
            </w:tblGrid>
            <w:tr w14:paraId="3084E9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cantSplit/>
                <w:jc w:val="center"/>
              </w:trPr>
              <w:tc>
                <w:tcPr>
                  <w:tcW w:w="935" w:type="pct"/>
                  <w:vAlign w:val="center"/>
                </w:tcPr>
                <w:p w14:paraId="3C293760">
                  <w:pPr>
                    <w:pStyle w:val="94"/>
                    <w:rPr>
                      <w:color w:val="auto"/>
                    </w:rPr>
                  </w:pPr>
                  <w:r>
                    <w:rPr>
                      <w:color w:val="auto"/>
                    </w:rPr>
                    <w:t>污染物</w:t>
                  </w:r>
                </w:p>
              </w:tc>
              <w:tc>
                <w:tcPr>
                  <w:tcW w:w="4065" w:type="pct"/>
                  <w:vAlign w:val="center"/>
                </w:tcPr>
                <w:p w14:paraId="143E2E5A">
                  <w:pPr>
                    <w:pStyle w:val="94"/>
                    <w:rPr>
                      <w:color w:val="auto"/>
                    </w:rPr>
                  </w:pPr>
                  <w:r>
                    <w:rPr>
                      <w:rFonts w:hint="eastAsia"/>
                      <w:color w:val="auto"/>
                    </w:rPr>
                    <w:t>无组织</w:t>
                  </w:r>
                  <w:r>
                    <w:rPr>
                      <w:color w:val="auto"/>
                    </w:rPr>
                    <w:t>排放监控浓度限值（</w:t>
                  </w:r>
                  <w:r>
                    <w:rPr>
                      <w:rFonts w:hint="eastAsia"/>
                      <w:color w:val="auto"/>
                    </w:rPr>
                    <w:t>mg</w:t>
                  </w:r>
                  <w:r>
                    <w:rPr>
                      <w:color w:val="auto"/>
                    </w:rPr>
                    <w:t>/Nm</w:t>
                  </w:r>
                  <w:r>
                    <w:rPr>
                      <w:color w:val="auto"/>
                      <w:vertAlign w:val="superscript"/>
                    </w:rPr>
                    <w:t>3</w:t>
                  </w:r>
                  <w:r>
                    <w:rPr>
                      <w:color w:val="auto"/>
                    </w:rPr>
                    <w:t>）</w:t>
                  </w:r>
                </w:p>
              </w:tc>
            </w:tr>
            <w:tr w14:paraId="6D6143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cantSplit/>
                <w:jc w:val="center"/>
              </w:trPr>
              <w:tc>
                <w:tcPr>
                  <w:tcW w:w="935" w:type="pct"/>
                  <w:vAlign w:val="center"/>
                </w:tcPr>
                <w:p w14:paraId="75F7B239">
                  <w:pPr>
                    <w:pStyle w:val="94"/>
                    <w:rPr>
                      <w:color w:val="auto"/>
                    </w:rPr>
                  </w:pPr>
                  <w:r>
                    <w:rPr>
                      <w:color w:val="auto"/>
                    </w:rPr>
                    <w:t>SO</w:t>
                  </w:r>
                  <w:r>
                    <w:rPr>
                      <w:color w:val="auto"/>
                      <w:vertAlign w:val="subscript"/>
                    </w:rPr>
                    <w:t>2</w:t>
                  </w:r>
                </w:p>
              </w:tc>
              <w:tc>
                <w:tcPr>
                  <w:tcW w:w="4065" w:type="pct"/>
                  <w:vAlign w:val="center"/>
                </w:tcPr>
                <w:p w14:paraId="3A7D20D4">
                  <w:pPr>
                    <w:pStyle w:val="94"/>
                    <w:rPr>
                      <w:color w:val="auto"/>
                    </w:rPr>
                  </w:pPr>
                  <w:r>
                    <w:rPr>
                      <w:rFonts w:hint="eastAsia"/>
                      <w:color w:val="auto"/>
                    </w:rPr>
                    <w:t>0.4</w:t>
                  </w:r>
                </w:p>
              </w:tc>
            </w:tr>
            <w:tr w14:paraId="3D66D8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cantSplit/>
                <w:jc w:val="center"/>
              </w:trPr>
              <w:tc>
                <w:tcPr>
                  <w:tcW w:w="935" w:type="pct"/>
                  <w:vAlign w:val="center"/>
                </w:tcPr>
                <w:p w14:paraId="475621FD">
                  <w:pPr>
                    <w:pStyle w:val="94"/>
                    <w:rPr>
                      <w:color w:val="auto"/>
                    </w:rPr>
                  </w:pPr>
                  <w:r>
                    <w:rPr>
                      <w:color w:val="auto"/>
                    </w:rPr>
                    <w:t>NO</w:t>
                  </w:r>
                  <w:r>
                    <w:rPr>
                      <w:color w:val="auto"/>
                      <w:vertAlign w:val="subscript"/>
                    </w:rPr>
                    <w:t>X</w:t>
                  </w:r>
                </w:p>
              </w:tc>
              <w:tc>
                <w:tcPr>
                  <w:tcW w:w="4065" w:type="pct"/>
                  <w:vAlign w:val="center"/>
                </w:tcPr>
                <w:p w14:paraId="4E62BFD9">
                  <w:pPr>
                    <w:pStyle w:val="94"/>
                    <w:rPr>
                      <w:color w:val="auto"/>
                    </w:rPr>
                  </w:pPr>
                  <w:r>
                    <w:rPr>
                      <w:rFonts w:hint="eastAsia"/>
                      <w:color w:val="auto"/>
                    </w:rPr>
                    <w:t>0.12</w:t>
                  </w:r>
                </w:p>
              </w:tc>
            </w:tr>
            <w:tr w14:paraId="02F6D3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cantSplit/>
                <w:jc w:val="center"/>
              </w:trPr>
              <w:tc>
                <w:tcPr>
                  <w:tcW w:w="935" w:type="pct"/>
                  <w:vAlign w:val="center"/>
                </w:tcPr>
                <w:p w14:paraId="2D9EACF0">
                  <w:pPr>
                    <w:pStyle w:val="94"/>
                    <w:rPr>
                      <w:color w:val="auto"/>
                    </w:rPr>
                  </w:pPr>
                  <w:r>
                    <w:rPr>
                      <w:rFonts w:hint="eastAsia"/>
                      <w:color w:val="auto"/>
                    </w:rPr>
                    <w:t>颗粒物</w:t>
                  </w:r>
                </w:p>
              </w:tc>
              <w:tc>
                <w:tcPr>
                  <w:tcW w:w="4065" w:type="pct"/>
                  <w:vAlign w:val="center"/>
                </w:tcPr>
                <w:p w14:paraId="3B5D3CEB">
                  <w:pPr>
                    <w:pStyle w:val="94"/>
                    <w:rPr>
                      <w:color w:val="auto"/>
                    </w:rPr>
                  </w:pPr>
                  <w:r>
                    <w:rPr>
                      <w:rFonts w:hint="eastAsia"/>
                      <w:color w:val="auto"/>
                    </w:rPr>
                    <w:t>1.0</w:t>
                  </w:r>
                </w:p>
              </w:tc>
            </w:tr>
            <w:tr w14:paraId="5CC939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cantSplit/>
                <w:jc w:val="center"/>
              </w:trPr>
              <w:tc>
                <w:tcPr>
                  <w:tcW w:w="935" w:type="pct"/>
                  <w:vAlign w:val="center"/>
                </w:tcPr>
                <w:p w14:paraId="520A43E0">
                  <w:pPr>
                    <w:pStyle w:val="94"/>
                    <w:rPr>
                      <w:color w:val="auto"/>
                    </w:rPr>
                  </w:pPr>
                  <w:r>
                    <w:rPr>
                      <w:rFonts w:hint="eastAsia"/>
                      <w:color w:val="auto"/>
                    </w:rPr>
                    <w:t>非甲烷总烃</w:t>
                  </w:r>
                </w:p>
              </w:tc>
              <w:tc>
                <w:tcPr>
                  <w:tcW w:w="4065" w:type="pct"/>
                  <w:vAlign w:val="center"/>
                </w:tcPr>
                <w:p w14:paraId="6EDAD924">
                  <w:pPr>
                    <w:pStyle w:val="94"/>
                    <w:rPr>
                      <w:color w:val="auto"/>
                    </w:rPr>
                  </w:pPr>
                  <w:r>
                    <w:rPr>
                      <w:rFonts w:hint="eastAsia"/>
                      <w:color w:val="auto"/>
                    </w:rPr>
                    <w:t>4.0</w:t>
                  </w:r>
                </w:p>
              </w:tc>
            </w:tr>
          </w:tbl>
          <w:p w14:paraId="2E9FAFF9">
            <w:pPr>
              <w:pStyle w:val="96"/>
              <w:ind w:firstLine="480"/>
            </w:pPr>
            <w:r>
              <w:rPr>
                <w:rFonts w:hint="eastAsia"/>
              </w:rPr>
              <w:t>②柴油发电机污染物排放量限值</w:t>
            </w:r>
          </w:p>
          <w:p w14:paraId="3F2EB907">
            <w:pPr>
              <w:pStyle w:val="96"/>
              <w:ind w:firstLine="480"/>
            </w:pPr>
            <w:r>
              <w:rPr>
                <w:rFonts w:hint="eastAsia"/>
              </w:rPr>
              <w:t>柴油发电机排气烟度执行《非道路柴油移动机械排气烟度限值及测量方法》（</w:t>
            </w:r>
            <w:r>
              <w:t>GB36886-2018</w:t>
            </w:r>
            <w:r>
              <w:rPr>
                <w:rFonts w:hint="eastAsia"/>
              </w:rPr>
              <w:t>），其余污染物执行《非道路移动机械用柴油机排气污染物排放限值及测量方法》（中国第三、第四阶段）（</w:t>
            </w:r>
            <w:r>
              <w:t>GB20891-2014</w:t>
            </w:r>
            <w:r>
              <w:rPr>
                <w:rFonts w:hint="eastAsia"/>
              </w:rPr>
              <w:t>）排放限值要求，具体见表</w:t>
            </w:r>
            <w:r>
              <w:t>3-6</w:t>
            </w:r>
            <w:r>
              <w:rPr>
                <w:rFonts w:hint="eastAsia"/>
              </w:rPr>
              <w:t>、表</w:t>
            </w:r>
            <w:r>
              <w:t>3-7</w:t>
            </w:r>
            <w:r>
              <w:rPr>
                <w:rFonts w:hint="eastAsia"/>
              </w:rPr>
              <w:t>。</w:t>
            </w:r>
          </w:p>
          <w:p w14:paraId="7E7D05A6">
            <w:pPr>
              <w:pStyle w:val="19"/>
              <w:keepNext/>
            </w:pPr>
            <w:r>
              <w:t xml:space="preserve">表 </w:t>
            </w:r>
            <w:r>
              <w:fldChar w:fldCharType="begin"/>
            </w:r>
            <w:r>
              <w:instrText xml:space="preserve"> SEQ 表 \* ARABIC </w:instrText>
            </w:r>
            <w:r>
              <w:fldChar w:fldCharType="separate"/>
            </w:r>
            <w:r>
              <w:t>27</w:t>
            </w:r>
            <w:r>
              <w:fldChar w:fldCharType="end"/>
            </w:r>
            <w:r>
              <w:rPr>
                <w:rFonts w:hint="eastAsia"/>
              </w:rPr>
              <w:t>非道路柴油移动机械排气烟度限值及测量方法</w:t>
            </w:r>
          </w:p>
          <w:tbl>
            <w:tblPr>
              <w:tblStyle w:val="7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 w:type="dxa"/>
                <w:bottom w:w="0" w:type="dxa"/>
                <w:right w:w="10" w:type="dxa"/>
              </w:tblCellMar>
            </w:tblPr>
            <w:tblGrid>
              <w:gridCol w:w="790"/>
              <w:gridCol w:w="3592"/>
              <w:gridCol w:w="2460"/>
              <w:gridCol w:w="2482"/>
            </w:tblGrid>
            <w:tr w14:paraId="52143B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cantSplit/>
                <w:jc w:val="center"/>
              </w:trPr>
              <w:tc>
                <w:tcPr>
                  <w:tcW w:w="424" w:type="pct"/>
                  <w:vAlign w:val="center"/>
                </w:tcPr>
                <w:p w14:paraId="1D4EB5C8">
                  <w:pPr>
                    <w:pStyle w:val="94"/>
                    <w:rPr>
                      <w:color w:val="auto"/>
                    </w:rPr>
                  </w:pPr>
                  <w:r>
                    <w:rPr>
                      <w:rFonts w:hint="eastAsia"/>
                      <w:color w:val="auto"/>
                    </w:rPr>
                    <w:t>类别</w:t>
                  </w:r>
                </w:p>
              </w:tc>
              <w:tc>
                <w:tcPr>
                  <w:tcW w:w="1926" w:type="pct"/>
                  <w:vAlign w:val="center"/>
                </w:tcPr>
                <w:p w14:paraId="6FA07286">
                  <w:pPr>
                    <w:pStyle w:val="94"/>
                    <w:rPr>
                      <w:color w:val="auto"/>
                    </w:rPr>
                  </w:pPr>
                  <w:r>
                    <w:rPr>
                      <w:rFonts w:hint="eastAsia"/>
                      <w:color w:val="auto"/>
                    </w:rPr>
                    <w:t>额定</w:t>
                  </w:r>
                  <w:r>
                    <w:rPr>
                      <w:color w:val="auto"/>
                    </w:rPr>
                    <w:t>净功率（</w:t>
                  </w:r>
                  <w:r>
                    <w:rPr>
                      <w:rFonts w:hint="eastAsia"/>
                      <w:color w:val="auto"/>
                    </w:rPr>
                    <w:t>P</w:t>
                  </w:r>
                  <w:r>
                    <w:rPr>
                      <w:color w:val="auto"/>
                    </w:rPr>
                    <w:t>max）</w:t>
                  </w:r>
                  <w:r>
                    <w:rPr>
                      <w:rFonts w:hint="eastAsia"/>
                      <w:color w:val="auto"/>
                    </w:rPr>
                    <w:t>（KW）</w:t>
                  </w:r>
                </w:p>
              </w:tc>
              <w:tc>
                <w:tcPr>
                  <w:tcW w:w="1319" w:type="pct"/>
                  <w:vAlign w:val="center"/>
                </w:tcPr>
                <w:p w14:paraId="795679B5">
                  <w:pPr>
                    <w:pStyle w:val="94"/>
                    <w:rPr>
                      <w:color w:val="auto"/>
                    </w:rPr>
                  </w:pPr>
                  <w:r>
                    <w:rPr>
                      <w:rFonts w:hint="eastAsia"/>
                      <w:color w:val="auto"/>
                    </w:rPr>
                    <w:t>光吸收系数</w:t>
                  </w:r>
                  <w:r>
                    <w:rPr>
                      <w:color w:val="auto"/>
                    </w:rPr>
                    <w:t>（</w:t>
                  </w:r>
                  <w:r>
                    <w:rPr>
                      <w:rFonts w:hint="eastAsia"/>
                      <w:color w:val="auto"/>
                    </w:rPr>
                    <w:t>m</w:t>
                  </w:r>
                  <w:r>
                    <w:rPr>
                      <w:color w:val="auto"/>
                      <w:vertAlign w:val="superscript"/>
                    </w:rPr>
                    <w:t>-1</w:t>
                  </w:r>
                  <w:r>
                    <w:rPr>
                      <w:color w:val="auto"/>
                    </w:rPr>
                    <w:t>）</w:t>
                  </w:r>
                </w:p>
              </w:tc>
              <w:tc>
                <w:tcPr>
                  <w:tcW w:w="1331" w:type="pct"/>
                  <w:vAlign w:val="center"/>
                </w:tcPr>
                <w:p w14:paraId="05881EDA">
                  <w:pPr>
                    <w:pStyle w:val="94"/>
                    <w:rPr>
                      <w:color w:val="auto"/>
                    </w:rPr>
                  </w:pPr>
                  <w:r>
                    <w:rPr>
                      <w:rFonts w:hint="eastAsia"/>
                      <w:color w:val="auto"/>
                    </w:rPr>
                    <w:t>林格曼</w:t>
                  </w:r>
                  <w:r>
                    <w:rPr>
                      <w:color w:val="auto"/>
                    </w:rPr>
                    <w:t>黑度级数</w:t>
                  </w:r>
                </w:p>
              </w:tc>
            </w:tr>
            <w:tr w14:paraId="13CCE5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cantSplit/>
                <w:jc w:val="center"/>
              </w:trPr>
              <w:tc>
                <w:tcPr>
                  <w:tcW w:w="424" w:type="pct"/>
                  <w:vAlign w:val="center"/>
                </w:tcPr>
                <w:p w14:paraId="6D425BAC">
                  <w:pPr>
                    <w:pStyle w:val="94"/>
                    <w:rPr>
                      <w:color w:val="auto"/>
                    </w:rPr>
                  </w:pPr>
                  <w:r>
                    <w:rPr>
                      <w:rFonts w:hint="eastAsia"/>
                      <w:color w:val="auto"/>
                    </w:rPr>
                    <w:t>Ⅱ类</w:t>
                  </w:r>
                </w:p>
              </w:tc>
              <w:tc>
                <w:tcPr>
                  <w:tcW w:w="1926" w:type="pct"/>
                  <w:vAlign w:val="center"/>
                </w:tcPr>
                <w:p w14:paraId="25C3D10B">
                  <w:pPr>
                    <w:pStyle w:val="94"/>
                    <w:rPr>
                      <w:color w:val="auto"/>
                    </w:rPr>
                  </w:pPr>
                  <w:r>
                    <w:rPr>
                      <w:rFonts w:hint="eastAsia"/>
                      <w:color w:val="auto"/>
                    </w:rPr>
                    <w:t>P</w:t>
                  </w:r>
                  <w:r>
                    <w:rPr>
                      <w:color w:val="auto"/>
                    </w:rPr>
                    <w:t>max≥37</w:t>
                  </w:r>
                </w:p>
              </w:tc>
              <w:tc>
                <w:tcPr>
                  <w:tcW w:w="1319" w:type="pct"/>
                  <w:vAlign w:val="center"/>
                </w:tcPr>
                <w:p w14:paraId="64375AB3">
                  <w:pPr>
                    <w:pStyle w:val="94"/>
                    <w:rPr>
                      <w:color w:val="auto"/>
                    </w:rPr>
                  </w:pPr>
                  <w:r>
                    <w:rPr>
                      <w:rFonts w:hint="eastAsia"/>
                      <w:color w:val="auto"/>
                    </w:rPr>
                    <w:t>0.80</w:t>
                  </w:r>
                </w:p>
              </w:tc>
              <w:tc>
                <w:tcPr>
                  <w:tcW w:w="1331" w:type="pct"/>
                  <w:vAlign w:val="center"/>
                </w:tcPr>
                <w:p w14:paraId="3A9F7EB6">
                  <w:pPr>
                    <w:pStyle w:val="94"/>
                    <w:rPr>
                      <w:color w:val="auto"/>
                    </w:rPr>
                  </w:pPr>
                  <w:r>
                    <w:rPr>
                      <w:rFonts w:hint="eastAsia"/>
                      <w:color w:val="auto"/>
                    </w:rPr>
                    <w:t>1（不能</w:t>
                  </w:r>
                  <w:r>
                    <w:rPr>
                      <w:color w:val="auto"/>
                    </w:rPr>
                    <w:t>有</w:t>
                  </w:r>
                  <w:r>
                    <w:rPr>
                      <w:rFonts w:hint="eastAsia"/>
                      <w:color w:val="auto"/>
                    </w:rPr>
                    <w:t>可见</w:t>
                  </w:r>
                  <w:r>
                    <w:rPr>
                      <w:color w:val="auto"/>
                    </w:rPr>
                    <w:t>烟</w:t>
                  </w:r>
                  <w:r>
                    <w:rPr>
                      <w:rFonts w:hint="eastAsia"/>
                      <w:color w:val="auto"/>
                    </w:rPr>
                    <w:t>）</w:t>
                  </w:r>
                </w:p>
              </w:tc>
            </w:tr>
          </w:tbl>
          <w:p w14:paraId="3687BAB6">
            <w:pPr>
              <w:pStyle w:val="19"/>
              <w:keepNext/>
            </w:pPr>
            <w:r>
              <w:t xml:space="preserve">表 </w:t>
            </w:r>
            <w:r>
              <w:fldChar w:fldCharType="begin"/>
            </w:r>
            <w:r>
              <w:instrText xml:space="preserve"> SEQ 表 \* ARABIC </w:instrText>
            </w:r>
            <w:r>
              <w:fldChar w:fldCharType="separate"/>
            </w:r>
            <w:r>
              <w:t>28</w:t>
            </w:r>
            <w:r>
              <w:fldChar w:fldCharType="end"/>
            </w:r>
            <w:r>
              <w:rPr>
                <w:rFonts w:hint="eastAsia"/>
              </w:rPr>
              <w:t>非道路移动机械用柴油机排气污染物排放限值及测量方法</w:t>
            </w:r>
          </w:p>
          <w:tbl>
            <w:tblPr>
              <w:tblStyle w:val="7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 w:type="dxa"/>
                <w:bottom w:w="0" w:type="dxa"/>
                <w:right w:w="10" w:type="dxa"/>
              </w:tblCellMar>
            </w:tblPr>
            <w:tblGrid>
              <w:gridCol w:w="1524"/>
              <w:gridCol w:w="2658"/>
              <w:gridCol w:w="1714"/>
              <w:gridCol w:w="1714"/>
              <w:gridCol w:w="1714"/>
            </w:tblGrid>
            <w:tr w14:paraId="5E3764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jc w:val="center"/>
              </w:trPr>
              <w:tc>
                <w:tcPr>
                  <w:tcW w:w="817" w:type="pct"/>
                  <w:vAlign w:val="center"/>
                </w:tcPr>
                <w:p w14:paraId="1012AC1D">
                  <w:pPr>
                    <w:pStyle w:val="94"/>
                    <w:rPr>
                      <w:color w:val="auto"/>
                    </w:rPr>
                  </w:pPr>
                  <w:r>
                    <w:rPr>
                      <w:rFonts w:hint="eastAsia"/>
                      <w:color w:val="auto"/>
                    </w:rPr>
                    <w:t>类别</w:t>
                  </w:r>
                </w:p>
              </w:tc>
              <w:tc>
                <w:tcPr>
                  <w:tcW w:w="1425" w:type="pct"/>
                  <w:vAlign w:val="center"/>
                </w:tcPr>
                <w:p w14:paraId="37619FC4">
                  <w:pPr>
                    <w:pStyle w:val="94"/>
                    <w:rPr>
                      <w:color w:val="auto"/>
                    </w:rPr>
                  </w:pPr>
                  <w:r>
                    <w:rPr>
                      <w:rFonts w:hint="eastAsia"/>
                      <w:color w:val="auto"/>
                    </w:rPr>
                    <w:t>额定</w:t>
                  </w:r>
                  <w:r>
                    <w:rPr>
                      <w:color w:val="auto"/>
                    </w:rPr>
                    <w:t>净功率</w:t>
                  </w:r>
                </w:p>
                <w:p w14:paraId="373AE3C4">
                  <w:pPr>
                    <w:pStyle w:val="94"/>
                    <w:rPr>
                      <w:color w:val="auto"/>
                    </w:rPr>
                  </w:pPr>
                  <w:r>
                    <w:rPr>
                      <w:color w:val="auto"/>
                    </w:rPr>
                    <w:t>（</w:t>
                  </w:r>
                  <w:r>
                    <w:rPr>
                      <w:rFonts w:hint="eastAsia"/>
                      <w:color w:val="auto"/>
                    </w:rPr>
                    <w:t>P</w:t>
                  </w:r>
                  <w:r>
                    <w:rPr>
                      <w:color w:val="auto"/>
                    </w:rPr>
                    <w:t>max）</w:t>
                  </w:r>
                  <w:r>
                    <w:rPr>
                      <w:rFonts w:hint="eastAsia"/>
                      <w:color w:val="auto"/>
                    </w:rPr>
                    <w:t>（KW）</w:t>
                  </w:r>
                </w:p>
              </w:tc>
              <w:tc>
                <w:tcPr>
                  <w:tcW w:w="919" w:type="pct"/>
                  <w:vAlign w:val="center"/>
                </w:tcPr>
                <w:p w14:paraId="6940AD91">
                  <w:pPr>
                    <w:pStyle w:val="94"/>
                    <w:rPr>
                      <w:color w:val="auto"/>
                    </w:rPr>
                  </w:pPr>
                  <w:r>
                    <w:rPr>
                      <w:rFonts w:hint="eastAsia"/>
                      <w:color w:val="auto"/>
                    </w:rPr>
                    <w:t>H</w:t>
                  </w:r>
                  <w:r>
                    <w:rPr>
                      <w:color w:val="auto"/>
                    </w:rPr>
                    <w:t>C+NOx</w:t>
                  </w:r>
                </w:p>
                <w:p w14:paraId="714F8BEF">
                  <w:pPr>
                    <w:pStyle w:val="94"/>
                    <w:rPr>
                      <w:color w:val="auto"/>
                    </w:rPr>
                  </w:pPr>
                  <w:r>
                    <w:rPr>
                      <w:color w:val="auto"/>
                    </w:rPr>
                    <w:t>（</w:t>
                  </w:r>
                  <w:r>
                    <w:rPr>
                      <w:rFonts w:hint="eastAsia"/>
                      <w:color w:val="auto"/>
                    </w:rPr>
                    <w:t>g</w:t>
                  </w:r>
                  <w:r>
                    <w:rPr>
                      <w:color w:val="auto"/>
                    </w:rPr>
                    <w:t>/kwh）</w:t>
                  </w:r>
                </w:p>
              </w:tc>
              <w:tc>
                <w:tcPr>
                  <w:tcW w:w="919" w:type="pct"/>
                  <w:vAlign w:val="center"/>
                </w:tcPr>
                <w:p w14:paraId="13B83E1F">
                  <w:pPr>
                    <w:pStyle w:val="94"/>
                    <w:rPr>
                      <w:color w:val="auto"/>
                    </w:rPr>
                  </w:pPr>
                  <w:r>
                    <w:rPr>
                      <w:rFonts w:hint="eastAsia"/>
                      <w:color w:val="auto"/>
                    </w:rPr>
                    <w:t>C</w:t>
                  </w:r>
                  <w:r>
                    <w:rPr>
                      <w:color w:val="auto"/>
                    </w:rPr>
                    <w:t>O</w:t>
                  </w:r>
                </w:p>
                <w:p w14:paraId="1E33ED20">
                  <w:pPr>
                    <w:pStyle w:val="94"/>
                    <w:rPr>
                      <w:color w:val="auto"/>
                    </w:rPr>
                  </w:pPr>
                  <w:r>
                    <w:rPr>
                      <w:color w:val="auto"/>
                    </w:rPr>
                    <w:t>（</w:t>
                  </w:r>
                  <w:r>
                    <w:rPr>
                      <w:rFonts w:hint="eastAsia"/>
                      <w:color w:val="auto"/>
                    </w:rPr>
                    <w:t>g</w:t>
                  </w:r>
                  <w:r>
                    <w:rPr>
                      <w:color w:val="auto"/>
                    </w:rPr>
                    <w:t>/kwh）</w:t>
                  </w:r>
                </w:p>
              </w:tc>
              <w:tc>
                <w:tcPr>
                  <w:tcW w:w="919" w:type="pct"/>
                  <w:vAlign w:val="center"/>
                </w:tcPr>
                <w:p w14:paraId="491CB180">
                  <w:pPr>
                    <w:pStyle w:val="94"/>
                    <w:rPr>
                      <w:color w:val="auto"/>
                    </w:rPr>
                  </w:pPr>
                  <w:r>
                    <w:rPr>
                      <w:rFonts w:hint="eastAsia"/>
                      <w:color w:val="auto"/>
                    </w:rPr>
                    <w:t>PM</w:t>
                  </w:r>
                </w:p>
                <w:p w14:paraId="6CD26346">
                  <w:pPr>
                    <w:pStyle w:val="94"/>
                    <w:rPr>
                      <w:color w:val="auto"/>
                    </w:rPr>
                  </w:pPr>
                  <w:r>
                    <w:rPr>
                      <w:color w:val="auto"/>
                    </w:rPr>
                    <w:t>（</w:t>
                  </w:r>
                  <w:r>
                    <w:rPr>
                      <w:rFonts w:hint="eastAsia"/>
                      <w:color w:val="auto"/>
                    </w:rPr>
                    <w:t>g</w:t>
                  </w:r>
                  <w:r>
                    <w:rPr>
                      <w:color w:val="auto"/>
                    </w:rPr>
                    <w:t>/kwh）</w:t>
                  </w:r>
                </w:p>
              </w:tc>
            </w:tr>
            <w:tr w14:paraId="536AAA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cantSplit/>
                <w:jc w:val="center"/>
              </w:trPr>
              <w:tc>
                <w:tcPr>
                  <w:tcW w:w="817" w:type="pct"/>
                  <w:vMerge w:val="restart"/>
                  <w:vAlign w:val="center"/>
                </w:tcPr>
                <w:p w14:paraId="0E0CB8D9">
                  <w:pPr>
                    <w:pStyle w:val="94"/>
                    <w:rPr>
                      <w:color w:val="auto"/>
                    </w:rPr>
                  </w:pPr>
                  <w:r>
                    <w:rPr>
                      <w:rFonts w:hint="eastAsia"/>
                      <w:color w:val="auto"/>
                    </w:rPr>
                    <w:t>第三阶段</w:t>
                  </w:r>
                </w:p>
              </w:tc>
              <w:tc>
                <w:tcPr>
                  <w:tcW w:w="1425" w:type="pct"/>
                  <w:vAlign w:val="center"/>
                </w:tcPr>
                <w:p w14:paraId="191C2404">
                  <w:pPr>
                    <w:pStyle w:val="94"/>
                    <w:rPr>
                      <w:color w:val="auto"/>
                    </w:rPr>
                  </w:pPr>
                  <w:r>
                    <w:rPr>
                      <w:rFonts w:hint="eastAsia"/>
                      <w:color w:val="auto"/>
                    </w:rPr>
                    <w:t>P</w:t>
                  </w:r>
                  <w:r>
                    <w:rPr>
                      <w:color w:val="auto"/>
                    </w:rPr>
                    <w:t>max≥560</w:t>
                  </w:r>
                </w:p>
              </w:tc>
              <w:tc>
                <w:tcPr>
                  <w:tcW w:w="919" w:type="pct"/>
                  <w:vAlign w:val="center"/>
                </w:tcPr>
                <w:p w14:paraId="679E765B">
                  <w:pPr>
                    <w:pStyle w:val="94"/>
                    <w:rPr>
                      <w:color w:val="auto"/>
                    </w:rPr>
                  </w:pPr>
                  <w:r>
                    <w:rPr>
                      <w:rFonts w:hint="eastAsia"/>
                      <w:color w:val="auto"/>
                    </w:rPr>
                    <w:t>6.4</w:t>
                  </w:r>
                </w:p>
              </w:tc>
              <w:tc>
                <w:tcPr>
                  <w:tcW w:w="919" w:type="pct"/>
                  <w:vAlign w:val="center"/>
                </w:tcPr>
                <w:p w14:paraId="452F7725">
                  <w:pPr>
                    <w:pStyle w:val="94"/>
                    <w:rPr>
                      <w:color w:val="auto"/>
                    </w:rPr>
                  </w:pPr>
                  <w:r>
                    <w:rPr>
                      <w:rFonts w:hint="eastAsia"/>
                      <w:color w:val="auto"/>
                    </w:rPr>
                    <w:t>3.5</w:t>
                  </w:r>
                </w:p>
              </w:tc>
              <w:tc>
                <w:tcPr>
                  <w:tcW w:w="919" w:type="pct"/>
                  <w:vAlign w:val="center"/>
                </w:tcPr>
                <w:p w14:paraId="48FAAA78">
                  <w:pPr>
                    <w:pStyle w:val="94"/>
                    <w:rPr>
                      <w:color w:val="auto"/>
                    </w:rPr>
                  </w:pPr>
                  <w:r>
                    <w:rPr>
                      <w:rFonts w:hint="eastAsia"/>
                      <w:color w:val="auto"/>
                    </w:rPr>
                    <w:t>0.20</w:t>
                  </w:r>
                </w:p>
              </w:tc>
            </w:tr>
            <w:tr w14:paraId="3A4F28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cantSplit/>
                <w:jc w:val="center"/>
              </w:trPr>
              <w:tc>
                <w:tcPr>
                  <w:tcW w:w="817" w:type="pct"/>
                  <w:vMerge w:val="continue"/>
                  <w:vAlign w:val="center"/>
                </w:tcPr>
                <w:p w14:paraId="3E11CE89">
                  <w:pPr>
                    <w:pStyle w:val="94"/>
                    <w:rPr>
                      <w:color w:val="auto"/>
                    </w:rPr>
                  </w:pPr>
                </w:p>
              </w:tc>
              <w:tc>
                <w:tcPr>
                  <w:tcW w:w="1425" w:type="pct"/>
                  <w:vAlign w:val="center"/>
                </w:tcPr>
                <w:p w14:paraId="4C2D3895">
                  <w:pPr>
                    <w:pStyle w:val="94"/>
                    <w:rPr>
                      <w:color w:val="auto"/>
                    </w:rPr>
                  </w:pPr>
                  <w:r>
                    <w:rPr>
                      <w:rFonts w:hint="eastAsia"/>
                      <w:color w:val="auto"/>
                    </w:rPr>
                    <w:t>75＜P</w:t>
                  </w:r>
                  <w:r>
                    <w:rPr>
                      <w:color w:val="auto"/>
                    </w:rPr>
                    <w:t>max</w:t>
                  </w:r>
                  <w:r>
                    <w:rPr>
                      <w:rFonts w:hint="eastAsia"/>
                      <w:color w:val="auto"/>
                    </w:rPr>
                    <w:t>＜</w:t>
                  </w:r>
                  <w:r>
                    <w:rPr>
                      <w:color w:val="auto"/>
                    </w:rPr>
                    <w:t>130</w:t>
                  </w:r>
                </w:p>
              </w:tc>
              <w:tc>
                <w:tcPr>
                  <w:tcW w:w="919" w:type="pct"/>
                  <w:vAlign w:val="center"/>
                </w:tcPr>
                <w:p w14:paraId="7DE08BA9">
                  <w:pPr>
                    <w:pStyle w:val="94"/>
                    <w:rPr>
                      <w:color w:val="auto"/>
                    </w:rPr>
                  </w:pPr>
                  <w:r>
                    <w:rPr>
                      <w:rFonts w:hint="eastAsia"/>
                      <w:color w:val="auto"/>
                    </w:rPr>
                    <w:t>4.0</w:t>
                  </w:r>
                </w:p>
              </w:tc>
              <w:tc>
                <w:tcPr>
                  <w:tcW w:w="919" w:type="pct"/>
                  <w:vAlign w:val="center"/>
                </w:tcPr>
                <w:p w14:paraId="2A5AC2F0">
                  <w:pPr>
                    <w:pStyle w:val="94"/>
                    <w:rPr>
                      <w:color w:val="auto"/>
                    </w:rPr>
                  </w:pPr>
                  <w:r>
                    <w:rPr>
                      <w:rFonts w:hint="eastAsia"/>
                      <w:color w:val="auto"/>
                    </w:rPr>
                    <w:t>5.0</w:t>
                  </w:r>
                </w:p>
              </w:tc>
              <w:tc>
                <w:tcPr>
                  <w:tcW w:w="919" w:type="pct"/>
                  <w:vAlign w:val="center"/>
                </w:tcPr>
                <w:p w14:paraId="76F5446E">
                  <w:pPr>
                    <w:pStyle w:val="94"/>
                    <w:rPr>
                      <w:color w:val="auto"/>
                    </w:rPr>
                  </w:pPr>
                  <w:r>
                    <w:rPr>
                      <w:rFonts w:hint="eastAsia"/>
                      <w:color w:val="auto"/>
                    </w:rPr>
                    <w:t>0.30</w:t>
                  </w:r>
                </w:p>
              </w:tc>
            </w:tr>
          </w:tbl>
          <w:p w14:paraId="09D53A25">
            <w:pPr>
              <w:pStyle w:val="96"/>
              <w:ind w:firstLine="480"/>
            </w:pPr>
            <w:r>
              <w:rPr>
                <w:rFonts w:hint="eastAsia"/>
              </w:rPr>
              <w:t>（2）噪声</w:t>
            </w:r>
            <w:r>
              <w:t>排放标准</w:t>
            </w:r>
          </w:p>
          <w:p w14:paraId="542458A2">
            <w:pPr>
              <w:pStyle w:val="96"/>
              <w:ind w:firstLine="480"/>
            </w:pPr>
            <w:r>
              <w:rPr>
                <w:rFonts w:hint="eastAsia"/>
              </w:rPr>
              <w:t>本项目井场厂界噪声执行《建筑施工场界环境噪声排放标准》（GB12523-2011），标准值为：昼间70dB（A），夜间55dB（A）。</w:t>
            </w:r>
          </w:p>
          <w:p w14:paraId="11692BBA">
            <w:pPr>
              <w:pStyle w:val="96"/>
              <w:ind w:firstLine="480"/>
            </w:pPr>
            <w:r>
              <w:rPr>
                <w:rFonts w:hint="eastAsia"/>
              </w:rPr>
              <w:t>（3）固体</w:t>
            </w:r>
            <w:r>
              <w:t>废物排放标准</w:t>
            </w:r>
          </w:p>
          <w:p w14:paraId="637FAD13">
            <w:pPr>
              <w:pStyle w:val="96"/>
              <w:ind w:firstLine="480"/>
            </w:pPr>
            <w:r>
              <w:rPr>
                <w:rFonts w:hint="eastAsia"/>
              </w:rPr>
              <w:t>危险废物执行《危险废物贮存污染控制标准》</w:t>
            </w:r>
            <w:r>
              <w:t>(GB18597-2023)、《危险废物储存、贮存、运输技术规范》（HJ2025-2012）、《建设项目危险废物环境影响评价指南》（环境保护部2017年第43号公告）的有关规定。危险废物贮存库设置标志执行《危险废物识别标志设置技术规范（HJ1276-2022）》、《环境保护图形标志—固体废物贮存（处置）场》（GB15562.2-1995）修改单（生态环境部公告2023年第5号）。</w:t>
            </w:r>
          </w:p>
        </w:tc>
      </w:tr>
      <w:tr w14:paraId="41B1E8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2836" w:hRule="atLeast"/>
          <w:jc w:val="center"/>
        </w:trPr>
        <w:tc>
          <w:tcPr>
            <w:tcW w:w="710" w:type="dxa"/>
            <w:vAlign w:val="center"/>
          </w:tcPr>
          <w:p w14:paraId="3A465DED">
            <w:pPr>
              <w:adjustRightInd w:val="0"/>
              <w:snapToGrid w:val="0"/>
              <w:jc w:val="center"/>
              <w:rPr>
                <w:rFonts w:ascii="宋体" w:hAnsi="宋体" w:eastAsia="宋体"/>
                <w:kern w:val="0"/>
                <w:sz w:val="24"/>
              </w:rPr>
            </w:pPr>
            <w:r>
              <w:rPr>
                <w:rFonts w:ascii="宋体" w:hAnsi="宋体" w:eastAsia="宋体"/>
                <w:kern w:val="0"/>
                <w:sz w:val="24"/>
              </w:rPr>
              <w:t>其他</w:t>
            </w:r>
          </w:p>
        </w:tc>
        <w:tc>
          <w:tcPr>
            <w:tcW w:w="8447" w:type="dxa"/>
            <w:vAlign w:val="center"/>
          </w:tcPr>
          <w:p w14:paraId="388E2F1B">
            <w:pPr>
              <w:adjustRightInd w:val="0"/>
              <w:snapToGrid w:val="0"/>
              <w:jc w:val="center"/>
              <w:rPr>
                <w:rFonts w:ascii="宋体" w:hAnsi="宋体" w:eastAsia="宋体"/>
                <w:kern w:val="0"/>
                <w:sz w:val="24"/>
              </w:rPr>
            </w:pPr>
            <w:r>
              <w:rPr>
                <w:rFonts w:hint="eastAsia" w:ascii="宋体" w:hAnsi="宋体" w:eastAsia="宋体"/>
                <w:kern w:val="0"/>
                <w:sz w:val="24"/>
              </w:rPr>
              <w:t>无</w:t>
            </w:r>
          </w:p>
        </w:tc>
      </w:tr>
    </w:tbl>
    <w:p w14:paraId="613B6564">
      <w:pPr>
        <w:jc w:val="center"/>
        <w:outlineLvl w:val="0"/>
        <w:rPr>
          <w:rStyle w:val="404"/>
        </w:rPr>
      </w:pPr>
      <w:bookmarkStart w:id="40" w:name="_Toc164890570"/>
      <w:bookmarkStart w:id="41" w:name="_Toc165209994"/>
      <w:bookmarkStart w:id="42" w:name="_Toc165211508"/>
      <w:r>
        <w:rPr>
          <w:rStyle w:val="404"/>
        </w:rPr>
        <w:br w:type="page"/>
      </w:r>
    </w:p>
    <w:p w14:paraId="3EADA464">
      <w:pPr>
        <w:jc w:val="center"/>
        <w:outlineLvl w:val="0"/>
        <w:rPr>
          <w:rStyle w:val="404"/>
        </w:rPr>
      </w:pPr>
      <w:bookmarkStart w:id="43" w:name="_Toc168031007"/>
      <w:bookmarkStart w:id="44" w:name="_Toc169765989"/>
      <w:bookmarkStart w:id="45" w:name="_Toc171579800"/>
      <w:r>
        <w:rPr>
          <w:rStyle w:val="404"/>
        </w:rPr>
        <w:t>四、生态环境影响分析</w:t>
      </w:r>
      <w:bookmarkEnd w:id="40"/>
      <w:bookmarkEnd w:id="41"/>
      <w:bookmarkEnd w:id="42"/>
      <w:bookmarkEnd w:id="43"/>
      <w:bookmarkEnd w:id="44"/>
      <w:bookmarkEnd w:id="45"/>
    </w:p>
    <w:tbl>
      <w:tblPr>
        <w:tblStyle w:val="72"/>
        <w:tblW w:w="92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 w:type="dxa"/>
          <w:bottom w:w="0" w:type="dxa"/>
          <w:right w:w="10" w:type="dxa"/>
        </w:tblCellMar>
      </w:tblPr>
      <w:tblGrid>
        <w:gridCol w:w="468"/>
        <w:gridCol w:w="8774"/>
      </w:tblGrid>
      <w:tr w14:paraId="4F32AB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4006" w:hRule="atLeast"/>
          <w:jc w:val="center"/>
        </w:trPr>
        <w:tc>
          <w:tcPr>
            <w:tcW w:w="468" w:type="dxa"/>
            <w:tcMar>
              <w:left w:w="28" w:type="dxa"/>
              <w:right w:w="28" w:type="dxa"/>
            </w:tcMar>
            <w:vAlign w:val="center"/>
          </w:tcPr>
          <w:p w14:paraId="26885BDC">
            <w:pPr>
              <w:adjustRightInd w:val="0"/>
              <w:snapToGrid w:val="0"/>
              <w:jc w:val="center"/>
              <w:rPr>
                <w:rFonts w:ascii="宋体" w:hAnsi="宋体" w:eastAsia="宋体"/>
                <w:bCs/>
              </w:rPr>
            </w:pPr>
            <w:bookmarkStart w:id="46" w:name="_Hlk49796138"/>
            <w:r>
              <w:rPr>
                <w:rFonts w:ascii="宋体" w:hAnsi="宋体" w:eastAsia="宋体"/>
                <w:bCs/>
                <w:spacing w:val="10"/>
              </w:rPr>
              <w:t>施工期生态环境影响分析</w:t>
            </w:r>
            <w:bookmarkEnd w:id="46"/>
          </w:p>
        </w:tc>
        <w:tc>
          <w:tcPr>
            <w:tcW w:w="8774" w:type="dxa"/>
          </w:tcPr>
          <w:p w14:paraId="5838BDFE">
            <w:pPr>
              <w:pStyle w:val="96"/>
              <w:ind w:firstLine="480"/>
            </w:pPr>
            <w:r>
              <w:rPr>
                <w:rFonts w:hint="eastAsia"/>
              </w:rPr>
              <w:t>本项目</w:t>
            </w:r>
            <w:r>
              <w:t>施工期主要包括钻井期、压裂期。</w:t>
            </w:r>
          </w:p>
          <w:p w14:paraId="13DDA686">
            <w:pPr>
              <w:pStyle w:val="96"/>
              <w:ind w:firstLine="482"/>
              <w:rPr>
                <w:b/>
              </w:rPr>
            </w:pPr>
            <w:r>
              <w:rPr>
                <w:rFonts w:hint="eastAsia"/>
                <w:b/>
              </w:rPr>
              <w:t>1、</w:t>
            </w:r>
            <w:r>
              <w:rPr>
                <w:b/>
              </w:rPr>
              <w:t>环境空气影响分析</w:t>
            </w:r>
          </w:p>
          <w:p w14:paraId="394A0FB6">
            <w:pPr>
              <w:pStyle w:val="96"/>
              <w:ind w:firstLine="480"/>
            </w:pPr>
            <w:r>
              <w:rPr>
                <w:rFonts w:hint="eastAsia"/>
              </w:rPr>
              <w:t>钻井施工期，环境空气污染源主要表现为施工扬尘、车辆尾气、柴油发电机产生的废气。</w:t>
            </w:r>
          </w:p>
          <w:p w14:paraId="69499953">
            <w:pPr>
              <w:pStyle w:val="96"/>
              <w:ind w:firstLine="480"/>
            </w:pPr>
            <w:r>
              <w:rPr>
                <w:rFonts w:hint="eastAsia"/>
              </w:rPr>
              <w:t>（</w:t>
            </w:r>
            <w:r>
              <w:t>1</w:t>
            </w:r>
            <w:r>
              <w:rPr>
                <w:rFonts w:hint="eastAsia"/>
              </w:rPr>
              <w:t>）施工扬尘</w:t>
            </w:r>
          </w:p>
          <w:p w14:paraId="478BE7AF">
            <w:pPr>
              <w:pStyle w:val="96"/>
              <w:ind w:firstLine="480"/>
            </w:pPr>
            <w:r>
              <w:rPr>
                <w:rFonts w:hint="eastAsia"/>
              </w:rPr>
              <w:t>本项目大气污染物主要为勘探井场施工扬尘，其中井场平整、清水池、泥浆池挖掘、材料运输等工序产生量较大，原材料堆存、设备安装等扬尘产生量较小。由于污染源为间歇性源并且扬尘点低，会在近距离内形成局部污染。</w:t>
            </w:r>
          </w:p>
          <w:p w14:paraId="5D43F8F1">
            <w:pPr>
              <w:pStyle w:val="96"/>
              <w:ind w:firstLine="480"/>
            </w:pPr>
            <w:r>
              <w:rPr>
                <w:rFonts w:hint="eastAsia"/>
              </w:rPr>
              <w:t>评价要求建设单位在施工工地公示扬尘污染防治措施、负责人、扬尘监督管理主管部门等信息，确保做到周边围挡、物料堆放覆盖、土方开挖湿法作业、路面硬化、出入车辆清洗、渣土车辆密闭运输“六个百分之百”。</w:t>
            </w:r>
          </w:p>
          <w:p w14:paraId="13B223A0">
            <w:pPr>
              <w:pStyle w:val="96"/>
              <w:ind w:firstLine="480"/>
            </w:pPr>
            <w:r>
              <w:rPr>
                <w:rFonts w:hint="eastAsia"/>
              </w:rPr>
              <w:t>拟采取措施如下：</w:t>
            </w:r>
          </w:p>
          <w:p w14:paraId="340D5E15">
            <w:pPr>
              <w:pStyle w:val="96"/>
              <w:ind w:firstLine="480"/>
            </w:pPr>
            <w:r>
              <w:rPr>
                <w:rFonts w:hint="eastAsia"/>
              </w:rPr>
              <w:t>①在施工现场出入口明显位置设置扬尘防治公示牌，内容包括建设、施工、监理及监管等单位名称、扬尘防治负责人的名称、联系电话、举报电话等。</w:t>
            </w:r>
          </w:p>
          <w:p w14:paraId="7FDF24DD">
            <w:pPr>
              <w:pStyle w:val="96"/>
              <w:ind w:firstLine="480"/>
            </w:pPr>
            <w:r>
              <w:rPr>
                <w:rFonts w:hint="eastAsia"/>
              </w:rPr>
              <w:t>②在施工场地安排</w:t>
            </w:r>
            <w:r>
              <w:t>1-2</w:t>
            </w:r>
            <w:r>
              <w:rPr>
                <w:rFonts w:hint="eastAsia"/>
              </w:rPr>
              <w:t>名员工定期对施工场地、进场道路洒水，以减少地面因车辆行驶产生扬尘。</w:t>
            </w:r>
          </w:p>
          <w:p w14:paraId="2E963F4D">
            <w:pPr>
              <w:pStyle w:val="96"/>
              <w:ind w:firstLine="480"/>
            </w:pPr>
            <w:r>
              <w:rPr>
                <w:rFonts w:hint="eastAsia"/>
              </w:rPr>
              <w:t>③施工现场集中堆放的土方和裸露场地必须采取覆盖、固化或绿化等防尘措施，严禁裸露。</w:t>
            </w:r>
          </w:p>
          <w:p w14:paraId="5507411E">
            <w:pPr>
              <w:pStyle w:val="96"/>
              <w:ind w:firstLine="480"/>
            </w:pPr>
            <w:r>
              <w:rPr>
                <w:rFonts w:hint="eastAsia"/>
              </w:rPr>
              <w:t>④施工现场运送土方、渣土的车辆必须封闭或遮盖严密，严禁使用未办理相关手续的渣土等运输车辆，严禁沿路遗撒和随意倾倒。</w:t>
            </w:r>
          </w:p>
          <w:p w14:paraId="1259F511">
            <w:pPr>
              <w:pStyle w:val="96"/>
              <w:ind w:firstLine="480"/>
            </w:pPr>
            <w:r>
              <w:rPr>
                <w:rFonts w:hint="eastAsia"/>
              </w:rPr>
              <w:t>⑤施工现场的建筑垃圾必须设置垃圾存放点，集中堆放并严密覆盖，及时清运。生活垃圾应用封闭式容器存放，日产日清，严禁随意丢弃。</w:t>
            </w:r>
          </w:p>
          <w:p w14:paraId="201B4680">
            <w:pPr>
              <w:pStyle w:val="96"/>
              <w:ind w:firstLine="480"/>
            </w:pPr>
            <w:r>
              <w:rPr>
                <w:rFonts w:hint="eastAsia"/>
              </w:rPr>
              <w:t>⑥堆放易产生扬尘污染物料的场所应当符合下列扬尘污染防治要求：划分物料堆放区域和道路的界线，及时清除散落的物料，保持物料堆放区域和道路整洁；采用围挡、挡风抑尘网或者其他封闭仓储措施，配备喷淋等防尘设施。</w:t>
            </w:r>
          </w:p>
          <w:p w14:paraId="516C4E40">
            <w:pPr>
              <w:pStyle w:val="96"/>
              <w:ind w:firstLine="480"/>
            </w:pPr>
            <w:r>
              <w:rPr>
                <w:rFonts w:hint="eastAsia"/>
              </w:rPr>
              <w:t>（2）道路</w:t>
            </w:r>
            <w:r>
              <w:t>扬尘</w:t>
            </w:r>
          </w:p>
          <w:p w14:paraId="4302DE77">
            <w:pPr>
              <w:pStyle w:val="96"/>
              <w:ind w:firstLine="480"/>
            </w:pPr>
            <w:r>
              <w:rPr>
                <w:rFonts w:hint="eastAsia"/>
              </w:rPr>
              <w:t>路面扬尘主要来源为：</w:t>
            </w:r>
          </w:p>
          <w:p w14:paraId="601D66AD">
            <w:pPr>
              <w:pStyle w:val="96"/>
              <w:ind w:firstLine="480"/>
            </w:pPr>
            <w:r>
              <w:rPr>
                <w:rFonts w:hint="eastAsia"/>
              </w:rPr>
              <w:t>①运输车辆及施工机械在行驶过程中产生的轮胎尘；</w:t>
            </w:r>
          </w:p>
          <w:p w14:paraId="62F8E6D1">
            <w:pPr>
              <w:pStyle w:val="96"/>
              <w:ind w:firstLine="480"/>
            </w:pPr>
            <w:r>
              <w:rPr>
                <w:rFonts w:hint="eastAsia"/>
              </w:rPr>
              <w:t>②运输车辆及施工机械车体和货物附着的尘土；</w:t>
            </w:r>
          </w:p>
          <w:p w14:paraId="01BBD651">
            <w:pPr>
              <w:pStyle w:val="96"/>
              <w:ind w:firstLine="480"/>
            </w:pPr>
            <w:r>
              <w:rPr>
                <w:rFonts w:hint="eastAsia"/>
              </w:rPr>
              <w:t>③运输车辆及施工机械尾气排放的气溶胶；</w:t>
            </w:r>
          </w:p>
          <w:p w14:paraId="1E19949B">
            <w:pPr>
              <w:pStyle w:val="96"/>
              <w:ind w:firstLine="480"/>
            </w:pPr>
            <w:r>
              <w:rPr>
                <w:rFonts w:hint="eastAsia"/>
              </w:rPr>
              <w:t>④原料装卸、堆放时随风飘扬的尘土。</w:t>
            </w:r>
          </w:p>
          <w:p w14:paraId="5666B41C">
            <w:pPr>
              <w:pStyle w:val="96"/>
              <w:ind w:firstLine="480"/>
            </w:pPr>
            <w:r>
              <w:rPr>
                <w:rFonts w:hint="eastAsia"/>
              </w:rPr>
              <w:t>施工车辆废气污染物主要为</w:t>
            </w:r>
            <w:r>
              <w:t>NOx</w:t>
            </w:r>
            <w:r>
              <w:rPr>
                <w:rFonts w:hint="eastAsia"/>
              </w:rPr>
              <w:t>、</w:t>
            </w:r>
            <w:r>
              <w:t>CO</w:t>
            </w:r>
            <w:r>
              <w:rPr>
                <w:rFonts w:hint="eastAsia"/>
              </w:rPr>
              <w:t>和碳氢化合物，由于施工期间车辆具有不确定性，而且排放量较小、影响持续时间短，对评价区环境空气污染程度有限，环评不再对其影响做具体分析，建议建设单位在施工期间对施工车辆严格要求，使用较清洁燃料，同时加强对施工车辆的作业管理，尽量减少污染物的排放。</w:t>
            </w:r>
          </w:p>
          <w:p w14:paraId="3D1870B0">
            <w:pPr>
              <w:pStyle w:val="96"/>
              <w:ind w:firstLine="480"/>
            </w:pPr>
            <w:r>
              <w:rPr>
                <w:rFonts w:hint="eastAsia"/>
              </w:rPr>
              <w:t>（3）钻井废气</w:t>
            </w:r>
          </w:p>
          <w:p w14:paraId="6DA7D398">
            <w:pPr>
              <w:pStyle w:val="96"/>
              <w:ind w:firstLine="480"/>
            </w:pPr>
            <w:r>
              <w:rPr>
                <w:rFonts w:hint="eastAsia"/>
              </w:rPr>
              <w:t>本项目钻井期废气主要为柴油发电机消耗柴油产生的废气，废气主要污染物为</w:t>
            </w:r>
            <w:r>
              <w:t>SO</w:t>
            </w:r>
            <w:r>
              <w:rPr>
                <w:vertAlign w:val="subscript"/>
              </w:rPr>
              <w:t>2</w:t>
            </w:r>
            <w:r>
              <w:rPr>
                <w:rFonts w:hint="eastAsia"/>
              </w:rPr>
              <w:t>、烟尘、</w:t>
            </w:r>
            <w:r>
              <w:t>NOx</w:t>
            </w:r>
            <w:r>
              <w:rPr>
                <w:rFonts w:hint="eastAsia"/>
              </w:rPr>
              <w:t>、</w:t>
            </w:r>
            <w:r>
              <w:t>CO</w:t>
            </w:r>
            <w:r>
              <w:rPr>
                <w:rFonts w:hint="eastAsia"/>
              </w:rPr>
              <w:t>、总烃等污染物。每口井的钻井期最长时间为</w:t>
            </w:r>
            <w:r>
              <w:t>18天</w:t>
            </w:r>
            <w:r>
              <w:rPr>
                <w:rFonts w:hint="eastAsia"/>
              </w:rPr>
              <w:t>，柴油机每天运行</w:t>
            </w:r>
            <w:r>
              <w:t>24</w:t>
            </w:r>
            <w:r>
              <w:rPr>
                <w:rFonts w:hint="eastAsia"/>
              </w:rPr>
              <w:t>小时。</w:t>
            </w:r>
          </w:p>
          <w:p w14:paraId="5A6D6F3E">
            <w:pPr>
              <w:pStyle w:val="96"/>
              <w:ind w:firstLine="480"/>
            </w:pPr>
            <w:r>
              <w:rPr>
                <w:rFonts w:hint="eastAsia"/>
              </w:rPr>
              <w:t>施工机械作业使用柴油会产生</w:t>
            </w:r>
            <w:r>
              <w:t>SO</w:t>
            </w:r>
            <w:r>
              <w:rPr>
                <w:vertAlign w:val="subscript"/>
              </w:rPr>
              <w:t>2</w:t>
            </w:r>
            <w:r>
              <w:rPr>
                <w:rFonts w:hint="eastAsia"/>
              </w:rPr>
              <w:t>、</w:t>
            </w:r>
            <w:r>
              <w:t>NO</w:t>
            </w:r>
            <w:r>
              <w:rPr>
                <w:rFonts w:hint="eastAsia"/>
                <w:vertAlign w:val="subscript"/>
              </w:rPr>
              <w:t>x</w:t>
            </w:r>
            <w:r>
              <w:rPr>
                <w:rFonts w:hint="eastAsia"/>
              </w:rPr>
              <w:t>等大气污染物，燃油烟气直接在场地内无组织排放，从施工场地周边情况来看，空气稀释能力较强，燃油烟气及汽车尾气排放量较少，经空气迅速稀释扩散，不会对敏感点处的环境空气质量造成污染影响。本项目钻井期较短，每口井的钻井期最长时间为</w:t>
            </w:r>
            <w:r>
              <w:t>30</w:t>
            </w:r>
            <w:r>
              <w:rPr>
                <w:rFonts w:hint="eastAsia"/>
              </w:rPr>
              <w:t>天，因此项目钻井期对周边环境空气的影响可以接受。</w:t>
            </w:r>
          </w:p>
          <w:p w14:paraId="335195A2">
            <w:pPr>
              <w:pStyle w:val="96"/>
              <w:ind w:firstLine="480"/>
            </w:pPr>
            <w:r>
              <w:rPr>
                <w:rFonts w:hint="eastAsia"/>
              </w:rPr>
              <w:t>（4）柴油储罐呼吸气</w:t>
            </w:r>
          </w:p>
          <w:p w14:paraId="5BE64835">
            <w:pPr>
              <w:pStyle w:val="96"/>
              <w:ind w:firstLine="480"/>
            </w:pPr>
            <w:r>
              <w:rPr>
                <w:rFonts w:hint="eastAsia"/>
              </w:rPr>
              <w:t>储罐内储存的柴油由于其挥发性，均会在储罐液面的上部空间充满物料挥发出来的蒸汽，并最终会达到饱和蒸汽压，罐体液面空间体积一旦发生变化时，就会导致物料饱和蒸汽溢出，形成所谓的储罐呼吸现象。储罐液面空间体积变化可以发生在物料进出的情况下，也会发生在昼夜温差变化的情况下，前者称为大呼吸，后者称为小呼吸。由于勘探期很短，且周边扩散条件较好，因此，柴油呼吸废气对周围环境的影响时间很短，影响范围很小。</w:t>
            </w:r>
          </w:p>
          <w:p w14:paraId="2C6D09B9">
            <w:pPr>
              <w:pStyle w:val="96"/>
              <w:ind w:firstLine="482"/>
            </w:pPr>
            <w:r>
              <w:rPr>
                <w:b/>
              </w:rPr>
              <w:t>2</w:t>
            </w:r>
            <w:r>
              <w:rPr>
                <w:rFonts w:hint="eastAsia"/>
                <w:b/>
              </w:rPr>
              <w:t>、地表水环境</w:t>
            </w:r>
            <w:r>
              <w:rPr>
                <w:b/>
              </w:rPr>
              <w:t>影响分析</w:t>
            </w:r>
          </w:p>
          <w:p w14:paraId="6E1ACA55">
            <w:pPr>
              <w:pStyle w:val="96"/>
              <w:ind w:firstLine="480"/>
            </w:pPr>
            <w:r>
              <w:rPr>
                <w:rFonts w:hint="eastAsia"/>
              </w:rPr>
              <w:t>1、钻井期废水</w:t>
            </w:r>
          </w:p>
          <w:p w14:paraId="14D10DB3">
            <w:pPr>
              <w:pStyle w:val="96"/>
              <w:ind w:firstLine="480"/>
            </w:pPr>
            <w:r>
              <w:rPr>
                <w:rFonts w:hint="eastAsia"/>
              </w:rPr>
              <w:t>本项目钻井期废水包括钻井废水、设备及钻台清洗废水、施工人员生活污水。在钻井过程中产生的钻井排水根据建设单位提供的</w:t>
            </w:r>
            <w:r>
              <w:t>资料</w:t>
            </w:r>
            <w:r>
              <w:rPr>
                <w:rFonts w:hint="eastAsia"/>
              </w:rPr>
              <w:t>，每个井口每钻进1米，排放废水约0.04m</w:t>
            </w:r>
            <w:r>
              <w:rPr>
                <w:rFonts w:hint="eastAsia"/>
                <w:vertAlign w:val="superscript"/>
              </w:rPr>
              <w:t>3</w:t>
            </w:r>
            <w:r>
              <w:rPr>
                <w:rFonts w:hint="eastAsia"/>
              </w:rPr>
              <w:t>，每天平均钻井50米，排水2m</w:t>
            </w:r>
            <w:r>
              <w:rPr>
                <w:rFonts w:hint="eastAsia"/>
                <w:vertAlign w:val="superscript"/>
              </w:rPr>
              <w:t>3</w:t>
            </w:r>
            <w:r>
              <w:rPr>
                <w:rFonts w:hint="eastAsia"/>
              </w:rPr>
              <w:t>/d，21口井总排水量约为42m</w:t>
            </w:r>
            <w:r>
              <w:rPr>
                <w:rFonts w:hint="eastAsia"/>
                <w:vertAlign w:val="superscript"/>
              </w:rPr>
              <w:t>3</w:t>
            </w:r>
            <w:r>
              <w:rPr>
                <w:rFonts w:hint="eastAsia"/>
              </w:rPr>
              <w:t>/d。主要污染物为悬浮物、石油类、化学需氧量等。钻井排水全部送入泥浆系统补充泥浆用水，泥浆补水不足部分由清水进行补充。泥浆池最终无害化处理后回填。</w:t>
            </w:r>
          </w:p>
          <w:p w14:paraId="33075861">
            <w:pPr>
              <w:pStyle w:val="96"/>
              <w:ind w:firstLine="480"/>
            </w:pPr>
            <w:r>
              <w:rPr>
                <w:rFonts w:hint="eastAsia"/>
              </w:rPr>
              <w:t>本工程各个勘查井场在钻井过程中均设有容积约为40</w:t>
            </w:r>
            <w:r>
              <w:t>0</w:t>
            </w:r>
            <w:r>
              <w:rPr>
                <w:rFonts w:hint="eastAsia"/>
              </w:rPr>
              <w:t>m</w:t>
            </w:r>
            <w:r>
              <w:rPr>
                <w:rFonts w:hint="eastAsia"/>
                <w:vertAlign w:val="superscript"/>
              </w:rPr>
              <w:t>3</w:t>
            </w:r>
            <w:r>
              <w:rPr>
                <w:rFonts w:hint="eastAsia"/>
              </w:rPr>
              <w:t>的泥浆池，泥浆池均采用粘土+三层土工膜进行了防渗。钻井过程中使用的泥浆水在钻进过程中混入了泥屑，泥浆水采用振动筛分离泥屑后循环使用。</w:t>
            </w:r>
          </w:p>
          <w:p w14:paraId="3BD65E99">
            <w:pPr>
              <w:pStyle w:val="96"/>
              <w:ind w:firstLine="480"/>
            </w:pPr>
            <w:r>
              <w:rPr>
                <w:rFonts w:hint="eastAsia"/>
              </w:rPr>
              <w:t>设备及钻台清洗废水（0.54m</w:t>
            </w:r>
            <w:r>
              <w:rPr>
                <w:rFonts w:hint="eastAsia"/>
                <w:vertAlign w:val="superscript"/>
              </w:rPr>
              <w:t>3</w:t>
            </w:r>
            <w:r>
              <w:rPr>
                <w:rFonts w:hint="eastAsia"/>
              </w:rPr>
              <w:t>/d），全部进入泥浆池经沉淀后循环使用，不外排。钻井期施工人员生活污水主要为盥洗废水，产生量约</w:t>
            </w:r>
            <w:r>
              <w:t>1</w:t>
            </w:r>
            <w:r>
              <w:rPr>
                <w:rFonts w:hint="eastAsia"/>
              </w:rPr>
              <w:t>.4m</w:t>
            </w:r>
            <w:r>
              <w:rPr>
                <w:rFonts w:hint="eastAsia"/>
                <w:vertAlign w:val="superscript"/>
              </w:rPr>
              <w:t>3</w:t>
            </w:r>
            <w:r>
              <w:rPr>
                <w:rFonts w:hint="eastAsia"/>
              </w:rPr>
              <w:t>/d，产生量较少，井场设置一个6m</w:t>
            </w:r>
            <w:r>
              <w:rPr>
                <w:rFonts w:hint="eastAsia"/>
                <w:vertAlign w:val="superscript"/>
              </w:rPr>
              <w:t>3</w:t>
            </w:r>
            <w:r>
              <w:rPr>
                <w:rFonts w:hint="eastAsia"/>
              </w:rPr>
              <w:t>（2m×2m×2m）的生活污水沉淀池，生活污水经沉淀后用于周边道路洒水；场区设旱厕，定期清掏用作农肥。</w:t>
            </w:r>
          </w:p>
          <w:p w14:paraId="29F7F9DC">
            <w:pPr>
              <w:pStyle w:val="96"/>
              <w:ind w:firstLine="480"/>
            </w:pPr>
            <w:r>
              <w:rPr>
                <w:rFonts w:hint="eastAsia"/>
              </w:rPr>
              <w:t>2、压裂返排液及采出水</w:t>
            </w:r>
          </w:p>
          <w:p w14:paraId="12B01A25">
            <w:pPr>
              <w:pStyle w:val="96"/>
              <w:ind w:firstLine="480"/>
            </w:pPr>
            <w:r>
              <w:rPr>
                <w:rFonts w:hint="eastAsia"/>
              </w:rPr>
              <w:t>本项目各井场压裂液不含重金属、持久性有机物及有毒有害物质，主要污染物为</w:t>
            </w:r>
            <w:r>
              <w:t>COD</w:t>
            </w:r>
            <w:r>
              <w:rPr>
                <w:rFonts w:hint="eastAsia"/>
              </w:rPr>
              <w:t>、氯离子、石油类。压裂期生产废水主要来源于压裂返排液，即压入地层的压裂液在排液测试阶段从井底返排出的压裂液。按照本区块内已投产井的返排规律来看，整个返排期一般为</w:t>
            </w:r>
            <w:r>
              <w:t>10天左右，前十余天压裂液的返排量占总压裂液的30%，</w:t>
            </w:r>
            <w:r>
              <w:rPr>
                <w:rFonts w:hint="eastAsia"/>
              </w:rPr>
              <w:t>单口</w:t>
            </w:r>
            <w:r>
              <w:t>井产生的压裂返排液的量约为240m</w:t>
            </w:r>
            <w:r>
              <w:rPr>
                <w:vertAlign w:val="superscript"/>
              </w:rPr>
              <w:t>3</w:t>
            </w:r>
            <w:r>
              <w:rPr>
                <w:rFonts w:hint="eastAsia"/>
              </w:rPr>
              <w:t>。</w:t>
            </w:r>
            <w:r>
              <w:t>依据压裂液返排液返排特点，返排压裂液拉运至</w:t>
            </w:r>
            <w:r>
              <w:rPr>
                <w:rFonts w:hint="eastAsia"/>
              </w:rPr>
              <w:t>中联煤层气有限责任公司临兴西区</w:t>
            </w:r>
            <w:r>
              <w:t>(山西区块)开发项目排采水处理2站处置后回用于下一井场压裂用水。剩余70%压裂液随着致密气一起采出，经</w:t>
            </w:r>
            <w:r>
              <w:rPr>
                <w:rFonts w:hint="eastAsia"/>
              </w:rPr>
              <w:t>中联煤层气有限责任公司临兴西区</w:t>
            </w:r>
            <w:r>
              <w:t>(山西区块)开发项目排采水处理2站处置后建设期回用于钻井、压裂，根据尚义区块运行经验来看，</w:t>
            </w:r>
            <w:r>
              <w:rPr>
                <w:rFonts w:hint="eastAsia"/>
              </w:rPr>
              <w:t>单口</w:t>
            </w:r>
            <w:r>
              <w:t>井产生的</w:t>
            </w:r>
            <w:r>
              <w:rPr>
                <w:rFonts w:hint="eastAsia"/>
              </w:rPr>
              <w:t>采出水</w:t>
            </w:r>
            <w:r>
              <w:t>量约为</w:t>
            </w:r>
            <w:r>
              <w:rPr>
                <w:rFonts w:hint="eastAsia"/>
              </w:rPr>
              <w:t>1</w:t>
            </w:r>
            <w:r>
              <w:t>00m</w:t>
            </w:r>
            <w:r>
              <w:rPr>
                <w:vertAlign w:val="superscript"/>
              </w:rPr>
              <w:t>3</w:t>
            </w:r>
            <w:r>
              <w:t>。</w:t>
            </w:r>
          </w:p>
          <w:p w14:paraId="3B7DD8EA">
            <w:pPr>
              <w:pStyle w:val="96"/>
              <w:ind w:firstLine="480"/>
            </w:pPr>
            <w:r>
              <w:rPr>
                <w:rFonts w:hint="eastAsia"/>
              </w:rPr>
              <w:t>根据施工计划，本项目施工计划本项目完井期压裂返排液最大产生量为5</w:t>
            </w:r>
            <w:r>
              <w:t>6m</w:t>
            </w:r>
            <w:r>
              <w:rPr>
                <w:vertAlign w:val="superscript"/>
              </w:rPr>
              <w:t>3</w:t>
            </w:r>
            <w:r>
              <w:t>/d,</w:t>
            </w:r>
            <w:r>
              <w:rPr>
                <w:rFonts w:hint="eastAsia"/>
              </w:rPr>
              <w:t xml:space="preserve"> 试气期采出水最大产生量为4</w:t>
            </w:r>
            <w:r>
              <w:t>0m</w:t>
            </w:r>
            <w:r>
              <w:rPr>
                <w:vertAlign w:val="superscript"/>
              </w:rPr>
              <w:t>3</w:t>
            </w:r>
            <w:r>
              <w:t>/d</w:t>
            </w:r>
            <w:r>
              <w:rPr>
                <w:rFonts w:hint="eastAsia"/>
              </w:rPr>
              <w:t>。</w:t>
            </w:r>
          </w:p>
          <w:p w14:paraId="15035C86">
            <w:pPr>
              <w:pStyle w:val="96"/>
              <w:ind w:firstLine="482"/>
              <w:rPr>
                <w:b/>
                <w:bCs/>
              </w:rPr>
            </w:pPr>
            <w:r>
              <w:rPr>
                <w:rFonts w:hint="eastAsia"/>
                <w:b/>
                <w:bCs/>
              </w:rPr>
              <w:t>3、地下水环境</w:t>
            </w:r>
            <w:r>
              <w:rPr>
                <w:b/>
                <w:bCs/>
              </w:rPr>
              <w:t>影响分析</w:t>
            </w:r>
          </w:p>
          <w:p w14:paraId="3D01405F">
            <w:pPr>
              <w:pStyle w:val="96"/>
              <w:ind w:firstLine="480"/>
            </w:pPr>
            <w:r>
              <w:rPr>
                <w:rFonts w:hint="eastAsia"/>
              </w:rPr>
              <w:t>本项目属于《环境影响评价技术导则地下水环境》附录A行业类别中的“24矿产资源地质勘查”，地下水环境影响评价类别为Ⅳ类，不开展地下水环境影响评价。本次评价对地下水环境影响进行简要分析。</w:t>
            </w:r>
          </w:p>
          <w:p w14:paraId="740F3F1F">
            <w:pPr>
              <w:pStyle w:val="96"/>
              <w:numPr>
                <w:ilvl w:val="0"/>
                <w:numId w:val="13"/>
              </w:numPr>
              <w:ind w:firstLineChars="0"/>
            </w:pPr>
            <w:r>
              <w:rPr>
                <w:rFonts w:hint="eastAsia"/>
              </w:rPr>
              <w:t>水文地质条件</w:t>
            </w:r>
          </w:p>
          <w:p w14:paraId="07F57476">
            <w:pPr>
              <w:pStyle w:val="96"/>
              <w:ind w:firstLine="480"/>
            </w:pPr>
            <w:r>
              <w:rPr>
                <w:rFonts w:hint="eastAsia"/>
              </w:rPr>
              <w:t>本项目区块地下水属松散岩类孔隙水，含水层为</w:t>
            </w:r>
            <w:r>
              <w:t>第四系全新统松散岩类孔隙水含水岩组</w:t>
            </w:r>
            <w:r>
              <w:rPr>
                <w:rFonts w:hint="eastAsia"/>
              </w:rPr>
              <w:t>、第四系中上更新统松散岩类孔隙水含水岩组、新近系孔隙裂隙水含水岩组和</w:t>
            </w:r>
            <w:r>
              <w:t>三叠系碎屑岩类裂隙水含水岩组</w:t>
            </w:r>
            <w:r>
              <w:rPr>
                <w:rFonts w:hint="eastAsia"/>
              </w:rPr>
              <w:t>，在正常情况下对致密气赋存和开发影响不大，水文地质条件属于简单类型。</w:t>
            </w:r>
          </w:p>
          <w:p w14:paraId="6E81916E">
            <w:pPr>
              <w:pStyle w:val="96"/>
              <w:ind w:firstLine="480"/>
            </w:pPr>
            <w:r>
              <w:rPr>
                <w:rFonts w:hint="eastAsia"/>
              </w:rPr>
              <w:t>②钻井过程对地下水环境影响</w:t>
            </w:r>
          </w:p>
          <w:p w14:paraId="7BB51C7F">
            <w:pPr>
              <w:pStyle w:val="96"/>
              <w:ind w:firstLine="480"/>
            </w:pPr>
            <w:r>
              <w:rPr>
                <w:rFonts w:hint="eastAsia"/>
              </w:rPr>
              <w:t>本项目对地下水可能造成影响主要在钻井环节。钻孔穿过的地层可能引起各含水层越流补给，使地下水赋存条件发生变化，特别是通过径流使具有水利联系的含水水质受到污染。为防止钻井过程造成地下水的污染，项目在钻进时采用多层套管，封隔含水层，多层套管固定水泥返高至地面。完井后下套管进行了固井，封固了含水层之间的水力联系，不会造成污染。</w:t>
            </w:r>
          </w:p>
          <w:p w14:paraId="6E1337EF">
            <w:pPr>
              <w:pStyle w:val="96"/>
              <w:ind w:firstLine="480"/>
            </w:pPr>
            <w:r>
              <w:rPr>
                <w:rFonts w:hint="eastAsia"/>
              </w:rPr>
              <w:t>此外泥浆池、排水池、柴油储罐区、撬装式危废贮存点等防渗措施不当时，可能导致泥浆渗滤液、废油等下渗，污染浅层地下水。本项目各池体及危废贮存点采用三层土工膜进行防渗。</w:t>
            </w:r>
          </w:p>
          <w:p w14:paraId="7255B924">
            <w:pPr>
              <w:pStyle w:val="96"/>
              <w:ind w:firstLine="482"/>
              <w:rPr>
                <w:b/>
                <w:bCs/>
              </w:rPr>
            </w:pPr>
            <w:r>
              <w:rPr>
                <w:rFonts w:hint="eastAsia"/>
                <w:b/>
                <w:bCs/>
              </w:rPr>
              <w:t>4、声环境</w:t>
            </w:r>
            <w:r>
              <w:rPr>
                <w:b/>
                <w:bCs/>
              </w:rPr>
              <w:t>影响分析</w:t>
            </w:r>
          </w:p>
          <w:p w14:paraId="5DAC9AE1">
            <w:pPr>
              <w:pStyle w:val="96"/>
              <w:ind w:firstLine="480"/>
            </w:pPr>
            <w:r>
              <w:rPr>
                <w:rFonts w:hint="eastAsia"/>
              </w:rPr>
              <w:t>施工期噪声影响较明显，流动声源亦较多，主要噪声源为钻井作业中的柴油机、泥浆泵、钻机及车辆，按声源性质又可分为流动声源和连续稳态声源。根据现场类比监测，施工期主要噪声源见下表。</w:t>
            </w:r>
          </w:p>
          <w:p w14:paraId="41BE8CDE">
            <w:pPr>
              <w:pStyle w:val="19"/>
              <w:keepNext/>
            </w:pPr>
            <w:r>
              <w:t xml:space="preserve">表 </w:t>
            </w:r>
            <w:r>
              <w:fldChar w:fldCharType="begin"/>
            </w:r>
            <w:r>
              <w:instrText xml:space="preserve"> SEQ 表 \* ARABIC </w:instrText>
            </w:r>
            <w:r>
              <w:fldChar w:fldCharType="separate"/>
            </w:r>
            <w:r>
              <w:t>29</w:t>
            </w:r>
            <w:r>
              <w:fldChar w:fldCharType="end"/>
            </w:r>
            <w:r>
              <w:rPr>
                <w:rFonts w:hint="eastAsia"/>
              </w:rPr>
              <w:t>建设期单井主要噪声源统计表单位</w:t>
            </w:r>
            <w:r>
              <w:t>:dB(A)</w:t>
            </w:r>
          </w:p>
          <w:tbl>
            <w:tblPr>
              <w:tblStyle w:val="114"/>
              <w:tblW w:w="4997"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08"/>
              <w:gridCol w:w="702"/>
              <w:gridCol w:w="839"/>
              <w:gridCol w:w="623"/>
              <w:gridCol w:w="1060"/>
              <w:gridCol w:w="425"/>
              <w:gridCol w:w="425"/>
              <w:gridCol w:w="347"/>
              <w:gridCol w:w="1011"/>
              <w:gridCol w:w="1454"/>
              <w:gridCol w:w="1025"/>
            </w:tblGrid>
            <w:tr w14:paraId="15B856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2" w:hRule="atLeast"/>
              </w:trPr>
              <w:tc>
                <w:tcPr>
                  <w:tcW w:w="463" w:type="pct"/>
                  <w:vMerge w:val="restart"/>
                  <w:vAlign w:val="center"/>
                </w:tcPr>
                <w:p w14:paraId="462F0667">
                  <w:pPr>
                    <w:pStyle w:val="94"/>
                    <w:rPr>
                      <w:color w:val="auto"/>
                    </w:rPr>
                  </w:pPr>
                  <w:r>
                    <w:rPr>
                      <w:color w:val="auto"/>
                    </w:rPr>
                    <w:t>噪声源位置</w:t>
                  </w:r>
                </w:p>
              </w:tc>
              <w:tc>
                <w:tcPr>
                  <w:tcW w:w="882" w:type="pct"/>
                  <w:gridSpan w:val="2"/>
                  <w:vMerge w:val="restart"/>
                  <w:vAlign w:val="center"/>
                </w:tcPr>
                <w:p w14:paraId="15156A86">
                  <w:pPr>
                    <w:pStyle w:val="94"/>
                    <w:rPr>
                      <w:color w:val="auto"/>
                    </w:rPr>
                  </w:pPr>
                  <w:r>
                    <w:rPr>
                      <w:rFonts w:hint="eastAsia"/>
                      <w:color w:val="auto"/>
                    </w:rPr>
                    <w:t>声源名称</w:t>
                  </w:r>
                </w:p>
              </w:tc>
              <w:tc>
                <w:tcPr>
                  <w:tcW w:w="357" w:type="pct"/>
                  <w:vMerge w:val="restart"/>
                  <w:vAlign w:val="center"/>
                </w:tcPr>
                <w:p w14:paraId="71A446A2">
                  <w:pPr>
                    <w:pStyle w:val="94"/>
                    <w:rPr>
                      <w:color w:val="auto"/>
                    </w:rPr>
                  </w:pPr>
                  <w:r>
                    <w:rPr>
                      <w:color w:val="auto"/>
                    </w:rPr>
                    <w:t>数量</w:t>
                  </w:r>
                </w:p>
              </w:tc>
              <w:tc>
                <w:tcPr>
                  <w:tcW w:w="608" w:type="pct"/>
                  <w:vMerge w:val="restart"/>
                  <w:vAlign w:val="center"/>
                </w:tcPr>
                <w:p w14:paraId="46369848">
                  <w:pPr>
                    <w:pStyle w:val="94"/>
                    <w:rPr>
                      <w:color w:val="auto"/>
                    </w:rPr>
                  </w:pPr>
                  <w:r>
                    <w:rPr>
                      <w:color w:val="auto"/>
                    </w:rPr>
                    <w:t>声源强度</w:t>
                  </w:r>
                  <w:r>
                    <w:rPr>
                      <w:rFonts w:hint="eastAsia"/>
                      <w:color w:val="auto"/>
                    </w:rPr>
                    <w:t>（声功率级）（dB（A））</w:t>
                  </w:r>
                </w:p>
              </w:tc>
              <w:tc>
                <w:tcPr>
                  <w:tcW w:w="687" w:type="pct"/>
                  <w:gridSpan w:val="3"/>
                  <w:vAlign w:val="center"/>
                </w:tcPr>
                <w:p w14:paraId="377CDD7F">
                  <w:pPr>
                    <w:pStyle w:val="94"/>
                    <w:rPr>
                      <w:color w:val="auto"/>
                    </w:rPr>
                  </w:pPr>
                  <w:r>
                    <w:rPr>
                      <w:rFonts w:hint="eastAsia"/>
                      <w:color w:val="auto"/>
                    </w:rPr>
                    <w:t>空间相对位置/m</w:t>
                  </w:r>
                </w:p>
              </w:tc>
              <w:tc>
                <w:tcPr>
                  <w:tcW w:w="580" w:type="pct"/>
                  <w:vMerge w:val="restart"/>
                  <w:vAlign w:val="center"/>
                </w:tcPr>
                <w:p w14:paraId="4C4A14B9">
                  <w:pPr>
                    <w:pStyle w:val="94"/>
                    <w:rPr>
                      <w:color w:val="auto"/>
                    </w:rPr>
                  </w:pPr>
                  <w:r>
                    <w:rPr>
                      <w:rFonts w:hint="eastAsia"/>
                      <w:color w:val="auto"/>
                    </w:rPr>
                    <w:t>运行时段</w:t>
                  </w:r>
                </w:p>
              </w:tc>
              <w:tc>
                <w:tcPr>
                  <w:tcW w:w="834" w:type="pct"/>
                  <w:vMerge w:val="restart"/>
                  <w:vAlign w:val="center"/>
                </w:tcPr>
                <w:p w14:paraId="5109D0E7">
                  <w:pPr>
                    <w:pStyle w:val="94"/>
                    <w:rPr>
                      <w:rFonts w:hAnsi="Times New Roman"/>
                      <w:color w:val="auto"/>
                    </w:rPr>
                  </w:pPr>
                  <w:r>
                    <w:rPr>
                      <w:color w:val="auto"/>
                    </w:rPr>
                    <w:t>声源性质</w:t>
                  </w:r>
                </w:p>
              </w:tc>
              <w:tc>
                <w:tcPr>
                  <w:tcW w:w="590" w:type="pct"/>
                  <w:vMerge w:val="restart"/>
                  <w:vAlign w:val="center"/>
                </w:tcPr>
                <w:p w14:paraId="00A003A4">
                  <w:pPr>
                    <w:pStyle w:val="94"/>
                    <w:rPr>
                      <w:color w:val="auto"/>
                    </w:rPr>
                  </w:pPr>
                  <w:r>
                    <w:rPr>
                      <w:rFonts w:hint="eastAsia"/>
                      <w:color w:val="auto"/>
                    </w:rPr>
                    <w:t>声源控制措施</w:t>
                  </w:r>
                </w:p>
              </w:tc>
            </w:tr>
            <w:tr w14:paraId="586D1A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2" w:hRule="atLeast"/>
              </w:trPr>
              <w:tc>
                <w:tcPr>
                  <w:tcW w:w="912" w:type="dxa"/>
                  <w:vMerge w:val="continue"/>
                  <w:vAlign w:val="center"/>
                </w:tcPr>
                <w:p w14:paraId="5BD21E35">
                  <w:pPr>
                    <w:pStyle w:val="94"/>
                    <w:rPr>
                      <w:color w:val="auto"/>
                      <w:kern w:val="2"/>
                    </w:rPr>
                  </w:pPr>
                </w:p>
              </w:tc>
              <w:tc>
                <w:tcPr>
                  <w:tcW w:w="1740" w:type="dxa"/>
                  <w:gridSpan w:val="2"/>
                  <w:vMerge w:val="continue"/>
                  <w:vAlign w:val="center"/>
                </w:tcPr>
                <w:p w14:paraId="26DDC2BE">
                  <w:pPr>
                    <w:pStyle w:val="94"/>
                    <w:rPr>
                      <w:color w:val="auto"/>
                      <w:kern w:val="2"/>
                    </w:rPr>
                  </w:pPr>
                </w:p>
              </w:tc>
              <w:tc>
                <w:tcPr>
                  <w:tcW w:w="704" w:type="dxa"/>
                  <w:vMerge w:val="continue"/>
                  <w:vAlign w:val="center"/>
                </w:tcPr>
                <w:p w14:paraId="2484A8F9">
                  <w:pPr>
                    <w:pStyle w:val="94"/>
                    <w:rPr>
                      <w:color w:val="auto"/>
                      <w:kern w:val="2"/>
                    </w:rPr>
                  </w:pPr>
                </w:p>
              </w:tc>
              <w:tc>
                <w:tcPr>
                  <w:tcW w:w="1198" w:type="dxa"/>
                  <w:vMerge w:val="continue"/>
                  <w:vAlign w:val="center"/>
                </w:tcPr>
                <w:p w14:paraId="105329E8">
                  <w:pPr>
                    <w:pStyle w:val="94"/>
                    <w:rPr>
                      <w:color w:val="auto"/>
                      <w:kern w:val="2"/>
                    </w:rPr>
                  </w:pPr>
                </w:p>
              </w:tc>
              <w:tc>
                <w:tcPr>
                  <w:tcW w:w="244" w:type="pct"/>
                  <w:vAlign w:val="center"/>
                </w:tcPr>
                <w:p w14:paraId="617B6DC4">
                  <w:pPr>
                    <w:pStyle w:val="94"/>
                    <w:rPr>
                      <w:color w:val="auto"/>
                    </w:rPr>
                  </w:pPr>
                  <w:r>
                    <w:rPr>
                      <w:rFonts w:hint="eastAsia"/>
                      <w:color w:val="auto"/>
                    </w:rPr>
                    <w:t>X</w:t>
                  </w:r>
                </w:p>
              </w:tc>
              <w:tc>
                <w:tcPr>
                  <w:tcW w:w="244" w:type="pct"/>
                  <w:vAlign w:val="center"/>
                </w:tcPr>
                <w:p w14:paraId="572ED2CA">
                  <w:pPr>
                    <w:pStyle w:val="94"/>
                    <w:rPr>
                      <w:color w:val="auto"/>
                    </w:rPr>
                  </w:pPr>
                  <w:r>
                    <w:rPr>
                      <w:rFonts w:hint="eastAsia"/>
                      <w:color w:val="auto"/>
                    </w:rPr>
                    <w:t>Y</w:t>
                  </w:r>
                </w:p>
              </w:tc>
              <w:tc>
                <w:tcPr>
                  <w:tcW w:w="199" w:type="pct"/>
                  <w:vAlign w:val="center"/>
                </w:tcPr>
                <w:p w14:paraId="3A598060">
                  <w:pPr>
                    <w:pStyle w:val="94"/>
                    <w:rPr>
                      <w:color w:val="auto"/>
                    </w:rPr>
                  </w:pPr>
                  <w:r>
                    <w:rPr>
                      <w:rFonts w:hint="eastAsia"/>
                      <w:color w:val="auto"/>
                    </w:rPr>
                    <w:t>Z</w:t>
                  </w:r>
                </w:p>
              </w:tc>
              <w:tc>
                <w:tcPr>
                  <w:tcW w:w="1143" w:type="dxa"/>
                  <w:vMerge w:val="continue"/>
                  <w:vAlign w:val="center"/>
                </w:tcPr>
                <w:p w14:paraId="169EB96C">
                  <w:pPr>
                    <w:pStyle w:val="94"/>
                    <w:rPr>
                      <w:color w:val="auto"/>
                      <w:kern w:val="2"/>
                    </w:rPr>
                  </w:pPr>
                </w:p>
              </w:tc>
              <w:tc>
                <w:tcPr>
                  <w:tcW w:w="1644" w:type="dxa"/>
                  <w:vMerge w:val="continue"/>
                  <w:vAlign w:val="center"/>
                </w:tcPr>
                <w:p w14:paraId="623C0FD7">
                  <w:pPr>
                    <w:pStyle w:val="94"/>
                    <w:rPr>
                      <w:color w:val="auto"/>
                      <w:kern w:val="2"/>
                    </w:rPr>
                  </w:pPr>
                </w:p>
              </w:tc>
              <w:tc>
                <w:tcPr>
                  <w:tcW w:w="1159" w:type="dxa"/>
                  <w:vMerge w:val="continue"/>
                  <w:vAlign w:val="center"/>
                </w:tcPr>
                <w:p w14:paraId="3538A05F">
                  <w:pPr>
                    <w:pStyle w:val="94"/>
                    <w:rPr>
                      <w:color w:val="auto"/>
                      <w:kern w:val="2"/>
                    </w:rPr>
                  </w:pPr>
                </w:p>
              </w:tc>
            </w:tr>
            <w:tr w14:paraId="0F7AD9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63" w:type="pct"/>
                  <w:vMerge w:val="restart"/>
                  <w:vAlign w:val="center"/>
                </w:tcPr>
                <w:p w14:paraId="6C94FCDD">
                  <w:pPr>
                    <w:pStyle w:val="94"/>
                    <w:rPr>
                      <w:rFonts w:hAnsi="Times New Roman"/>
                      <w:color w:val="auto"/>
                    </w:rPr>
                  </w:pPr>
                  <w:r>
                    <w:rPr>
                      <w:color w:val="auto"/>
                    </w:rPr>
                    <w:t>单个井场</w:t>
                  </w:r>
                </w:p>
              </w:tc>
              <w:tc>
                <w:tcPr>
                  <w:tcW w:w="402" w:type="pct"/>
                  <w:vMerge w:val="restart"/>
                  <w:vAlign w:val="center"/>
                </w:tcPr>
                <w:p w14:paraId="2AB58E8A">
                  <w:pPr>
                    <w:pStyle w:val="94"/>
                    <w:rPr>
                      <w:color w:val="auto"/>
                    </w:rPr>
                  </w:pPr>
                  <w:r>
                    <w:rPr>
                      <w:color w:val="auto"/>
                    </w:rPr>
                    <w:t>钻井</w:t>
                  </w:r>
                </w:p>
              </w:tc>
              <w:tc>
                <w:tcPr>
                  <w:tcW w:w="481" w:type="pct"/>
                  <w:vAlign w:val="center"/>
                </w:tcPr>
                <w:p w14:paraId="122A1F79">
                  <w:pPr>
                    <w:pStyle w:val="94"/>
                    <w:rPr>
                      <w:color w:val="auto"/>
                    </w:rPr>
                  </w:pPr>
                  <w:r>
                    <w:rPr>
                      <w:color w:val="auto"/>
                    </w:rPr>
                    <w:t>钻机</w:t>
                  </w:r>
                </w:p>
              </w:tc>
              <w:tc>
                <w:tcPr>
                  <w:tcW w:w="357" w:type="pct"/>
                  <w:vAlign w:val="center"/>
                </w:tcPr>
                <w:p w14:paraId="7506288A">
                  <w:pPr>
                    <w:pStyle w:val="94"/>
                    <w:rPr>
                      <w:color w:val="auto"/>
                    </w:rPr>
                  </w:pPr>
                  <w:r>
                    <w:rPr>
                      <w:color w:val="auto"/>
                    </w:rPr>
                    <w:t>1台</w:t>
                  </w:r>
                </w:p>
              </w:tc>
              <w:tc>
                <w:tcPr>
                  <w:tcW w:w="608" w:type="pct"/>
                  <w:vAlign w:val="center"/>
                </w:tcPr>
                <w:p w14:paraId="084E3032">
                  <w:pPr>
                    <w:pStyle w:val="94"/>
                    <w:rPr>
                      <w:color w:val="auto"/>
                    </w:rPr>
                  </w:pPr>
                  <w:r>
                    <w:rPr>
                      <w:color w:val="auto"/>
                    </w:rPr>
                    <w:t>90～95</w:t>
                  </w:r>
                </w:p>
              </w:tc>
              <w:tc>
                <w:tcPr>
                  <w:tcW w:w="244" w:type="pct"/>
                  <w:vAlign w:val="center"/>
                </w:tcPr>
                <w:p w14:paraId="3A9B9D98">
                  <w:pPr>
                    <w:pStyle w:val="94"/>
                    <w:rPr>
                      <w:color w:val="auto"/>
                    </w:rPr>
                  </w:pPr>
                  <w:r>
                    <w:rPr>
                      <w:rFonts w:hint="eastAsia"/>
                      <w:color w:val="auto"/>
                    </w:rPr>
                    <w:t>25</w:t>
                  </w:r>
                </w:p>
              </w:tc>
              <w:tc>
                <w:tcPr>
                  <w:tcW w:w="244" w:type="pct"/>
                  <w:vAlign w:val="center"/>
                </w:tcPr>
                <w:p w14:paraId="7EF9A93B">
                  <w:pPr>
                    <w:pStyle w:val="94"/>
                    <w:rPr>
                      <w:color w:val="auto"/>
                    </w:rPr>
                  </w:pPr>
                  <w:r>
                    <w:rPr>
                      <w:rFonts w:hint="eastAsia"/>
                      <w:color w:val="auto"/>
                    </w:rPr>
                    <w:t>15</w:t>
                  </w:r>
                </w:p>
              </w:tc>
              <w:tc>
                <w:tcPr>
                  <w:tcW w:w="199" w:type="pct"/>
                  <w:vAlign w:val="center"/>
                </w:tcPr>
                <w:p w14:paraId="4ADE348B">
                  <w:pPr>
                    <w:pStyle w:val="94"/>
                    <w:rPr>
                      <w:color w:val="auto"/>
                    </w:rPr>
                  </w:pPr>
                  <w:r>
                    <w:rPr>
                      <w:rFonts w:hint="eastAsia"/>
                      <w:color w:val="auto"/>
                    </w:rPr>
                    <w:t>5</w:t>
                  </w:r>
                </w:p>
              </w:tc>
              <w:tc>
                <w:tcPr>
                  <w:tcW w:w="580" w:type="pct"/>
                  <w:vAlign w:val="center"/>
                </w:tcPr>
                <w:p w14:paraId="499298EE">
                  <w:pPr>
                    <w:pStyle w:val="94"/>
                    <w:rPr>
                      <w:color w:val="auto"/>
                    </w:rPr>
                  </w:pPr>
                  <w:r>
                    <w:rPr>
                      <w:rFonts w:hint="eastAsia"/>
                      <w:color w:val="auto"/>
                    </w:rPr>
                    <w:t>昼夜</w:t>
                  </w:r>
                </w:p>
              </w:tc>
              <w:tc>
                <w:tcPr>
                  <w:tcW w:w="834" w:type="pct"/>
                  <w:vAlign w:val="center"/>
                </w:tcPr>
                <w:p w14:paraId="1801B389">
                  <w:pPr>
                    <w:pStyle w:val="94"/>
                    <w:rPr>
                      <w:color w:val="auto"/>
                    </w:rPr>
                  </w:pPr>
                  <w:r>
                    <w:rPr>
                      <w:color w:val="auto"/>
                    </w:rPr>
                    <w:t>连续稳态声源</w:t>
                  </w:r>
                </w:p>
              </w:tc>
              <w:tc>
                <w:tcPr>
                  <w:tcW w:w="590" w:type="pct"/>
                  <w:vAlign w:val="center"/>
                </w:tcPr>
                <w:p w14:paraId="145156C7">
                  <w:pPr>
                    <w:pStyle w:val="94"/>
                    <w:rPr>
                      <w:color w:val="auto"/>
                    </w:rPr>
                  </w:pPr>
                  <w:r>
                    <w:rPr>
                      <w:rFonts w:hint="eastAsia"/>
                      <w:color w:val="auto"/>
                    </w:rPr>
                    <w:t>基础减震</w:t>
                  </w:r>
                </w:p>
              </w:tc>
            </w:tr>
            <w:tr w14:paraId="0BA418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912" w:type="dxa"/>
                  <w:vMerge w:val="continue"/>
                  <w:vAlign w:val="center"/>
                </w:tcPr>
                <w:p w14:paraId="76E86961">
                  <w:pPr>
                    <w:pStyle w:val="94"/>
                    <w:rPr>
                      <w:color w:val="auto"/>
                      <w:kern w:val="2"/>
                    </w:rPr>
                  </w:pPr>
                </w:p>
              </w:tc>
              <w:tc>
                <w:tcPr>
                  <w:tcW w:w="792" w:type="dxa"/>
                  <w:vMerge w:val="continue"/>
                  <w:vAlign w:val="center"/>
                </w:tcPr>
                <w:p w14:paraId="4D1F9663">
                  <w:pPr>
                    <w:pStyle w:val="94"/>
                    <w:rPr>
                      <w:color w:val="auto"/>
                      <w:kern w:val="2"/>
                    </w:rPr>
                  </w:pPr>
                </w:p>
              </w:tc>
              <w:tc>
                <w:tcPr>
                  <w:tcW w:w="481" w:type="pct"/>
                  <w:vAlign w:val="center"/>
                </w:tcPr>
                <w:p w14:paraId="4FD94063">
                  <w:pPr>
                    <w:pStyle w:val="94"/>
                    <w:rPr>
                      <w:color w:val="auto"/>
                    </w:rPr>
                  </w:pPr>
                  <w:r>
                    <w:rPr>
                      <w:rFonts w:hint="eastAsia"/>
                      <w:color w:val="auto"/>
                    </w:rPr>
                    <w:t>空压机</w:t>
                  </w:r>
                </w:p>
              </w:tc>
              <w:tc>
                <w:tcPr>
                  <w:tcW w:w="357" w:type="pct"/>
                  <w:vAlign w:val="center"/>
                </w:tcPr>
                <w:p w14:paraId="5C87E96F">
                  <w:pPr>
                    <w:pStyle w:val="94"/>
                    <w:rPr>
                      <w:color w:val="auto"/>
                    </w:rPr>
                  </w:pPr>
                  <w:r>
                    <w:rPr>
                      <w:rFonts w:hint="eastAsia"/>
                      <w:color w:val="auto"/>
                    </w:rPr>
                    <w:t>2</w:t>
                  </w:r>
                  <w:r>
                    <w:rPr>
                      <w:color w:val="auto"/>
                    </w:rPr>
                    <w:t>台</w:t>
                  </w:r>
                </w:p>
              </w:tc>
              <w:tc>
                <w:tcPr>
                  <w:tcW w:w="608" w:type="pct"/>
                  <w:vAlign w:val="center"/>
                </w:tcPr>
                <w:p w14:paraId="65132E80">
                  <w:pPr>
                    <w:pStyle w:val="94"/>
                    <w:rPr>
                      <w:color w:val="auto"/>
                    </w:rPr>
                  </w:pPr>
                  <w:r>
                    <w:rPr>
                      <w:color w:val="auto"/>
                    </w:rPr>
                    <w:t>95～98</w:t>
                  </w:r>
                </w:p>
              </w:tc>
              <w:tc>
                <w:tcPr>
                  <w:tcW w:w="244" w:type="pct"/>
                  <w:vAlign w:val="center"/>
                </w:tcPr>
                <w:p w14:paraId="2BEBC2E9">
                  <w:pPr>
                    <w:pStyle w:val="94"/>
                    <w:rPr>
                      <w:color w:val="auto"/>
                    </w:rPr>
                  </w:pPr>
                  <w:r>
                    <w:rPr>
                      <w:rFonts w:hint="eastAsia"/>
                      <w:color w:val="auto"/>
                    </w:rPr>
                    <w:t>25</w:t>
                  </w:r>
                </w:p>
              </w:tc>
              <w:tc>
                <w:tcPr>
                  <w:tcW w:w="244" w:type="pct"/>
                  <w:vAlign w:val="center"/>
                </w:tcPr>
                <w:p w14:paraId="0EA13964">
                  <w:pPr>
                    <w:pStyle w:val="94"/>
                    <w:rPr>
                      <w:color w:val="auto"/>
                    </w:rPr>
                  </w:pPr>
                  <w:r>
                    <w:rPr>
                      <w:rFonts w:hint="eastAsia"/>
                      <w:color w:val="auto"/>
                    </w:rPr>
                    <w:t>20</w:t>
                  </w:r>
                </w:p>
              </w:tc>
              <w:tc>
                <w:tcPr>
                  <w:tcW w:w="199" w:type="pct"/>
                  <w:vAlign w:val="center"/>
                </w:tcPr>
                <w:p w14:paraId="5A237583">
                  <w:pPr>
                    <w:pStyle w:val="94"/>
                    <w:rPr>
                      <w:color w:val="auto"/>
                    </w:rPr>
                  </w:pPr>
                  <w:r>
                    <w:rPr>
                      <w:rFonts w:hint="eastAsia"/>
                      <w:color w:val="auto"/>
                    </w:rPr>
                    <w:t>2</w:t>
                  </w:r>
                </w:p>
              </w:tc>
              <w:tc>
                <w:tcPr>
                  <w:tcW w:w="580" w:type="pct"/>
                  <w:vAlign w:val="center"/>
                </w:tcPr>
                <w:p w14:paraId="1D6007AC">
                  <w:pPr>
                    <w:pStyle w:val="94"/>
                    <w:rPr>
                      <w:color w:val="auto"/>
                    </w:rPr>
                  </w:pPr>
                  <w:r>
                    <w:rPr>
                      <w:rFonts w:hint="eastAsia"/>
                      <w:color w:val="auto"/>
                    </w:rPr>
                    <w:t>昼夜</w:t>
                  </w:r>
                </w:p>
              </w:tc>
              <w:tc>
                <w:tcPr>
                  <w:tcW w:w="834" w:type="pct"/>
                  <w:vAlign w:val="center"/>
                </w:tcPr>
                <w:p w14:paraId="0813063D">
                  <w:pPr>
                    <w:pStyle w:val="94"/>
                    <w:rPr>
                      <w:color w:val="auto"/>
                    </w:rPr>
                  </w:pPr>
                  <w:r>
                    <w:rPr>
                      <w:color w:val="auto"/>
                    </w:rPr>
                    <w:t>连续稳态声源</w:t>
                  </w:r>
                </w:p>
              </w:tc>
              <w:tc>
                <w:tcPr>
                  <w:tcW w:w="590" w:type="pct"/>
                  <w:vAlign w:val="center"/>
                </w:tcPr>
                <w:p w14:paraId="5CE300D7">
                  <w:pPr>
                    <w:pStyle w:val="94"/>
                    <w:rPr>
                      <w:color w:val="auto"/>
                    </w:rPr>
                  </w:pPr>
                  <w:r>
                    <w:rPr>
                      <w:rFonts w:hint="eastAsia"/>
                      <w:color w:val="auto"/>
                    </w:rPr>
                    <w:t>基础减震</w:t>
                  </w:r>
                </w:p>
              </w:tc>
            </w:tr>
            <w:tr w14:paraId="0D85E9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912" w:type="dxa"/>
                  <w:vMerge w:val="continue"/>
                  <w:vAlign w:val="center"/>
                </w:tcPr>
                <w:p w14:paraId="313FD7DA">
                  <w:pPr>
                    <w:pStyle w:val="94"/>
                    <w:rPr>
                      <w:color w:val="auto"/>
                      <w:kern w:val="2"/>
                    </w:rPr>
                  </w:pPr>
                </w:p>
              </w:tc>
              <w:tc>
                <w:tcPr>
                  <w:tcW w:w="792" w:type="dxa"/>
                  <w:vMerge w:val="continue"/>
                  <w:vAlign w:val="center"/>
                </w:tcPr>
                <w:p w14:paraId="7948A2CE">
                  <w:pPr>
                    <w:pStyle w:val="94"/>
                    <w:rPr>
                      <w:color w:val="auto"/>
                      <w:kern w:val="2"/>
                    </w:rPr>
                  </w:pPr>
                </w:p>
              </w:tc>
              <w:tc>
                <w:tcPr>
                  <w:tcW w:w="481" w:type="pct"/>
                  <w:vAlign w:val="center"/>
                </w:tcPr>
                <w:p w14:paraId="729AA627">
                  <w:pPr>
                    <w:pStyle w:val="94"/>
                    <w:rPr>
                      <w:color w:val="auto"/>
                    </w:rPr>
                  </w:pPr>
                  <w:r>
                    <w:rPr>
                      <w:color w:val="auto"/>
                    </w:rPr>
                    <w:t>柴油发电机</w:t>
                  </w:r>
                </w:p>
              </w:tc>
              <w:tc>
                <w:tcPr>
                  <w:tcW w:w="357" w:type="pct"/>
                  <w:vAlign w:val="center"/>
                </w:tcPr>
                <w:p w14:paraId="31E526F9">
                  <w:pPr>
                    <w:pStyle w:val="94"/>
                    <w:rPr>
                      <w:color w:val="auto"/>
                    </w:rPr>
                  </w:pPr>
                  <w:r>
                    <w:rPr>
                      <w:rFonts w:hint="eastAsia"/>
                      <w:color w:val="auto"/>
                    </w:rPr>
                    <w:t>2</w:t>
                  </w:r>
                  <w:r>
                    <w:rPr>
                      <w:color w:val="auto"/>
                    </w:rPr>
                    <w:t>台</w:t>
                  </w:r>
                </w:p>
              </w:tc>
              <w:tc>
                <w:tcPr>
                  <w:tcW w:w="608" w:type="pct"/>
                  <w:vAlign w:val="center"/>
                </w:tcPr>
                <w:p w14:paraId="3F14DB39">
                  <w:pPr>
                    <w:pStyle w:val="94"/>
                    <w:rPr>
                      <w:color w:val="auto"/>
                    </w:rPr>
                  </w:pPr>
                  <w:r>
                    <w:rPr>
                      <w:color w:val="auto"/>
                    </w:rPr>
                    <w:t>95～98</w:t>
                  </w:r>
                </w:p>
              </w:tc>
              <w:tc>
                <w:tcPr>
                  <w:tcW w:w="244" w:type="pct"/>
                  <w:vAlign w:val="center"/>
                </w:tcPr>
                <w:p w14:paraId="1E2AFF76">
                  <w:pPr>
                    <w:pStyle w:val="94"/>
                    <w:rPr>
                      <w:color w:val="auto"/>
                    </w:rPr>
                  </w:pPr>
                  <w:r>
                    <w:rPr>
                      <w:rFonts w:hint="eastAsia"/>
                      <w:color w:val="auto"/>
                    </w:rPr>
                    <w:t>5</w:t>
                  </w:r>
                </w:p>
              </w:tc>
              <w:tc>
                <w:tcPr>
                  <w:tcW w:w="244" w:type="pct"/>
                  <w:vAlign w:val="center"/>
                </w:tcPr>
                <w:p w14:paraId="72971EF7">
                  <w:pPr>
                    <w:pStyle w:val="94"/>
                    <w:rPr>
                      <w:color w:val="auto"/>
                    </w:rPr>
                  </w:pPr>
                  <w:r>
                    <w:rPr>
                      <w:rFonts w:hint="eastAsia"/>
                      <w:color w:val="auto"/>
                    </w:rPr>
                    <w:t>20</w:t>
                  </w:r>
                </w:p>
              </w:tc>
              <w:tc>
                <w:tcPr>
                  <w:tcW w:w="199" w:type="pct"/>
                  <w:vAlign w:val="center"/>
                </w:tcPr>
                <w:p w14:paraId="2A8BE66A">
                  <w:pPr>
                    <w:pStyle w:val="94"/>
                    <w:rPr>
                      <w:color w:val="auto"/>
                    </w:rPr>
                  </w:pPr>
                  <w:r>
                    <w:rPr>
                      <w:rFonts w:hint="eastAsia"/>
                      <w:color w:val="auto"/>
                    </w:rPr>
                    <w:t>2</w:t>
                  </w:r>
                </w:p>
              </w:tc>
              <w:tc>
                <w:tcPr>
                  <w:tcW w:w="580" w:type="pct"/>
                  <w:vAlign w:val="center"/>
                </w:tcPr>
                <w:p w14:paraId="54132D93">
                  <w:pPr>
                    <w:pStyle w:val="94"/>
                    <w:rPr>
                      <w:color w:val="auto"/>
                    </w:rPr>
                  </w:pPr>
                  <w:r>
                    <w:rPr>
                      <w:rFonts w:hint="eastAsia"/>
                      <w:color w:val="auto"/>
                    </w:rPr>
                    <w:t>昼夜</w:t>
                  </w:r>
                </w:p>
              </w:tc>
              <w:tc>
                <w:tcPr>
                  <w:tcW w:w="834" w:type="pct"/>
                  <w:vAlign w:val="center"/>
                </w:tcPr>
                <w:p w14:paraId="7EC83BA9">
                  <w:pPr>
                    <w:pStyle w:val="94"/>
                    <w:rPr>
                      <w:color w:val="auto"/>
                    </w:rPr>
                  </w:pPr>
                  <w:r>
                    <w:rPr>
                      <w:color w:val="auto"/>
                    </w:rPr>
                    <w:t>连续稳态声源</w:t>
                  </w:r>
                </w:p>
              </w:tc>
              <w:tc>
                <w:tcPr>
                  <w:tcW w:w="590" w:type="pct"/>
                  <w:vAlign w:val="center"/>
                </w:tcPr>
                <w:p w14:paraId="62A5CBBC">
                  <w:pPr>
                    <w:pStyle w:val="94"/>
                    <w:rPr>
                      <w:color w:val="auto"/>
                    </w:rPr>
                  </w:pPr>
                  <w:r>
                    <w:rPr>
                      <w:rFonts w:hint="eastAsia"/>
                      <w:color w:val="auto"/>
                    </w:rPr>
                    <w:t>基础减震、撬装式</w:t>
                  </w:r>
                </w:p>
              </w:tc>
            </w:tr>
            <w:tr w14:paraId="2DA28E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912" w:type="dxa"/>
                  <w:vMerge w:val="continue"/>
                  <w:vAlign w:val="center"/>
                </w:tcPr>
                <w:p w14:paraId="655DA288">
                  <w:pPr>
                    <w:pStyle w:val="94"/>
                    <w:rPr>
                      <w:color w:val="auto"/>
                      <w:kern w:val="2"/>
                    </w:rPr>
                  </w:pPr>
                </w:p>
              </w:tc>
              <w:tc>
                <w:tcPr>
                  <w:tcW w:w="792" w:type="dxa"/>
                  <w:vMerge w:val="continue"/>
                  <w:vAlign w:val="center"/>
                </w:tcPr>
                <w:p w14:paraId="54313337">
                  <w:pPr>
                    <w:pStyle w:val="94"/>
                    <w:rPr>
                      <w:color w:val="auto"/>
                      <w:kern w:val="2"/>
                    </w:rPr>
                  </w:pPr>
                </w:p>
              </w:tc>
              <w:tc>
                <w:tcPr>
                  <w:tcW w:w="481" w:type="pct"/>
                  <w:vAlign w:val="center"/>
                </w:tcPr>
                <w:p w14:paraId="7E86AFD3">
                  <w:pPr>
                    <w:pStyle w:val="94"/>
                    <w:rPr>
                      <w:color w:val="auto"/>
                    </w:rPr>
                  </w:pPr>
                  <w:r>
                    <w:rPr>
                      <w:rFonts w:hint="eastAsia"/>
                      <w:color w:val="auto"/>
                    </w:rPr>
                    <w:t>钻井泵</w:t>
                  </w:r>
                </w:p>
              </w:tc>
              <w:tc>
                <w:tcPr>
                  <w:tcW w:w="357" w:type="pct"/>
                  <w:vAlign w:val="center"/>
                </w:tcPr>
                <w:p w14:paraId="1014329B">
                  <w:pPr>
                    <w:pStyle w:val="94"/>
                    <w:rPr>
                      <w:color w:val="auto"/>
                    </w:rPr>
                  </w:pPr>
                  <w:r>
                    <w:rPr>
                      <w:rFonts w:hint="eastAsia"/>
                      <w:color w:val="auto"/>
                    </w:rPr>
                    <w:t>2</w:t>
                  </w:r>
                  <w:r>
                    <w:rPr>
                      <w:color w:val="auto"/>
                    </w:rPr>
                    <w:t>台</w:t>
                  </w:r>
                </w:p>
              </w:tc>
              <w:tc>
                <w:tcPr>
                  <w:tcW w:w="608" w:type="pct"/>
                  <w:vAlign w:val="center"/>
                </w:tcPr>
                <w:p w14:paraId="71E62F02">
                  <w:pPr>
                    <w:pStyle w:val="94"/>
                    <w:rPr>
                      <w:color w:val="auto"/>
                    </w:rPr>
                  </w:pPr>
                  <w:r>
                    <w:rPr>
                      <w:color w:val="auto"/>
                    </w:rPr>
                    <w:t>95～100</w:t>
                  </w:r>
                </w:p>
              </w:tc>
              <w:tc>
                <w:tcPr>
                  <w:tcW w:w="244" w:type="pct"/>
                  <w:vAlign w:val="center"/>
                </w:tcPr>
                <w:p w14:paraId="26A6639A">
                  <w:pPr>
                    <w:pStyle w:val="94"/>
                    <w:rPr>
                      <w:color w:val="auto"/>
                    </w:rPr>
                  </w:pPr>
                  <w:r>
                    <w:rPr>
                      <w:rFonts w:hint="eastAsia"/>
                      <w:color w:val="auto"/>
                    </w:rPr>
                    <w:t>50</w:t>
                  </w:r>
                </w:p>
              </w:tc>
              <w:tc>
                <w:tcPr>
                  <w:tcW w:w="244" w:type="pct"/>
                  <w:vAlign w:val="center"/>
                </w:tcPr>
                <w:p w14:paraId="5847D8CB">
                  <w:pPr>
                    <w:pStyle w:val="94"/>
                    <w:rPr>
                      <w:color w:val="auto"/>
                    </w:rPr>
                  </w:pPr>
                  <w:r>
                    <w:rPr>
                      <w:rFonts w:hint="eastAsia"/>
                      <w:color w:val="auto"/>
                    </w:rPr>
                    <w:t>25</w:t>
                  </w:r>
                </w:p>
              </w:tc>
              <w:tc>
                <w:tcPr>
                  <w:tcW w:w="199" w:type="pct"/>
                  <w:vAlign w:val="center"/>
                </w:tcPr>
                <w:p w14:paraId="5754D962">
                  <w:pPr>
                    <w:pStyle w:val="94"/>
                    <w:rPr>
                      <w:color w:val="auto"/>
                    </w:rPr>
                  </w:pPr>
                  <w:r>
                    <w:rPr>
                      <w:rFonts w:hint="eastAsia"/>
                      <w:color w:val="auto"/>
                    </w:rPr>
                    <w:t>1</w:t>
                  </w:r>
                </w:p>
              </w:tc>
              <w:tc>
                <w:tcPr>
                  <w:tcW w:w="580" w:type="pct"/>
                  <w:vAlign w:val="center"/>
                </w:tcPr>
                <w:p w14:paraId="6D24652F">
                  <w:pPr>
                    <w:pStyle w:val="94"/>
                    <w:rPr>
                      <w:color w:val="auto"/>
                    </w:rPr>
                  </w:pPr>
                  <w:r>
                    <w:rPr>
                      <w:rFonts w:hint="eastAsia"/>
                      <w:color w:val="auto"/>
                    </w:rPr>
                    <w:t>昼夜</w:t>
                  </w:r>
                </w:p>
              </w:tc>
              <w:tc>
                <w:tcPr>
                  <w:tcW w:w="834" w:type="pct"/>
                  <w:vAlign w:val="center"/>
                </w:tcPr>
                <w:p w14:paraId="284A9B16">
                  <w:pPr>
                    <w:pStyle w:val="94"/>
                    <w:rPr>
                      <w:color w:val="auto"/>
                    </w:rPr>
                  </w:pPr>
                  <w:r>
                    <w:rPr>
                      <w:color w:val="auto"/>
                    </w:rPr>
                    <w:t>连续稳态声源</w:t>
                  </w:r>
                </w:p>
              </w:tc>
              <w:tc>
                <w:tcPr>
                  <w:tcW w:w="590" w:type="pct"/>
                  <w:vAlign w:val="center"/>
                </w:tcPr>
                <w:p w14:paraId="512C5AC1">
                  <w:pPr>
                    <w:pStyle w:val="94"/>
                    <w:rPr>
                      <w:color w:val="auto"/>
                    </w:rPr>
                  </w:pPr>
                  <w:r>
                    <w:rPr>
                      <w:rFonts w:hint="eastAsia"/>
                      <w:color w:val="auto"/>
                    </w:rPr>
                    <w:t>基础减震</w:t>
                  </w:r>
                </w:p>
              </w:tc>
            </w:tr>
            <w:tr w14:paraId="4FB504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912" w:type="dxa"/>
                  <w:vMerge w:val="continue"/>
                  <w:vAlign w:val="center"/>
                </w:tcPr>
                <w:p w14:paraId="50309729">
                  <w:pPr>
                    <w:pStyle w:val="94"/>
                    <w:rPr>
                      <w:color w:val="auto"/>
                      <w:kern w:val="2"/>
                    </w:rPr>
                  </w:pPr>
                </w:p>
              </w:tc>
              <w:tc>
                <w:tcPr>
                  <w:tcW w:w="402" w:type="pct"/>
                  <w:vAlign w:val="center"/>
                </w:tcPr>
                <w:p w14:paraId="7323E532">
                  <w:pPr>
                    <w:pStyle w:val="94"/>
                    <w:rPr>
                      <w:color w:val="auto"/>
                    </w:rPr>
                  </w:pPr>
                  <w:r>
                    <w:rPr>
                      <w:color w:val="auto"/>
                    </w:rPr>
                    <w:t>井下作业</w:t>
                  </w:r>
                </w:p>
              </w:tc>
              <w:tc>
                <w:tcPr>
                  <w:tcW w:w="481" w:type="pct"/>
                  <w:vAlign w:val="center"/>
                </w:tcPr>
                <w:p w14:paraId="431C9F2F">
                  <w:pPr>
                    <w:pStyle w:val="94"/>
                    <w:rPr>
                      <w:color w:val="auto"/>
                    </w:rPr>
                  </w:pPr>
                  <w:r>
                    <w:rPr>
                      <w:color w:val="auto"/>
                    </w:rPr>
                    <w:t>压裂车</w:t>
                  </w:r>
                </w:p>
              </w:tc>
              <w:tc>
                <w:tcPr>
                  <w:tcW w:w="357" w:type="pct"/>
                  <w:vAlign w:val="center"/>
                </w:tcPr>
                <w:p w14:paraId="3C1396D5">
                  <w:pPr>
                    <w:pStyle w:val="94"/>
                    <w:rPr>
                      <w:color w:val="auto"/>
                    </w:rPr>
                  </w:pPr>
                  <w:r>
                    <w:rPr>
                      <w:rFonts w:hint="eastAsia"/>
                      <w:color w:val="auto"/>
                    </w:rPr>
                    <w:t>4台</w:t>
                  </w:r>
                </w:p>
              </w:tc>
              <w:tc>
                <w:tcPr>
                  <w:tcW w:w="608" w:type="pct"/>
                  <w:vAlign w:val="center"/>
                </w:tcPr>
                <w:p w14:paraId="568E2B2A">
                  <w:pPr>
                    <w:pStyle w:val="94"/>
                    <w:rPr>
                      <w:color w:val="auto"/>
                    </w:rPr>
                  </w:pPr>
                  <w:r>
                    <w:rPr>
                      <w:color w:val="auto"/>
                    </w:rPr>
                    <w:t>80～120</w:t>
                  </w:r>
                </w:p>
              </w:tc>
              <w:tc>
                <w:tcPr>
                  <w:tcW w:w="244" w:type="pct"/>
                  <w:vAlign w:val="center"/>
                </w:tcPr>
                <w:p w14:paraId="271AD688">
                  <w:pPr>
                    <w:pStyle w:val="94"/>
                    <w:rPr>
                      <w:color w:val="auto"/>
                    </w:rPr>
                  </w:pPr>
                  <w:r>
                    <w:rPr>
                      <w:rFonts w:hint="eastAsia"/>
                      <w:color w:val="auto"/>
                    </w:rPr>
                    <w:t>25</w:t>
                  </w:r>
                </w:p>
              </w:tc>
              <w:tc>
                <w:tcPr>
                  <w:tcW w:w="244" w:type="pct"/>
                  <w:vAlign w:val="center"/>
                </w:tcPr>
                <w:p w14:paraId="4BA4E4F0">
                  <w:pPr>
                    <w:pStyle w:val="94"/>
                    <w:rPr>
                      <w:color w:val="auto"/>
                    </w:rPr>
                  </w:pPr>
                  <w:r>
                    <w:rPr>
                      <w:rFonts w:hint="eastAsia"/>
                      <w:color w:val="auto"/>
                    </w:rPr>
                    <w:t>15</w:t>
                  </w:r>
                </w:p>
              </w:tc>
              <w:tc>
                <w:tcPr>
                  <w:tcW w:w="199" w:type="pct"/>
                  <w:vAlign w:val="center"/>
                </w:tcPr>
                <w:p w14:paraId="0FEFBA9C">
                  <w:pPr>
                    <w:pStyle w:val="94"/>
                    <w:rPr>
                      <w:color w:val="auto"/>
                    </w:rPr>
                  </w:pPr>
                  <w:r>
                    <w:rPr>
                      <w:rFonts w:hint="eastAsia"/>
                      <w:color w:val="auto"/>
                    </w:rPr>
                    <w:t>3</w:t>
                  </w:r>
                </w:p>
              </w:tc>
              <w:tc>
                <w:tcPr>
                  <w:tcW w:w="580" w:type="pct"/>
                  <w:vAlign w:val="center"/>
                </w:tcPr>
                <w:p w14:paraId="7AD6A9F7">
                  <w:pPr>
                    <w:pStyle w:val="94"/>
                    <w:rPr>
                      <w:color w:val="auto"/>
                    </w:rPr>
                  </w:pPr>
                  <w:r>
                    <w:rPr>
                      <w:rFonts w:hint="eastAsia"/>
                      <w:color w:val="auto"/>
                    </w:rPr>
                    <w:t>昼</w:t>
                  </w:r>
                </w:p>
              </w:tc>
              <w:tc>
                <w:tcPr>
                  <w:tcW w:w="834" w:type="pct"/>
                  <w:vAlign w:val="center"/>
                </w:tcPr>
                <w:p w14:paraId="18436AE2">
                  <w:pPr>
                    <w:pStyle w:val="94"/>
                    <w:rPr>
                      <w:color w:val="auto"/>
                    </w:rPr>
                  </w:pPr>
                  <w:r>
                    <w:rPr>
                      <w:color w:val="auto"/>
                    </w:rPr>
                    <w:t>连续稳态声源</w:t>
                  </w:r>
                </w:p>
              </w:tc>
              <w:tc>
                <w:tcPr>
                  <w:tcW w:w="590" w:type="pct"/>
                  <w:vAlign w:val="center"/>
                </w:tcPr>
                <w:p w14:paraId="6D682735">
                  <w:pPr>
                    <w:pStyle w:val="94"/>
                    <w:rPr>
                      <w:color w:val="auto"/>
                    </w:rPr>
                  </w:pPr>
                  <w:r>
                    <w:rPr>
                      <w:rFonts w:hint="eastAsia"/>
                      <w:color w:val="auto"/>
                    </w:rPr>
                    <w:t>选用低噪设备</w:t>
                  </w:r>
                </w:p>
              </w:tc>
            </w:tr>
            <w:tr w14:paraId="077F66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63" w:type="pct"/>
                  <w:vMerge w:val="restart"/>
                  <w:vAlign w:val="center"/>
                </w:tcPr>
                <w:p w14:paraId="6E7C8F6E">
                  <w:pPr>
                    <w:pStyle w:val="94"/>
                    <w:rPr>
                      <w:color w:val="auto"/>
                    </w:rPr>
                  </w:pPr>
                  <w:r>
                    <w:rPr>
                      <w:rFonts w:hint="eastAsia"/>
                      <w:color w:val="auto"/>
                    </w:rPr>
                    <w:t>运输车辆</w:t>
                  </w:r>
                </w:p>
              </w:tc>
              <w:tc>
                <w:tcPr>
                  <w:tcW w:w="882" w:type="pct"/>
                  <w:gridSpan w:val="2"/>
                  <w:vAlign w:val="center"/>
                </w:tcPr>
                <w:p w14:paraId="3B97529E">
                  <w:pPr>
                    <w:pStyle w:val="94"/>
                    <w:rPr>
                      <w:color w:val="auto"/>
                    </w:rPr>
                  </w:pPr>
                  <w:r>
                    <w:rPr>
                      <w:color w:val="auto"/>
                    </w:rPr>
                    <w:t>推土机、挖掘机</w:t>
                  </w:r>
                </w:p>
              </w:tc>
              <w:tc>
                <w:tcPr>
                  <w:tcW w:w="357" w:type="pct"/>
                  <w:vAlign w:val="center"/>
                </w:tcPr>
                <w:p w14:paraId="3749415B">
                  <w:pPr>
                    <w:pStyle w:val="94"/>
                    <w:rPr>
                      <w:color w:val="auto"/>
                    </w:rPr>
                  </w:pPr>
                  <w:r>
                    <w:rPr>
                      <w:rFonts w:hint="eastAsia"/>
                      <w:color w:val="auto"/>
                    </w:rPr>
                    <w:t>/</w:t>
                  </w:r>
                </w:p>
              </w:tc>
              <w:tc>
                <w:tcPr>
                  <w:tcW w:w="608" w:type="pct"/>
                  <w:vAlign w:val="center"/>
                </w:tcPr>
                <w:p w14:paraId="105CFE41">
                  <w:pPr>
                    <w:pStyle w:val="94"/>
                    <w:rPr>
                      <w:color w:val="auto"/>
                    </w:rPr>
                  </w:pPr>
                  <w:r>
                    <w:rPr>
                      <w:color w:val="auto"/>
                    </w:rPr>
                    <w:t>80～85</w:t>
                  </w:r>
                </w:p>
              </w:tc>
              <w:tc>
                <w:tcPr>
                  <w:tcW w:w="687" w:type="pct"/>
                  <w:gridSpan w:val="3"/>
                  <w:vAlign w:val="center"/>
                </w:tcPr>
                <w:p w14:paraId="5A92ADF2">
                  <w:pPr>
                    <w:pStyle w:val="94"/>
                    <w:rPr>
                      <w:color w:val="auto"/>
                    </w:rPr>
                  </w:pPr>
                  <w:r>
                    <w:rPr>
                      <w:rFonts w:hint="eastAsia"/>
                      <w:color w:val="auto"/>
                    </w:rPr>
                    <w:t>/</w:t>
                  </w:r>
                </w:p>
              </w:tc>
              <w:tc>
                <w:tcPr>
                  <w:tcW w:w="580" w:type="pct"/>
                  <w:vAlign w:val="center"/>
                </w:tcPr>
                <w:p w14:paraId="48280ECE">
                  <w:pPr>
                    <w:pStyle w:val="94"/>
                    <w:rPr>
                      <w:color w:val="auto"/>
                    </w:rPr>
                  </w:pPr>
                  <w:r>
                    <w:rPr>
                      <w:rFonts w:hint="eastAsia"/>
                      <w:color w:val="auto"/>
                    </w:rPr>
                    <w:t>露天</w:t>
                  </w:r>
                </w:p>
              </w:tc>
              <w:tc>
                <w:tcPr>
                  <w:tcW w:w="834" w:type="pct"/>
                  <w:vAlign w:val="center"/>
                </w:tcPr>
                <w:p w14:paraId="43CCD246">
                  <w:pPr>
                    <w:pStyle w:val="94"/>
                    <w:rPr>
                      <w:color w:val="auto"/>
                    </w:rPr>
                  </w:pPr>
                  <w:r>
                    <w:rPr>
                      <w:rFonts w:hint="eastAsia"/>
                      <w:color w:val="auto"/>
                    </w:rPr>
                    <w:t>昼夜</w:t>
                  </w:r>
                </w:p>
              </w:tc>
              <w:tc>
                <w:tcPr>
                  <w:tcW w:w="590" w:type="pct"/>
                  <w:vAlign w:val="center"/>
                </w:tcPr>
                <w:p w14:paraId="23AB8E50">
                  <w:pPr>
                    <w:pStyle w:val="94"/>
                    <w:rPr>
                      <w:color w:val="auto"/>
                    </w:rPr>
                  </w:pPr>
                  <w:r>
                    <w:rPr>
                      <w:rFonts w:hint="eastAsia"/>
                      <w:color w:val="auto"/>
                    </w:rPr>
                    <w:t>选用低噪设备，定期维护</w:t>
                  </w:r>
                </w:p>
              </w:tc>
            </w:tr>
            <w:tr w14:paraId="7CC6F5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912" w:type="dxa"/>
                  <w:vMerge w:val="continue"/>
                  <w:vAlign w:val="center"/>
                </w:tcPr>
                <w:p w14:paraId="3D8A76B6">
                  <w:pPr>
                    <w:pStyle w:val="94"/>
                    <w:rPr>
                      <w:color w:val="auto"/>
                      <w:kern w:val="2"/>
                    </w:rPr>
                  </w:pPr>
                </w:p>
              </w:tc>
              <w:tc>
                <w:tcPr>
                  <w:tcW w:w="882" w:type="pct"/>
                  <w:gridSpan w:val="2"/>
                  <w:vAlign w:val="center"/>
                </w:tcPr>
                <w:p w14:paraId="03F906A7">
                  <w:pPr>
                    <w:pStyle w:val="94"/>
                    <w:rPr>
                      <w:color w:val="auto"/>
                    </w:rPr>
                  </w:pPr>
                  <w:r>
                    <w:rPr>
                      <w:color w:val="auto"/>
                    </w:rPr>
                    <w:t>装载机、运输汽车</w:t>
                  </w:r>
                </w:p>
              </w:tc>
              <w:tc>
                <w:tcPr>
                  <w:tcW w:w="357" w:type="pct"/>
                  <w:vAlign w:val="center"/>
                </w:tcPr>
                <w:p w14:paraId="0380E2AE">
                  <w:pPr>
                    <w:pStyle w:val="94"/>
                    <w:rPr>
                      <w:color w:val="auto"/>
                    </w:rPr>
                  </w:pPr>
                  <w:r>
                    <w:rPr>
                      <w:rFonts w:hint="eastAsia"/>
                      <w:color w:val="auto"/>
                    </w:rPr>
                    <w:t>/</w:t>
                  </w:r>
                </w:p>
              </w:tc>
              <w:tc>
                <w:tcPr>
                  <w:tcW w:w="608" w:type="pct"/>
                  <w:vAlign w:val="center"/>
                </w:tcPr>
                <w:p w14:paraId="0284CE8F">
                  <w:pPr>
                    <w:pStyle w:val="94"/>
                    <w:rPr>
                      <w:color w:val="auto"/>
                    </w:rPr>
                  </w:pPr>
                  <w:r>
                    <w:rPr>
                      <w:color w:val="auto"/>
                    </w:rPr>
                    <w:t>85～90</w:t>
                  </w:r>
                </w:p>
              </w:tc>
              <w:tc>
                <w:tcPr>
                  <w:tcW w:w="687" w:type="pct"/>
                  <w:gridSpan w:val="3"/>
                  <w:vAlign w:val="center"/>
                </w:tcPr>
                <w:p w14:paraId="3BF4F0E8">
                  <w:pPr>
                    <w:pStyle w:val="94"/>
                    <w:rPr>
                      <w:color w:val="auto"/>
                    </w:rPr>
                  </w:pPr>
                  <w:r>
                    <w:rPr>
                      <w:rFonts w:hint="eastAsia"/>
                      <w:color w:val="auto"/>
                    </w:rPr>
                    <w:t>/</w:t>
                  </w:r>
                </w:p>
              </w:tc>
              <w:tc>
                <w:tcPr>
                  <w:tcW w:w="580" w:type="pct"/>
                  <w:vAlign w:val="center"/>
                </w:tcPr>
                <w:p w14:paraId="3ECACD86">
                  <w:pPr>
                    <w:pStyle w:val="94"/>
                    <w:rPr>
                      <w:color w:val="auto"/>
                    </w:rPr>
                  </w:pPr>
                  <w:r>
                    <w:rPr>
                      <w:rFonts w:hint="eastAsia"/>
                      <w:color w:val="auto"/>
                    </w:rPr>
                    <w:t>露天</w:t>
                  </w:r>
                </w:p>
              </w:tc>
              <w:tc>
                <w:tcPr>
                  <w:tcW w:w="834" w:type="pct"/>
                  <w:vAlign w:val="center"/>
                </w:tcPr>
                <w:p w14:paraId="053B64FA">
                  <w:pPr>
                    <w:pStyle w:val="94"/>
                    <w:rPr>
                      <w:color w:val="auto"/>
                    </w:rPr>
                  </w:pPr>
                  <w:r>
                    <w:rPr>
                      <w:rFonts w:hint="eastAsia"/>
                      <w:color w:val="auto"/>
                    </w:rPr>
                    <w:t>昼夜</w:t>
                  </w:r>
                </w:p>
              </w:tc>
              <w:tc>
                <w:tcPr>
                  <w:tcW w:w="590" w:type="pct"/>
                  <w:vAlign w:val="center"/>
                </w:tcPr>
                <w:p w14:paraId="529D6F62">
                  <w:pPr>
                    <w:pStyle w:val="94"/>
                    <w:rPr>
                      <w:color w:val="auto"/>
                    </w:rPr>
                  </w:pPr>
                  <w:r>
                    <w:rPr>
                      <w:rFonts w:hint="eastAsia"/>
                      <w:color w:val="auto"/>
                    </w:rPr>
                    <w:t>选用低噪设备，定期维护</w:t>
                  </w:r>
                </w:p>
              </w:tc>
            </w:tr>
            <w:tr w14:paraId="278825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912" w:type="dxa"/>
                  <w:vMerge w:val="continue"/>
                  <w:vAlign w:val="center"/>
                </w:tcPr>
                <w:p w14:paraId="77B2824D">
                  <w:pPr>
                    <w:pStyle w:val="94"/>
                    <w:rPr>
                      <w:color w:val="auto"/>
                      <w:kern w:val="2"/>
                    </w:rPr>
                  </w:pPr>
                </w:p>
              </w:tc>
              <w:tc>
                <w:tcPr>
                  <w:tcW w:w="882" w:type="pct"/>
                  <w:gridSpan w:val="2"/>
                  <w:vAlign w:val="center"/>
                </w:tcPr>
                <w:p w14:paraId="163DBAE3">
                  <w:pPr>
                    <w:pStyle w:val="94"/>
                    <w:rPr>
                      <w:color w:val="auto"/>
                    </w:rPr>
                  </w:pPr>
                  <w:r>
                    <w:rPr>
                      <w:color w:val="auto"/>
                    </w:rPr>
                    <w:t>焊接机等</w:t>
                  </w:r>
                </w:p>
              </w:tc>
              <w:tc>
                <w:tcPr>
                  <w:tcW w:w="357" w:type="pct"/>
                  <w:vAlign w:val="center"/>
                </w:tcPr>
                <w:p w14:paraId="59375421">
                  <w:pPr>
                    <w:pStyle w:val="94"/>
                    <w:rPr>
                      <w:color w:val="auto"/>
                    </w:rPr>
                  </w:pPr>
                  <w:r>
                    <w:rPr>
                      <w:rFonts w:hint="eastAsia"/>
                      <w:color w:val="auto"/>
                    </w:rPr>
                    <w:t>/</w:t>
                  </w:r>
                </w:p>
              </w:tc>
              <w:tc>
                <w:tcPr>
                  <w:tcW w:w="608" w:type="pct"/>
                  <w:vAlign w:val="center"/>
                </w:tcPr>
                <w:p w14:paraId="3AA362A3">
                  <w:pPr>
                    <w:pStyle w:val="94"/>
                    <w:rPr>
                      <w:color w:val="auto"/>
                    </w:rPr>
                  </w:pPr>
                  <w:r>
                    <w:rPr>
                      <w:color w:val="auto"/>
                    </w:rPr>
                    <w:t>85～90</w:t>
                  </w:r>
                </w:p>
              </w:tc>
              <w:tc>
                <w:tcPr>
                  <w:tcW w:w="687" w:type="pct"/>
                  <w:gridSpan w:val="3"/>
                  <w:vAlign w:val="center"/>
                </w:tcPr>
                <w:p w14:paraId="290BC93A">
                  <w:pPr>
                    <w:pStyle w:val="94"/>
                    <w:rPr>
                      <w:color w:val="auto"/>
                    </w:rPr>
                  </w:pPr>
                  <w:r>
                    <w:rPr>
                      <w:rFonts w:hint="eastAsia"/>
                      <w:color w:val="auto"/>
                    </w:rPr>
                    <w:t>/</w:t>
                  </w:r>
                </w:p>
              </w:tc>
              <w:tc>
                <w:tcPr>
                  <w:tcW w:w="580" w:type="pct"/>
                  <w:vAlign w:val="center"/>
                </w:tcPr>
                <w:p w14:paraId="443390E2">
                  <w:pPr>
                    <w:pStyle w:val="94"/>
                    <w:rPr>
                      <w:color w:val="auto"/>
                    </w:rPr>
                  </w:pPr>
                  <w:r>
                    <w:rPr>
                      <w:rFonts w:hint="eastAsia"/>
                      <w:color w:val="auto"/>
                    </w:rPr>
                    <w:t>露天</w:t>
                  </w:r>
                </w:p>
              </w:tc>
              <w:tc>
                <w:tcPr>
                  <w:tcW w:w="834" w:type="pct"/>
                  <w:vAlign w:val="center"/>
                </w:tcPr>
                <w:p w14:paraId="094A0DA4">
                  <w:pPr>
                    <w:pStyle w:val="94"/>
                    <w:rPr>
                      <w:color w:val="auto"/>
                    </w:rPr>
                  </w:pPr>
                  <w:r>
                    <w:rPr>
                      <w:rFonts w:hint="eastAsia"/>
                      <w:color w:val="auto"/>
                    </w:rPr>
                    <w:t>昼夜</w:t>
                  </w:r>
                </w:p>
              </w:tc>
              <w:tc>
                <w:tcPr>
                  <w:tcW w:w="590" w:type="pct"/>
                  <w:vAlign w:val="center"/>
                </w:tcPr>
                <w:p w14:paraId="78F9F064">
                  <w:pPr>
                    <w:pStyle w:val="94"/>
                    <w:rPr>
                      <w:color w:val="auto"/>
                    </w:rPr>
                  </w:pPr>
                  <w:r>
                    <w:rPr>
                      <w:rFonts w:hint="eastAsia"/>
                      <w:color w:val="auto"/>
                    </w:rPr>
                    <w:t>选用低噪设备，定期维护</w:t>
                  </w:r>
                </w:p>
              </w:tc>
            </w:tr>
          </w:tbl>
          <w:p w14:paraId="2D1E7ACB">
            <w:pPr>
              <w:pStyle w:val="96"/>
              <w:ind w:firstLine="480"/>
            </w:pPr>
            <w:r>
              <w:rPr>
                <w:rFonts w:hint="eastAsia"/>
              </w:rPr>
              <w:t>由于勘探井建设具有面广、工程分散的施工特点，采用分区分段施工，因此本评价根据使用数量、时间、频次以及噪声级选取对声环境影响较大的钻机、柴油机、泥浆泵等进行预测，钻井时钻机、发电机、泥浆泵等设备同时使用，因此按各设备叠加源作为源强、以钻井为中心，采用室外点源预测模式进行预测。距离钻井架不同距离处的噪声值见下表。</w:t>
            </w:r>
          </w:p>
          <w:p w14:paraId="0559915F">
            <w:pPr>
              <w:pStyle w:val="19"/>
              <w:keepNext/>
            </w:pPr>
            <w:r>
              <w:t xml:space="preserve">表 </w:t>
            </w:r>
            <w:r>
              <w:fldChar w:fldCharType="begin"/>
            </w:r>
            <w:r>
              <w:instrText xml:space="preserve"> SEQ 表 \* ARABIC </w:instrText>
            </w:r>
            <w:r>
              <w:fldChar w:fldCharType="separate"/>
            </w:r>
            <w:r>
              <w:t>30</w:t>
            </w:r>
            <w:r>
              <w:fldChar w:fldCharType="end"/>
            </w:r>
            <w:r>
              <w:rPr>
                <w:rFonts w:hint="eastAsia"/>
              </w:rPr>
              <w:t>钻井场周围不同距离处噪声预测值</w:t>
            </w:r>
          </w:p>
          <w:tbl>
            <w:tblPr>
              <w:tblStyle w:val="73"/>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478"/>
              <w:gridCol w:w="696"/>
              <w:gridCol w:w="696"/>
              <w:gridCol w:w="694"/>
              <w:gridCol w:w="696"/>
              <w:gridCol w:w="692"/>
              <w:gridCol w:w="692"/>
              <w:gridCol w:w="694"/>
              <w:gridCol w:w="692"/>
              <w:gridCol w:w="691"/>
            </w:tblGrid>
            <w:tr w14:paraId="1A0077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420" w:type="pct"/>
                  <w:vAlign w:val="center"/>
                </w:tcPr>
                <w:p w14:paraId="582A91E6">
                  <w:pPr>
                    <w:pStyle w:val="94"/>
                    <w:rPr>
                      <w:color w:val="auto"/>
                    </w:rPr>
                  </w:pPr>
                  <w:r>
                    <w:rPr>
                      <w:color w:val="auto"/>
                    </w:rPr>
                    <w:t>距离钻井架距离（m）</w:t>
                  </w:r>
                </w:p>
              </w:tc>
              <w:tc>
                <w:tcPr>
                  <w:tcW w:w="399" w:type="pct"/>
                  <w:vAlign w:val="center"/>
                </w:tcPr>
                <w:p w14:paraId="742BFAB8">
                  <w:pPr>
                    <w:pStyle w:val="94"/>
                    <w:rPr>
                      <w:color w:val="auto"/>
                    </w:rPr>
                  </w:pPr>
                  <w:r>
                    <w:rPr>
                      <w:color w:val="auto"/>
                    </w:rPr>
                    <w:t>50</w:t>
                  </w:r>
                </w:p>
              </w:tc>
              <w:tc>
                <w:tcPr>
                  <w:tcW w:w="399" w:type="pct"/>
                  <w:vAlign w:val="center"/>
                </w:tcPr>
                <w:p w14:paraId="563E60B3">
                  <w:pPr>
                    <w:pStyle w:val="94"/>
                    <w:rPr>
                      <w:color w:val="auto"/>
                    </w:rPr>
                  </w:pPr>
                  <w:r>
                    <w:rPr>
                      <w:color w:val="auto"/>
                    </w:rPr>
                    <w:t>70</w:t>
                  </w:r>
                </w:p>
              </w:tc>
              <w:tc>
                <w:tcPr>
                  <w:tcW w:w="398" w:type="pct"/>
                  <w:vAlign w:val="center"/>
                </w:tcPr>
                <w:p w14:paraId="3210969C">
                  <w:pPr>
                    <w:pStyle w:val="94"/>
                    <w:rPr>
                      <w:color w:val="auto"/>
                    </w:rPr>
                  </w:pPr>
                  <w:r>
                    <w:rPr>
                      <w:color w:val="auto"/>
                    </w:rPr>
                    <w:t>100</w:t>
                  </w:r>
                </w:p>
              </w:tc>
              <w:tc>
                <w:tcPr>
                  <w:tcW w:w="399" w:type="pct"/>
                  <w:vAlign w:val="center"/>
                </w:tcPr>
                <w:p w14:paraId="416EA182">
                  <w:pPr>
                    <w:pStyle w:val="94"/>
                    <w:rPr>
                      <w:color w:val="auto"/>
                    </w:rPr>
                  </w:pPr>
                  <w:r>
                    <w:rPr>
                      <w:color w:val="auto"/>
                    </w:rPr>
                    <w:t>120</w:t>
                  </w:r>
                </w:p>
              </w:tc>
              <w:tc>
                <w:tcPr>
                  <w:tcW w:w="397" w:type="pct"/>
                  <w:vAlign w:val="center"/>
                </w:tcPr>
                <w:p w14:paraId="4C36D2F7">
                  <w:pPr>
                    <w:pStyle w:val="94"/>
                    <w:rPr>
                      <w:color w:val="auto"/>
                    </w:rPr>
                  </w:pPr>
                  <w:r>
                    <w:rPr>
                      <w:color w:val="auto"/>
                    </w:rPr>
                    <w:t>140</w:t>
                  </w:r>
                </w:p>
              </w:tc>
              <w:tc>
                <w:tcPr>
                  <w:tcW w:w="397" w:type="pct"/>
                  <w:vAlign w:val="center"/>
                </w:tcPr>
                <w:p w14:paraId="6E48264B">
                  <w:pPr>
                    <w:pStyle w:val="94"/>
                    <w:rPr>
                      <w:color w:val="auto"/>
                    </w:rPr>
                  </w:pPr>
                  <w:r>
                    <w:rPr>
                      <w:color w:val="auto"/>
                    </w:rPr>
                    <w:t>160</w:t>
                  </w:r>
                </w:p>
              </w:tc>
              <w:tc>
                <w:tcPr>
                  <w:tcW w:w="398" w:type="pct"/>
                  <w:vAlign w:val="center"/>
                </w:tcPr>
                <w:p w14:paraId="60F1FFE8">
                  <w:pPr>
                    <w:pStyle w:val="94"/>
                    <w:rPr>
                      <w:color w:val="auto"/>
                    </w:rPr>
                  </w:pPr>
                  <w:r>
                    <w:rPr>
                      <w:color w:val="auto"/>
                    </w:rPr>
                    <w:t>200</w:t>
                  </w:r>
                </w:p>
              </w:tc>
              <w:tc>
                <w:tcPr>
                  <w:tcW w:w="397" w:type="pct"/>
                  <w:vAlign w:val="center"/>
                </w:tcPr>
                <w:p w14:paraId="3EF36071">
                  <w:pPr>
                    <w:pStyle w:val="94"/>
                    <w:rPr>
                      <w:color w:val="auto"/>
                    </w:rPr>
                  </w:pPr>
                  <w:r>
                    <w:rPr>
                      <w:color w:val="auto"/>
                    </w:rPr>
                    <w:t>250</w:t>
                  </w:r>
                </w:p>
              </w:tc>
              <w:tc>
                <w:tcPr>
                  <w:tcW w:w="397" w:type="pct"/>
                  <w:vAlign w:val="center"/>
                </w:tcPr>
                <w:p w14:paraId="19C79DE1">
                  <w:pPr>
                    <w:pStyle w:val="94"/>
                    <w:rPr>
                      <w:color w:val="auto"/>
                    </w:rPr>
                  </w:pPr>
                  <w:r>
                    <w:rPr>
                      <w:color w:val="auto"/>
                    </w:rPr>
                    <w:t>300</w:t>
                  </w:r>
                </w:p>
              </w:tc>
            </w:tr>
            <w:tr w14:paraId="76E6CE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420" w:type="pct"/>
                  <w:vAlign w:val="center"/>
                </w:tcPr>
                <w:p w14:paraId="1EF5ADF7">
                  <w:pPr>
                    <w:pStyle w:val="94"/>
                    <w:rPr>
                      <w:color w:val="auto"/>
                    </w:rPr>
                  </w:pPr>
                  <w:r>
                    <w:rPr>
                      <w:color w:val="auto"/>
                    </w:rPr>
                    <w:t>噪声预测值（dB（A)）</w:t>
                  </w:r>
                </w:p>
              </w:tc>
              <w:tc>
                <w:tcPr>
                  <w:tcW w:w="399" w:type="pct"/>
                  <w:vAlign w:val="center"/>
                </w:tcPr>
                <w:p w14:paraId="521F9A3F">
                  <w:pPr>
                    <w:pStyle w:val="94"/>
                    <w:rPr>
                      <w:color w:val="auto"/>
                    </w:rPr>
                  </w:pPr>
                  <w:r>
                    <w:rPr>
                      <w:color w:val="auto"/>
                    </w:rPr>
                    <w:t xml:space="preserve">64 </w:t>
                  </w:r>
                </w:p>
              </w:tc>
              <w:tc>
                <w:tcPr>
                  <w:tcW w:w="399" w:type="pct"/>
                  <w:vAlign w:val="center"/>
                </w:tcPr>
                <w:p w14:paraId="216D4199">
                  <w:pPr>
                    <w:pStyle w:val="94"/>
                    <w:rPr>
                      <w:color w:val="auto"/>
                    </w:rPr>
                  </w:pPr>
                  <w:r>
                    <w:rPr>
                      <w:color w:val="auto"/>
                    </w:rPr>
                    <w:t xml:space="preserve">61 </w:t>
                  </w:r>
                </w:p>
              </w:tc>
              <w:tc>
                <w:tcPr>
                  <w:tcW w:w="398" w:type="pct"/>
                  <w:vAlign w:val="center"/>
                </w:tcPr>
                <w:p w14:paraId="777A54D5">
                  <w:pPr>
                    <w:pStyle w:val="94"/>
                    <w:rPr>
                      <w:color w:val="auto"/>
                    </w:rPr>
                  </w:pPr>
                  <w:r>
                    <w:rPr>
                      <w:color w:val="auto"/>
                    </w:rPr>
                    <w:t xml:space="preserve">58 </w:t>
                  </w:r>
                </w:p>
              </w:tc>
              <w:tc>
                <w:tcPr>
                  <w:tcW w:w="399" w:type="pct"/>
                  <w:vAlign w:val="center"/>
                </w:tcPr>
                <w:p w14:paraId="2B156FCF">
                  <w:pPr>
                    <w:pStyle w:val="94"/>
                    <w:rPr>
                      <w:color w:val="auto"/>
                    </w:rPr>
                  </w:pPr>
                  <w:r>
                    <w:rPr>
                      <w:color w:val="auto"/>
                    </w:rPr>
                    <w:t xml:space="preserve">56 </w:t>
                  </w:r>
                </w:p>
              </w:tc>
              <w:tc>
                <w:tcPr>
                  <w:tcW w:w="397" w:type="pct"/>
                  <w:vAlign w:val="center"/>
                </w:tcPr>
                <w:p w14:paraId="706F188F">
                  <w:pPr>
                    <w:pStyle w:val="94"/>
                    <w:rPr>
                      <w:color w:val="auto"/>
                    </w:rPr>
                  </w:pPr>
                  <w:r>
                    <w:rPr>
                      <w:color w:val="auto"/>
                    </w:rPr>
                    <w:t xml:space="preserve">55 </w:t>
                  </w:r>
                </w:p>
              </w:tc>
              <w:tc>
                <w:tcPr>
                  <w:tcW w:w="397" w:type="pct"/>
                  <w:vAlign w:val="center"/>
                </w:tcPr>
                <w:p w14:paraId="710E2746">
                  <w:pPr>
                    <w:pStyle w:val="94"/>
                    <w:rPr>
                      <w:color w:val="auto"/>
                    </w:rPr>
                  </w:pPr>
                  <w:r>
                    <w:rPr>
                      <w:color w:val="auto"/>
                    </w:rPr>
                    <w:t xml:space="preserve">54 </w:t>
                  </w:r>
                </w:p>
              </w:tc>
              <w:tc>
                <w:tcPr>
                  <w:tcW w:w="398" w:type="pct"/>
                  <w:vAlign w:val="center"/>
                </w:tcPr>
                <w:p w14:paraId="4705960D">
                  <w:pPr>
                    <w:pStyle w:val="94"/>
                    <w:rPr>
                      <w:color w:val="auto"/>
                    </w:rPr>
                  </w:pPr>
                  <w:r>
                    <w:rPr>
                      <w:color w:val="auto"/>
                    </w:rPr>
                    <w:t xml:space="preserve">52 </w:t>
                  </w:r>
                </w:p>
              </w:tc>
              <w:tc>
                <w:tcPr>
                  <w:tcW w:w="397" w:type="pct"/>
                  <w:vAlign w:val="center"/>
                </w:tcPr>
                <w:p w14:paraId="3C5A40AC">
                  <w:pPr>
                    <w:pStyle w:val="94"/>
                    <w:rPr>
                      <w:color w:val="auto"/>
                    </w:rPr>
                  </w:pPr>
                  <w:r>
                    <w:rPr>
                      <w:color w:val="auto"/>
                    </w:rPr>
                    <w:t xml:space="preserve">50 </w:t>
                  </w:r>
                </w:p>
              </w:tc>
              <w:tc>
                <w:tcPr>
                  <w:tcW w:w="397" w:type="pct"/>
                  <w:vAlign w:val="center"/>
                </w:tcPr>
                <w:p w14:paraId="6D6FD90E">
                  <w:pPr>
                    <w:pStyle w:val="94"/>
                    <w:rPr>
                      <w:color w:val="auto"/>
                    </w:rPr>
                  </w:pPr>
                  <w:r>
                    <w:rPr>
                      <w:color w:val="auto"/>
                    </w:rPr>
                    <w:t xml:space="preserve">48 </w:t>
                  </w:r>
                </w:p>
              </w:tc>
            </w:tr>
          </w:tbl>
          <w:p w14:paraId="0F87D5BA">
            <w:pPr>
              <w:pStyle w:val="96"/>
              <w:ind w:firstLine="480"/>
            </w:pPr>
            <w:r>
              <w:rPr>
                <w:rFonts w:hint="eastAsia"/>
              </w:rPr>
              <w:t>按《建筑施工场界环境噪声排放标准》（</w:t>
            </w:r>
            <w:r>
              <w:t>GB12523-2011）的规定，昼间噪声限值为70dB，夜间限值为55dB。根据上表的噪声预测结果表明：昼间施工机械噪声在距施工场地场界处可达到标准限值；夜间在距声源140m左右可达到标准限值。</w:t>
            </w:r>
          </w:p>
          <w:p w14:paraId="691EF17F">
            <w:pPr>
              <w:pStyle w:val="96"/>
              <w:ind w:firstLine="480"/>
            </w:pPr>
            <w:r>
              <w:rPr>
                <w:rFonts w:hint="eastAsia"/>
              </w:rPr>
              <w:t>本项目井场距最近村庄（白家畔村）距离为</w:t>
            </w:r>
            <w:r>
              <w:t>137m，</w:t>
            </w:r>
            <w:r>
              <w:rPr>
                <w:rFonts w:hint="eastAsia"/>
              </w:rPr>
              <w:t>夜间施工会村庄居民会产生一定影响，因此评价要求</w:t>
            </w:r>
            <w:r>
              <w:t>LXDG-15</w:t>
            </w:r>
            <w:r>
              <w:rPr>
                <w:rFonts w:hint="eastAsia"/>
              </w:rPr>
              <w:t>井场夜间不得施工</w:t>
            </w:r>
            <w:r>
              <w:t>。</w:t>
            </w:r>
          </w:p>
          <w:p w14:paraId="6323866D">
            <w:pPr>
              <w:pStyle w:val="96"/>
              <w:ind w:firstLine="482"/>
            </w:pPr>
            <w:r>
              <w:rPr>
                <w:b/>
              </w:rPr>
              <w:t>5</w:t>
            </w:r>
            <w:r>
              <w:rPr>
                <w:rFonts w:hint="eastAsia"/>
                <w:b/>
              </w:rPr>
              <w:t>、固体废物</w:t>
            </w:r>
            <w:r>
              <w:rPr>
                <w:b/>
              </w:rPr>
              <w:t>影响分析</w:t>
            </w:r>
          </w:p>
          <w:p w14:paraId="64E8F603">
            <w:pPr>
              <w:pStyle w:val="96"/>
              <w:ind w:firstLine="480"/>
            </w:pPr>
            <w:r>
              <w:rPr>
                <w:rFonts w:hint="eastAsia"/>
              </w:rPr>
              <w:t>本项目固体废物主要有钻前工程期间产生的土石方，钻井工程期间产生的废弃泥浆和岩屑，废矿物油、废油桶及生活垃圾。</w:t>
            </w:r>
          </w:p>
          <w:p w14:paraId="5832B8F0">
            <w:pPr>
              <w:pStyle w:val="96"/>
              <w:ind w:firstLine="480"/>
            </w:pPr>
            <w:r>
              <w:rPr>
                <w:rFonts w:hint="eastAsia"/>
              </w:rPr>
              <w:t>（1）泥浆池及清水池开挖土方</w:t>
            </w:r>
          </w:p>
          <w:p w14:paraId="2CEDC5F3">
            <w:pPr>
              <w:pStyle w:val="96"/>
              <w:ind w:firstLine="480"/>
            </w:pPr>
            <w:r>
              <w:rPr>
                <w:rFonts w:hint="eastAsia"/>
              </w:rPr>
              <w:t>本项目钻前施工开挖泥浆坑、清水池将产生土石方，根据泥浆池（40m×5m×3m）及清水池（10m×5.5m×5.5m）容积核算产生土石方量约900m</w:t>
            </w:r>
            <w:r>
              <w:rPr>
                <w:rFonts w:hint="eastAsia"/>
                <w:vertAlign w:val="superscript"/>
              </w:rPr>
              <w:t>3</w:t>
            </w:r>
            <w:r>
              <w:rPr>
                <w:rFonts w:hint="eastAsia"/>
              </w:rPr>
              <w:t>，将表层土单独保留，其余用于泥浆池周围构筑土坝建设，剩余土石方堆存于表土堆场，并进行苫盖。待完井后可用于泥浆池土方回填和井场生态恢复，对周围环境影响较小。</w:t>
            </w:r>
          </w:p>
          <w:p w14:paraId="4137670E">
            <w:pPr>
              <w:pStyle w:val="96"/>
              <w:ind w:firstLine="480"/>
            </w:pPr>
            <w:r>
              <w:rPr>
                <w:rFonts w:hint="eastAsia"/>
              </w:rPr>
              <w:t>综合分析以上土石方量，本项目挖填平衡，不设取土场、弃渣场，本项目各井场土石方平衡表见下表。</w:t>
            </w:r>
          </w:p>
          <w:p w14:paraId="0ACCCCD2">
            <w:pPr>
              <w:pStyle w:val="19"/>
              <w:keepNext/>
            </w:pPr>
            <w:bookmarkStart w:id="47" w:name="_Ref169210290"/>
            <w:bookmarkStart w:id="48" w:name="_Ref169210273"/>
            <w:r>
              <w:t xml:space="preserve">表 </w:t>
            </w:r>
            <w:r>
              <w:fldChar w:fldCharType="begin"/>
            </w:r>
            <w:r>
              <w:instrText xml:space="preserve"> SEQ 表 \* ARABIC </w:instrText>
            </w:r>
            <w:r>
              <w:fldChar w:fldCharType="separate"/>
            </w:r>
            <w:r>
              <w:t>31</w:t>
            </w:r>
            <w:r>
              <w:fldChar w:fldCharType="end"/>
            </w:r>
            <w:bookmarkEnd w:id="47"/>
            <w:r>
              <w:rPr>
                <w:rFonts w:hint="eastAsia"/>
              </w:rPr>
              <w:t>本项目土石方平衡表</w:t>
            </w:r>
            <w:bookmarkEnd w:id="48"/>
          </w:p>
          <w:tbl>
            <w:tblPr>
              <w:tblStyle w:val="73"/>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66"/>
              <w:gridCol w:w="966"/>
              <w:gridCol w:w="966"/>
              <w:gridCol w:w="966"/>
              <w:gridCol w:w="869"/>
              <w:gridCol w:w="966"/>
              <w:gridCol w:w="966"/>
              <w:gridCol w:w="869"/>
              <w:gridCol w:w="578"/>
              <w:gridCol w:w="578"/>
            </w:tblGrid>
            <w:tr w14:paraId="752E36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966" w:type="dxa"/>
                  <w:vMerge w:val="restart"/>
                  <w:noWrap/>
                  <w:vAlign w:val="center"/>
                </w:tcPr>
                <w:p w14:paraId="24D550A6">
                  <w:pPr>
                    <w:pStyle w:val="94"/>
                    <w:rPr>
                      <w:sz w:val="18"/>
                      <w:szCs w:val="18"/>
                    </w:rPr>
                  </w:pPr>
                  <w:r>
                    <w:rPr>
                      <w:rFonts w:hint="eastAsia"/>
                      <w:sz w:val="18"/>
                      <w:szCs w:val="18"/>
                    </w:rPr>
                    <w:t>井场名称</w:t>
                  </w:r>
                </w:p>
              </w:tc>
              <w:tc>
                <w:tcPr>
                  <w:tcW w:w="966" w:type="dxa"/>
                  <w:vMerge w:val="restart"/>
                  <w:vAlign w:val="center"/>
                </w:tcPr>
                <w:p w14:paraId="2683C81F">
                  <w:pPr>
                    <w:pStyle w:val="94"/>
                    <w:rPr>
                      <w:sz w:val="18"/>
                      <w:szCs w:val="18"/>
                    </w:rPr>
                  </w:pPr>
                  <w:r>
                    <w:rPr>
                      <w:rFonts w:hint="eastAsia"/>
                      <w:sz w:val="18"/>
                      <w:szCs w:val="18"/>
                    </w:rPr>
                    <w:t>挖填方总量</w:t>
                  </w:r>
                </w:p>
              </w:tc>
              <w:tc>
                <w:tcPr>
                  <w:tcW w:w="2801" w:type="dxa"/>
                  <w:gridSpan w:val="3"/>
                  <w:noWrap/>
                  <w:vAlign w:val="center"/>
                </w:tcPr>
                <w:p w14:paraId="28A1229B">
                  <w:pPr>
                    <w:pStyle w:val="94"/>
                    <w:rPr>
                      <w:sz w:val="18"/>
                      <w:szCs w:val="18"/>
                    </w:rPr>
                  </w:pPr>
                  <w:r>
                    <w:rPr>
                      <w:rFonts w:hint="eastAsia"/>
                      <w:sz w:val="18"/>
                      <w:szCs w:val="18"/>
                    </w:rPr>
                    <w:t>挖方</w:t>
                  </w:r>
                </w:p>
              </w:tc>
              <w:tc>
                <w:tcPr>
                  <w:tcW w:w="2801" w:type="dxa"/>
                  <w:gridSpan w:val="3"/>
                  <w:noWrap/>
                  <w:vAlign w:val="center"/>
                </w:tcPr>
                <w:p w14:paraId="48B969E0">
                  <w:pPr>
                    <w:pStyle w:val="94"/>
                    <w:rPr>
                      <w:sz w:val="18"/>
                      <w:szCs w:val="18"/>
                    </w:rPr>
                  </w:pPr>
                  <w:r>
                    <w:rPr>
                      <w:rFonts w:hint="eastAsia"/>
                      <w:sz w:val="18"/>
                      <w:szCs w:val="18"/>
                    </w:rPr>
                    <w:t>填方</w:t>
                  </w:r>
                </w:p>
              </w:tc>
              <w:tc>
                <w:tcPr>
                  <w:tcW w:w="578" w:type="dxa"/>
                  <w:vMerge w:val="restart"/>
                  <w:noWrap/>
                  <w:vAlign w:val="center"/>
                </w:tcPr>
                <w:p w14:paraId="0C1FA0DA">
                  <w:pPr>
                    <w:pStyle w:val="94"/>
                    <w:rPr>
                      <w:sz w:val="18"/>
                      <w:szCs w:val="18"/>
                    </w:rPr>
                  </w:pPr>
                  <w:r>
                    <w:rPr>
                      <w:rFonts w:hint="eastAsia"/>
                      <w:sz w:val="18"/>
                      <w:szCs w:val="18"/>
                    </w:rPr>
                    <w:t>调入</w:t>
                  </w:r>
                </w:p>
              </w:tc>
              <w:tc>
                <w:tcPr>
                  <w:tcW w:w="578" w:type="dxa"/>
                  <w:vMerge w:val="restart"/>
                  <w:noWrap/>
                  <w:vAlign w:val="center"/>
                </w:tcPr>
                <w:p w14:paraId="346A82F1">
                  <w:pPr>
                    <w:pStyle w:val="94"/>
                    <w:rPr>
                      <w:sz w:val="18"/>
                      <w:szCs w:val="18"/>
                    </w:rPr>
                  </w:pPr>
                  <w:r>
                    <w:rPr>
                      <w:rFonts w:hint="eastAsia"/>
                      <w:sz w:val="18"/>
                      <w:szCs w:val="18"/>
                    </w:rPr>
                    <w:t>调出</w:t>
                  </w:r>
                </w:p>
              </w:tc>
            </w:tr>
            <w:tr w14:paraId="0F4C9A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966" w:type="dxa"/>
                  <w:vMerge w:val="continue"/>
                  <w:vAlign w:val="center"/>
                </w:tcPr>
                <w:p w14:paraId="08F891B1">
                  <w:pPr>
                    <w:pStyle w:val="94"/>
                    <w:rPr>
                      <w:sz w:val="18"/>
                      <w:szCs w:val="18"/>
                    </w:rPr>
                  </w:pPr>
                </w:p>
              </w:tc>
              <w:tc>
                <w:tcPr>
                  <w:tcW w:w="966" w:type="dxa"/>
                  <w:vMerge w:val="continue"/>
                  <w:vAlign w:val="center"/>
                </w:tcPr>
                <w:p w14:paraId="42F9F0AB">
                  <w:pPr>
                    <w:pStyle w:val="94"/>
                    <w:rPr>
                      <w:sz w:val="18"/>
                      <w:szCs w:val="18"/>
                    </w:rPr>
                  </w:pPr>
                </w:p>
              </w:tc>
              <w:tc>
                <w:tcPr>
                  <w:tcW w:w="966" w:type="dxa"/>
                  <w:noWrap/>
                  <w:vAlign w:val="center"/>
                </w:tcPr>
                <w:p w14:paraId="0992A0E6">
                  <w:pPr>
                    <w:pStyle w:val="94"/>
                    <w:rPr>
                      <w:sz w:val="18"/>
                      <w:szCs w:val="18"/>
                    </w:rPr>
                  </w:pPr>
                  <w:r>
                    <w:rPr>
                      <w:rFonts w:hint="eastAsia"/>
                      <w:sz w:val="18"/>
                      <w:szCs w:val="18"/>
                    </w:rPr>
                    <w:t>合计</w:t>
                  </w:r>
                </w:p>
              </w:tc>
              <w:tc>
                <w:tcPr>
                  <w:tcW w:w="966" w:type="dxa"/>
                  <w:noWrap/>
                  <w:vAlign w:val="center"/>
                </w:tcPr>
                <w:p w14:paraId="593343B0">
                  <w:pPr>
                    <w:pStyle w:val="94"/>
                    <w:rPr>
                      <w:sz w:val="18"/>
                      <w:szCs w:val="18"/>
                    </w:rPr>
                  </w:pPr>
                  <w:r>
                    <w:rPr>
                      <w:rFonts w:hint="eastAsia"/>
                      <w:sz w:val="18"/>
                      <w:szCs w:val="18"/>
                    </w:rPr>
                    <w:t>土方</w:t>
                  </w:r>
                </w:p>
              </w:tc>
              <w:tc>
                <w:tcPr>
                  <w:tcW w:w="869" w:type="dxa"/>
                  <w:noWrap/>
                  <w:vAlign w:val="center"/>
                </w:tcPr>
                <w:p w14:paraId="1EB89041">
                  <w:pPr>
                    <w:pStyle w:val="94"/>
                    <w:rPr>
                      <w:sz w:val="18"/>
                      <w:szCs w:val="18"/>
                    </w:rPr>
                  </w:pPr>
                  <w:r>
                    <w:rPr>
                      <w:rFonts w:hint="eastAsia"/>
                      <w:sz w:val="18"/>
                      <w:szCs w:val="18"/>
                    </w:rPr>
                    <w:t>表土</w:t>
                  </w:r>
                </w:p>
              </w:tc>
              <w:tc>
                <w:tcPr>
                  <w:tcW w:w="966" w:type="dxa"/>
                  <w:noWrap/>
                  <w:vAlign w:val="center"/>
                </w:tcPr>
                <w:p w14:paraId="2982D4DF">
                  <w:pPr>
                    <w:pStyle w:val="94"/>
                    <w:rPr>
                      <w:sz w:val="18"/>
                      <w:szCs w:val="18"/>
                    </w:rPr>
                  </w:pPr>
                  <w:r>
                    <w:rPr>
                      <w:rFonts w:hint="eastAsia"/>
                      <w:sz w:val="18"/>
                      <w:szCs w:val="18"/>
                    </w:rPr>
                    <w:t>合计</w:t>
                  </w:r>
                </w:p>
              </w:tc>
              <w:tc>
                <w:tcPr>
                  <w:tcW w:w="966" w:type="dxa"/>
                  <w:noWrap/>
                  <w:vAlign w:val="center"/>
                </w:tcPr>
                <w:p w14:paraId="1B2D3EE3">
                  <w:pPr>
                    <w:pStyle w:val="94"/>
                    <w:rPr>
                      <w:sz w:val="18"/>
                      <w:szCs w:val="18"/>
                    </w:rPr>
                  </w:pPr>
                  <w:r>
                    <w:rPr>
                      <w:rFonts w:hint="eastAsia"/>
                      <w:sz w:val="18"/>
                      <w:szCs w:val="18"/>
                    </w:rPr>
                    <w:t>土方</w:t>
                  </w:r>
                </w:p>
              </w:tc>
              <w:tc>
                <w:tcPr>
                  <w:tcW w:w="869" w:type="dxa"/>
                  <w:noWrap/>
                  <w:vAlign w:val="center"/>
                </w:tcPr>
                <w:p w14:paraId="31D25612">
                  <w:pPr>
                    <w:pStyle w:val="94"/>
                    <w:rPr>
                      <w:sz w:val="18"/>
                      <w:szCs w:val="18"/>
                    </w:rPr>
                  </w:pPr>
                  <w:r>
                    <w:rPr>
                      <w:rFonts w:hint="eastAsia"/>
                      <w:sz w:val="18"/>
                      <w:szCs w:val="18"/>
                    </w:rPr>
                    <w:t>表土</w:t>
                  </w:r>
                </w:p>
              </w:tc>
              <w:tc>
                <w:tcPr>
                  <w:tcW w:w="578" w:type="dxa"/>
                  <w:vMerge w:val="continue"/>
                  <w:vAlign w:val="center"/>
                </w:tcPr>
                <w:p w14:paraId="6D3CAE94">
                  <w:pPr>
                    <w:pStyle w:val="94"/>
                    <w:rPr>
                      <w:sz w:val="18"/>
                      <w:szCs w:val="18"/>
                    </w:rPr>
                  </w:pPr>
                </w:p>
              </w:tc>
              <w:tc>
                <w:tcPr>
                  <w:tcW w:w="578" w:type="dxa"/>
                  <w:vMerge w:val="continue"/>
                  <w:vAlign w:val="center"/>
                </w:tcPr>
                <w:p w14:paraId="4C024CE4">
                  <w:pPr>
                    <w:pStyle w:val="94"/>
                    <w:rPr>
                      <w:sz w:val="18"/>
                      <w:szCs w:val="18"/>
                    </w:rPr>
                  </w:pPr>
                </w:p>
              </w:tc>
            </w:tr>
            <w:tr w14:paraId="6F18A3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966" w:type="dxa"/>
                  <w:noWrap/>
                  <w:vAlign w:val="center"/>
                </w:tcPr>
                <w:p w14:paraId="08D69C25">
                  <w:pPr>
                    <w:pStyle w:val="94"/>
                    <w:rPr>
                      <w:sz w:val="18"/>
                      <w:szCs w:val="18"/>
                    </w:rPr>
                  </w:pPr>
                  <w:r>
                    <w:rPr>
                      <w:rFonts w:hint="eastAsia"/>
                      <w:sz w:val="18"/>
                      <w:szCs w:val="18"/>
                    </w:rPr>
                    <w:t>LXD12-8</w:t>
                  </w:r>
                </w:p>
              </w:tc>
              <w:tc>
                <w:tcPr>
                  <w:tcW w:w="966" w:type="dxa"/>
                  <w:noWrap/>
                  <w:vAlign w:val="center"/>
                </w:tcPr>
                <w:p w14:paraId="2C30DAE2">
                  <w:pPr>
                    <w:pStyle w:val="94"/>
                    <w:rPr>
                      <w:sz w:val="18"/>
                      <w:szCs w:val="18"/>
                    </w:rPr>
                  </w:pPr>
                  <w:r>
                    <w:rPr>
                      <w:rFonts w:hint="eastAsia"/>
                      <w:sz w:val="18"/>
                      <w:szCs w:val="18"/>
                    </w:rPr>
                    <w:t>45099.46</w:t>
                  </w:r>
                </w:p>
              </w:tc>
              <w:tc>
                <w:tcPr>
                  <w:tcW w:w="966" w:type="dxa"/>
                  <w:noWrap/>
                  <w:vAlign w:val="center"/>
                </w:tcPr>
                <w:p w14:paraId="6949E6B7">
                  <w:pPr>
                    <w:pStyle w:val="94"/>
                    <w:rPr>
                      <w:sz w:val="18"/>
                      <w:szCs w:val="18"/>
                    </w:rPr>
                  </w:pPr>
                  <w:r>
                    <w:rPr>
                      <w:rFonts w:hint="eastAsia"/>
                      <w:sz w:val="18"/>
                      <w:szCs w:val="18"/>
                    </w:rPr>
                    <w:t>22549.73</w:t>
                  </w:r>
                </w:p>
              </w:tc>
              <w:tc>
                <w:tcPr>
                  <w:tcW w:w="966" w:type="dxa"/>
                  <w:noWrap/>
                  <w:vAlign w:val="center"/>
                </w:tcPr>
                <w:p w14:paraId="5324F9C8">
                  <w:pPr>
                    <w:pStyle w:val="94"/>
                    <w:rPr>
                      <w:sz w:val="18"/>
                      <w:szCs w:val="18"/>
                    </w:rPr>
                  </w:pPr>
                  <w:r>
                    <w:rPr>
                      <w:rFonts w:hint="eastAsia"/>
                      <w:sz w:val="18"/>
                      <w:szCs w:val="18"/>
                    </w:rPr>
                    <w:t>20759.53</w:t>
                  </w:r>
                </w:p>
              </w:tc>
              <w:tc>
                <w:tcPr>
                  <w:tcW w:w="869" w:type="dxa"/>
                  <w:noWrap/>
                  <w:vAlign w:val="center"/>
                </w:tcPr>
                <w:p w14:paraId="4C8F5ECC">
                  <w:pPr>
                    <w:pStyle w:val="94"/>
                    <w:rPr>
                      <w:sz w:val="18"/>
                      <w:szCs w:val="18"/>
                    </w:rPr>
                  </w:pPr>
                  <w:r>
                    <w:rPr>
                      <w:rFonts w:hint="eastAsia"/>
                      <w:sz w:val="18"/>
                      <w:szCs w:val="18"/>
                    </w:rPr>
                    <w:t>1790.2</w:t>
                  </w:r>
                </w:p>
              </w:tc>
              <w:tc>
                <w:tcPr>
                  <w:tcW w:w="966" w:type="dxa"/>
                  <w:noWrap/>
                  <w:vAlign w:val="center"/>
                </w:tcPr>
                <w:p w14:paraId="33349C97">
                  <w:pPr>
                    <w:pStyle w:val="94"/>
                    <w:rPr>
                      <w:sz w:val="18"/>
                      <w:szCs w:val="18"/>
                    </w:rPr>
                  </w:pPr>
                  <w:r>
                    <w:rPr>
                      <w:rFonts w:hint="eastAsia"/>
                      <w:sz w:val="18"/>
                      <w:szCs w:val="18"/>
                    </w:rPr>
                    <w:t>22549.73</w:t>
                  </w:r>
                </w:p>
              </w:tc>
              <w:tc>
                <w:tcPr>
                  <w:tcW w:w="966" w:type="dxa"/>
                  <w:noWrap/>
                  <w:vAlign w:val="center"/>
                </w:tcPr>
                <w:p w14:paraId="04681697">
                  <w:pPr>
                    <w:pStyle w:val="94"/>
                    <w:rPr>
                      <w:sz w:val="18"/>
                      <w:szCs w:val="18"/>
                    </w:rPr>
                  </w:pPr>
                  <w:r>
                    <w:rPr>
                      <w:rFonts w:hint="eastAsia"/>
                      <w:sz w:val="18"/>
                      <w:szCs w:val="18"/>
                    </w:rPr>
                    <w:t>20759.53</w:t>
                  </w:r>
                </w:p>
              </w:tc>
              <w:tc>
                <w:tcPr>
                  <w:tcW w:w="869" w:type="dxa"/>
                  <w:noWrap/>
                  <w:vAlign w:val="center"/>
                </w:tcPr>
                <w:p w14:paraId="28374825">
                  <w:pPr>
                    <w:pStyle w:val="94"/>
                    <w:rPr>
                      <w:sz w:val="18"/>
                      <w:szCs w:val="18"/>
                    </w:rPr>
                  </w:pPr>
                  <w:r>
                    <w:rPr>
                      <w:rFonts w:hint="eastAsia"/>
                      <w:sz w:val="18"/>
                      <w:szCs w:val="18"/>
                    </w:rPr>
                    <w:t>1790.2</w:t>
                  </w:r>
                </w:p>
              </w:tc>
              <w:tc>
                <w:tcPr>
                  <w:tcW w:w="578" w:type="dxa"/>
                  <w:noWrap/>
                  <w:vAlign w:val="center"/>
                </w:tcPr>
                <w:p w14:paraId="6BD76A23">
                  <w:pPr>
                    <w:pStyle w:val="94"/>
                    <w:rPr>
                      <w:sz w:val="18"/>
                      <w:szCs w:val="18"/>
                    </w:rPr>
                  </w:pPr>
                  <w:r>
                    <w:rPr>
                      <w:rFonts w:hint="eastAsia"/>
                      <w:sz w:val="18"/>
                      <w:szCs w:val="18"/>
                    </w:rPr>
                    <w:t>0</w:t>
                  </w:r>
                </w:p>
              </w:tc>
              <w:tc>
                <w:tcPr>
                  <w:tcW w:w="578" w:type="dxa"/>
                  <w:noWrap/>
                  <w:vAlign w:val="center"/>
                </w:tcPr>
                <w:p w14:paraId="420FB17B">
                  <w:pPr>
                    <w:pStyle w:val="94"/>
                    <w:rPr>
                      <w:sz w:val="18"/>
                      <w:szCs w:val="18"/>
                    </w:rPr>
                  </w:pPr>
                  <w:r>
                    <w:rPr>
                      <w:rFonts w:hint="eastAsia"/>
                      <w:sz w:val="18"/>
                      <w:szCs w:val="18"/>
                    </w:rPr>
                    <w:t>0</w:t>
                  </w:r>
                </w:p>
              </w:tc>
            </w:tr>
            <w:tr w14:paraId="0DAD45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966" w:type="dxa"/>
                  <w:noWrap/>
                  <w:vAlign w:val="center"/>
                </w:tcPr>
                <w:p w14:paraId="1F4F2EC8">
                  <w:pPr>
                    <w:pStyle w:val="94"/>
                    <w:rPr>
                      <w:sz w:val="18"/>
                      <w:szCs w:val="18"/>
                    </w:rPr>
                  </w:pPr>
                  <w:r>
                    <w:rPr>
                      <w:rFonts w:hint="eastAsia"/>
                      <w:sz w:val="18"/>
                      <w:szCs w:val="18"/>
                    </w:rPr>
                    <w:t>LXDG-15</w:t>
                  </w:r>
                </w:p>
              </w:tc>
              <w:tc>
                <w:tcPr>
                  <w:tcW w:w="966" w:type="dxa"/>
                  <w:noWrap/>
                  <w:vAlign w:val="center"/>
                </w:tcPr>
                <w:p w14:paraId="3BC27850">
                  <w:pPr>
                    <w:pStyle w:val="94"/>
                    <w:rPr>
                      <w:sz w:val="18"/>
                      <w:szCs w:val="18"/>
                    </w:rPr>
                  </w:pPr>
                  <w:r>
                    <w:rPr>
                      <w:rFonts w:hint="eastAsia"/>
                      <w:sz w:val="18"/>
                      <w:szCs w:val="18"/>
                    </w:rPr>
                    <w:t>44097.96</w:t>
                  </w:r>
                </w:p>
              </w:tc>
              <w:tc>
                <w:tcPr>
                  <w:tcW w:w="966" w:type="dxa"/>
                  <w:noWrap/>
                  <w:vAlign w:val="center"/>
                </w:tcPr>
                <w:p w14:paraId="2E8E5DBF">
                  <w:pPr>
                    <w:pStyle w:val="94"/>
                    <w:rPr>
                      <w:sz w:val="18"/>
                      <w:szCs w:val="18"/>
                    </w:rPr>
                  </w:pPr>
                  <w:r>
                    <w:rPr>
                      <w:rFonts w:hint="eastAsia"/>
                      <w:sz w:val="18"/>
                      <w:szCs w:val="18"/>
                    </w:rPr>
                    <w:t>22048.98</w:t>
                  </w:r>
                </w:p>
              </w:tc>
              <w:tc>
                <w:tcPr>
                  <w:tcW w:w="966" w:type="dxa"/>
                  <w:noWrap/>
                  <w:vAlign w:val="center"/>
                </w:tcPr>
                <w:p w14:paraId="26AF2335">
                  <w:pPr>
                    <w:pStyle w:val="94"/>
                    <w:rPr>
                      <w:sz w:val="18"/>
                      <w:szCs w:val="18"/>
                    </w:rPr>
                  </w:pPr>
                  <w:r>
                    <w:rPr>
                      <w:rFonts w:hint="eastAsia"/>
                      <w:sz w:val="18"/>
                      <w:szCs w:val="18"/>
                    </w:rPr>
                    <w:t>20669.19</w:t>
                  </w:r>
                </w:p>
              </w:tc>
              <w:tc>
                <w:tcPr>
                  <w:tcW w:w="869" w:type="dxa"/>
                  <w:noWrap/>
                  <w:vAlign w:val="center"/>
                </w:tcPr>
                <w:p w14:paraId="27E67249">
                  <w:pPr>
                    <w:pStyle w:val="94"/>
                    <w:rPr>
                      <w:sz w:val="18"/>
                      <w:szCs w:val="18"/>
                    </w:rPr>
                  </w:pPr>
                  <w:r>
                    <w:rPr>
                      <w:rFonts w:hint="eastAsia"/>
                      <w:sz w:val="18"/>
                      <w:szCs w:val="18"/>
                    </w:rPr>
                    <w:t>1379.79</w:t>
                  </w:r>
                </w:p>
              </w:tc>
              <w:tc>
                <w:tcPr>
                  <w:tcW w:w="966" w:type="dxa"/>
                  <w:noWrap/>
                  <w:vAlign w:val="center"/>
                </w:tcPr>
                <w:p w14:paraId="4EBB1FAE">
                  <w:pPr>
                    <w:pStyle w:val="94"/>
                    <w:rPr>
                      <w:sz w:val="18"/>
                      <w:szCs w:val="18"/>
                    </w:rPr>
                  </w:pPr>
                  <w:r>
                    <w:rPr>
                      <w:rFonts w:hint="eastAsia"/>
                      <w:sz w:val="18"/>
                      <w:szCs w:val="18"/>
                    </w:rPr>
                    <w:t>22048.98</w:t>
                  </w:r>
                </w:p>
              </w:tc>
              <w:tc>
                <w:tcPr>
                  <w:tcW w:w="966" w:type="dxa"/>
                  <w:noWrap/>
                  <w:vAlign w:val="center"/>
                </w:tcPr>
                <w:p w14:paraId="7BBB22C9">
                  <w:pPr>
                    <w:pStyle w:val="94"/>
                    <w:rPr>
                      <w:sz w:val="18"/>
                      <w:szCs w:val="18"/>
                    </w:rPr>
                  </w:pPr>
                  <w:r>
                    <w:rPr>
                      <w:rFonts w:hint="eastAsia"/>
                      <w:sz w:val="18"/>
                      <w:szCs w:val="18"/>
                    </w:rPr>
                    <w:t>20669.19</w:t>
                  </w:r>
                </w:p>
              </w:tc>
              <w:tc>
                <w:tcPr>
                  <w:tcW w:w="869" w:type="dxa"/>
                  <w:noWrap/>
                  <w:vAlign w:val="center"/>
                </w:tcPr>
                <w:p w14:paraId="55326B49">
                  <w:pPr>
                    <w:pStyle w:val="94"/>
                    <w:rPr>
                      <w:sz w:val="18"/>
                      <w:szCs w:val="18"/>
                    </w:rPr>
                  </w:pPr>
                  <w:r>
                    <w:rPr>
                      <w:rFonts w:hint="eastAsia"/>
                      <w:sz w:val="18"/>
                      <w:szCs w:val="18"/>
                    </w:rPr>
                    <w:t>1379.79</w:t>
                  </w:r>
                </w:p>
              </w:tc>
              <w:tc>
                <w:tcPr>
                  <w:tcW w:w="578" w:type="dxa"/>
                  <w:noWrap/>
                  <w:vAlign w:val="center"/>
                </w:tcPr>
                <w:p w14:paraId="0A4AA983">
                  <w:pPr>
                    <w:pStyle w:val="94"/>
                    <w:rPr>
                      <w:sz w:val="18"/>
                      <w:szCs w:val="18"/>
                    </w:rPr>
                  </w:pPr>
                  <w:r>
                    <w:rPr>
                      <w:rFonts w:hint="eastAsia"/>
                      <w:sz w:val="18"/>
                      <w:szCs w:val="18"/>
                    </w:rPr>
                    <w:t>0</w:t>
                  </w:r>
                </w:p>
              </w:tc>
              <w:tc>
                <w:tcPr>
                  <w:tcW w:w="578" w:type="dxa"/>
                  <w:noWrap/>
                  <w:vAlign w:val="center"/>
                </w:tcPr>
                <w:p w14:paraId="6D55BFD5">
                  <w:pPr>
                    <w:pStyle w:val="94"/>
                    <w:rPr>
                      <w:sz w:val="18"/>
                      <w:szCs w:val="18"/>
                    </w:rPr>
                  </w:pPr>
                  <w:r>
                    <w:rPr>
                      <w:rFonts w:hint="eastAsia"/>
                      <w:sz w:val="18"/>
                      <w:szCs w:val="18"/>
                    </w:rPr>
                    <w:t>0</w:t>
                  </w:r>
                </w:p>
              </w:tc>
            </w:tr>
            <w:tr w14:paraId="15DA6E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966" w:type="dxa"/>
                  <w:noWrap/>
                  <w:vAlign w:val="center"/>
                </w:tcPr>
                <w:p w14:paraId="4B5F0AE1">
                  <w:pPr>
                    <w:pStyle w:val="94"/>
                    <w:rPr>
                      <w:sz w:val="18"/>
                      <w:szCs w:val="18"/>
                    </w:rPr>
                  </w:pPr>
                  <w:r>
                    <w:rPr>
                      <w:rFonts w:hint="eastAsia"/>
                      <w:sz w:val="18"/>
                      <w:szCs w:val="18"/>
                    </w:rPr>
                    <w:t>LXDG-16</w:t>
                  </w:r>
                </w:p>
              </w:tc>
              <w:tc>
                <w:tcPr>
                  <w:tcW w:w="966" w:type="dxa"/>
                  <w:noWrap/>
                  <w:vAlign w:val="center"/>
                </w:tcPr>
                <w:p w14:paraId="1831256B">
                  <w:pPr>
                    <w:pStyle w:val="94"/>
                    <w:rPr>
                      <w:sz w:val="18"/>
                      <w:szCs w:val="18"/>
                    </w:rPr>
                  </w:pPr>
                  <w:r>
                    <w:rPr>
                      <w:rFonts w:hint="eastAsia"/>
                      <w:sz w:val="18"/>
                      <w:szCs w:val="18"/>
                    </w:rPr>
                    <w:t>67355.48</w:t>
                  </w:r>
                </w:p>
              </w:tc>
              <w:tc>
                <w:tcPr>
                  <w:tcW w:w="966" w:type="dxa"/>
                  <w:noWrap/>
                  <w:vAlign w:val="center"/>
                </w:tcPr>
                <w:p w14:paraId="30753EE2">
                  <w:pPr>
                    <w:pStyle w:val="94"/>
                    <w:rPr>
                      <w:sz w:val="18"/>
                      <w:szCs w:val="18"/>
                    </w:rPr>
                  </w:pPr>
                  <w:r>
                    <w:rPr>
                      <w:rFonts w:hint="eastAsia"/>
                      <w:sz w:val="18"/>
                      <w:szCs w:val="18"/>
                    </w:rPr>
                    <w:t>33677.74</w:t>
                  </w:r>
                </w:p>
              </w:tc>
              <w:tc>
                <w:tcPr>
                  <w:tcW w:w="966" w:type="dxa"/>
                  <w:noWrap/>
                  <w:vAlign w:val="center"/>
                </w:tcPr>
                <w:p w14:paraId="1CFA22BE">
                  <w:pPr>
                    <w:pStyle w:val="94"/>
                    <w:rPr>
                      <w:sz w:val="18"/>
                      <w:szCs w:val="18"/>
                    </w:rPr>
                  </w:pPr>
                  <w:r>
                    <w:rPr>
                      <w:rFonts w:hint="eastAsia"/>
                      <w:sz w:val="18"/>
                      <w:szCs w:val="18"/>
                    </w:rPr>
                    <w:t>31510.94</w:t>
                  </w:r>
                </w:p>
              </w:tc>
              <w:tc>
                <w:tcPr>
                  <w:tcW w:w="869" w:type="dxa"/>
                  <w:noWrap/>
                  <w:vAlign w:val="center"/>
                </w:tcPr>
                <w:p w14:paraId="4313A72B">
                  <w:pPr>
                    <w:pStyle w:val="94"/>
                    <w:rPr>
                      <w:sz w:val="18"/>
                      <w:szCs w:val="18"/>
                    </w:rPr>
                  </w:pPr>
                  <w:r>
                    <w:rPr>
                      <w:rFonts w:hint="eastAsia"/>
                      <w:sz w:val="18"/>
                      <w:szCs w:val="18"/>
                    </w:rPr>
                    <w:t>2166.8</w:t>
                  </w:r>
                </w:p>
              </w:tc>
              <w:tc>
                <w:tcPr>
                  <w:tcW w:w="966" w:type="dxa"/>
                  <w:noWrap/>
                  <w:vAlign w:val="center"/>
                </w:tcPr>
                <w:p w14:paraId="6400F5C9">
                  <w:pPr>
                    <w:pStyle w:val="94"/>
                    <w:rPr>
                      <w:sz w:val="18"/>
                      <w:szCs w:val="18"/>
                    </w:rPr>
                  </w:pPr>
                  <w:r>
                    <w:rPr>
                      <w:rFonts w:hint="eastAsia"/>
                      <w:sz w:val="18"/>
                      <w:szCs w:val="18"/>
                    </w:rPr>
                    <w:t>33677.74</w:t>
                  </w:r>
                </w:p>
              </w:tc>
              <w:tc>
                <w:tcPr>
                  <w:tcW w:w="966" w:type="dxa"/>
                  <w:noWrap/>
                  <w:vAlign w:val="center"/>
                </w:tcPr>
                <w:p w14:paraId="13E1FFB5">
                  <w:pPr>
                    <w:pStyle w:val="94"/>
                    <w:rPr>
                      <w:sz w:val="18"/>
                      <w:szCs w:val="18"/>
                    </w:rPr>
                  </w:pPr>
                  <w:r>
                    <w:rPr>
                      <w:rFonts w:hint="eastAsia"/>
                      <w:sz w:val="18"/>
                      <w:szCs w:val="18"/>
                    </w:rPr>
                    <w:t>31510.94</w:t>
                  </w:r>
                </w:p>
              </w:tc>
              <w:tc>
                <w:tcPr>
                  <w:tcW w:w="869" w:type="dxa"/>
                  <w:noWrap/>
                  <w:vAlign w:val="center"/>
                </w:tcPr>
                <w:p w14:paraId="601B7481">
                  <w:pPr>
                    <w:pStyle w:val="94"/>
                    <w:rPr>
                      <w:sz w:val="18"/>
                      <w:szCs w:val="18"/>
                    </w:rPr>
                  </w:pPr>
                  <w:r>
                    <w:rPr>
                      <w:rFonts w:hint="eastAsia"/>
                      <w:sz w:val="18"/>
                      <w:szCs w:val="18"/>
                    </w:rPr>
                    <w:t>2166.8</w:t>
                  </w:r>
                </w:p>
              </w:tc>
              <w:tc>
                <w:tcPr>
                  <w:tcW w:w="578" w:type="dxa"/>
                  <w:noWrap/>
                  <w:vAlign w:val="center"/>
                </w:tcPr>
                <w:p w14:paraId="18516A15">
                  <w:pPr>
                    <w:pStyle w:val="94"/>
                    <w:rPr>
                      <w:sz w:val="18"/>
                      <w:szCs w:val="18"/>
                    </w:rPr>
                  </w:pPr>
                  <w:r>
                    <w:rPr>
                      <w:rFonts w:hint="eastAsia"/>
                      <w:sz w:val="18"/>
                      <w:szCs w:val="18"/>
                    </w:rPr>
                    <w:t>0</w:t>
                  </w:r>
                </w:p>
              </w:tc>
              <w:tc>
                <w:tcPr>
                  <w:tcW w:w="578" w:type="dxa"/>
                  <w:noWrap/>
                  <w:vAlign w:val="center"/>
                </w:tcPr>
                <w:p w14:paraId="065F6CB7">
                  <w:pPr>
                    <w:pStyle w:val="94"/>
                    <w:rPr>
                      <w:sz w:val="18"/>
                      <w:szCs w:val="18"/>
                    </w:rPr>
                  </w:pPr>
                  <w:r>
                    <w:rPr>
                      <w:rFonts w:hint="eastAsia"/>
                      <w:sz w:val="18"/>
                      <w:szCs w:val="18"/>
                    </w:rPr>
                    <w:t>0</w:t>
                  </w:r>
                </w:p>
              </w:tc>
            </w:tr>
            <w:tr w14:paraId="274841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966" w:type="dxa"/>
                  <w:noWrap/>
                  <w:vAlign w:val="center"/>
                </w:tcPr>
                <w:p w14:paraId="77BE3860">
                  <w:pPr>
                    <w:pStyle w:val="94"/>
                    <w:rPr>
                      <w:sz w:val="18"/>
                      <w:szCs w:val="18"/>
                    </w:rPr>
                  </w:pPr>
                  <w:r>
                    <w:rPr>
                      <w:rFonts w:hint="eastAsia"/>
                      <w:sz w:val="18"/>
                      <w:szCs w:val="18"/>
                    </w:rPr>
                    <w:t>LXD12-26</w:t>
                  </w:r>
                </w:p>
              </w:tc>
              <w:tc>
                <w:tcPr>
                  <w:tcW w:w="966" w:type="dxa"/>
                  <w:noWrap/>
                  <w:vAlign w:val="center"/>
                </w:tcPr>
                <w:p w14:paraId="5785BAC7">
                  <w:pPr>
                    <w:pStyle w:val="94"/>
                    <w:rPr>
                      <w:sz w:val="18"/>
                      <w:szCs w:val="18"/>
                    </w:rPr>
                  </w:pPr>
                  <w:r>
                    <w:rPr>
                      <w:rFonts w:hint="eastAsia"/>
                      <w:sz w:val="18"/>
                      <w:szCs w:val="18"/>
                    </w:rPr>
                    <w:t>44256.34</w:t>
                  </w:r>
                </w:p>
              </w:tc>
              <w:tc>
                <w:tcPr>
                  <w:tcW w:w="966" w:type="dxa"/>
                  <w:noWrap/>
                  <w:vAlign w:val="center"/>
                </w:tcPr>
                <w:p w14:paraId="405B4088">
                  <w:pPr>
                    <w:pStyle w:val="94"/>
                    <w:rPr>
                      <w:sz w:val="18"/>
                      <w:szCs w:val="18"/>
                    </w:rPr>
                  </w:pPr>
                  <w:r>
                    <w:rPr>
                      <w:rFonts w:hint="eastAsia"/>
                      <w:sz w:val="18"/>
                      <w:szCs w:val="18"/>
                    </w:rPr>
                    <w:t>22128.17</w:t>
                  </w:r>
                </w:p>
              </w:tc>
              <w:tc>
                <w:tcPr>
                  <w:tcW w:w="966" w:type="dxa"/>
                  <w:noWrap/>
                  <w:vAlign w:val="center"/>
                </w:tcPr>
                <w:p w14:paraId="07C76BE4">
                  <w:pPr>
                    <w:pStyle w:val="94"/>
                    <w:rPr>
                      <w:sz w:val="18"/>
                      <w:szCs w:val="18"/>
                    </w:rPr>
                  </w:pPr>
                  <w:r>
                    <w:rPr>
                      <w:rFonts w:hint="eastAsia"/>
                      <w:sz w:val="18"/>
                      <w:szCs w:val="18"/>
                    </w:rPr>
                    <w:t>20849.35</w:t>
                  </w:r>
                </w:p>
              </w:tc>
              <w:tc>
                <w:tcPr>
                  <w:tcW w:w="869" w:type="dxa"/>
                  <w:noWrap/>
                  <w:vAlign w:val="center"/>
                </w:tcPr>
                <w:p w14:paraId="0882AC13">
                  <w:pPr>
                    <w:pStyle w:val="94"/>
                    <w:rPr>
                      <w:sz w:val="18"/>
                      <w:szCs w:val="18"/>
                    </w:rPr>
                  </w:pPr>
                  <w:r>
                    <w:rPr>
                      <w:rFonts w:hint="eastAsia"/>
                      <w:sz w:val="18"/>
                      <w:szCs w:val="18"/>
                    </w:rPr>
                    <w:t>1278.82</w:t>
                  </w:r>
                </w:p>
              </w:tc>
              <w:tc>
                <w:tcPr>
                  <w:tcW w:w="966" w:type="dxa"/>
                  <w:noWrap/>
                  <w:vAlign w:val="center"/>
                </w:tcPr>
                <w:p w14:paraId="181008C1">
                  <w:pPr>
                    <w:pStyle w:val="94"/>
                    <w:rPr>
                      <w:sz w:val="18"/>
                      <w:szCs w:val="18"/>
                    </w:rPr>
                  </w:pPr>
                  <w:r>
                    <w:rPr>
                      <w:rFonts w:hint="eastAsia"/>
                      <w:sz w:val="18"/>
                      <w:szCs w:val="18"/>
                    </w:rPr>
                    <w:t>22128.17</w:t>
                  </w:r>
                </w:p>
              </w:tc>
              <w:tc>
                <w:tcPr>
                  <w:tcW w:w="966" w:type="dxa"/>
                  <w:noWrap/>
                  <w:vAlign w:val="center"/>
                </w:tcPr>
                <w:p w14:paraId="3A2CA244">
                  <w:pPr>
                    <w:pStyle w:val="94"/>
                    <w:rPr>
                      <w:sz w:val="18"/>
                      <w:szCs w:val="18"/>
                    </w:rPr>
                  </w:pPr>
                  <w:r>
                    <w:rPr>
                      <w:rFonts w:hint="eastAsia"/>
                      <w:sz w:val="18"/>
                      <w:szCs w:val="18"/>
                    </w:rPr>
                    <w:t>20849.35</w:t>
                  </w:r>
                </w:p>
              </w:tc>
              <w:tc>
                <w:tcPr>
                  <w:tcW w:w="869" w:type="dxa"/>
                  <w:noWrap/>
                  <w:vAlign w:val="center"/>
                </w:tcPr>
                <w:p w14:paraId="5D59CF7C">
                  <w:pPr>
                    <w:pStyle w:val="94"/>
                    <w:rPr>
                      <w:sz w:val="18"/>
                      <w:szCs w:val="18"/>
                    </w:rPr>
                  </w:pPr>
                  <w:r>
                    <w:rPr>
                      <w:rFonts w:hint="eastAsia"/>
                      <w:sz w:val="18"/>
                      <w:szCs w:val="18"/>
                    </w:rPr>
                    <w:t>1278.82</w:t>
                  </w:r>
                </w:p>
              </w:tc>
              <w:tc>
                <w:tcPr>
                  <w:tcW w:w="578" w:type="dxa"/>
                  <w:noWrap/>
                  <w:vAlign w:val="center"/>
                </w:tcPr>
                <w:p w14:paraId="5979BE82">
                  <w:pPr>
                    <w:pStyle w:val="94"/>
                    <w:rPr>
                      <w:sz w:val="18"/>
                      <w:szCs w:val="18"/>
                    </w:rPr>
                  </w:pPr>
                  <w:r>
                    <w:rPr>
                      <w:rFonts w:hint="eastAsia"/>
                      <w:sz w:val="18"/>
                      <w:szCs w:val="18"/>
                    </w:rPr>
                    <w:t>0</w:t>
                  </w:r>
                </w:p>
              </w:tc>
              <w:tc>
                <w:tcPr>
                  <w:tcW w:w="578" w:type="dxa"/>
                  <w:noWrap/>
                  <w:vAlign w:val="center"/>
                </w:tcPr>
                <w:p w14:paraId="2E8E61BC">
                  <w:pPr>
                    <w:pStyle w:val="94"/>
                    <w:rPr>
                      <w:sz w:val="18"/>
                      <w:szCs w:val="18"/>
                    </w:rPr>
                  </w:pPr>
                  <w:r>
                    <w:rPr>
                      <w:rFonts w:hint="eastAsia"/>
                      <w:sz w:val="18"/>
                      <w:szCs w:val="18"/>
                    </w:rPr>
                    <w:t>0</w:t>
                  </w:r>
                </w:p>
              </w:tc>
            </w:tr>
            <w:tr w14:paraId="74B8C9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966" w:type="dxa"/>
                  <w:noWrap/>
                  <w:vAlign w:val="center"/>
                </w:tcPr>
                <w:p w14:paraId="19FF6A7E">
                  <w:pPr>
                    <w:pStyle w:val="94"/>
                    <w:rPr>
                      <w:sz w:val="18"/>
                      <w:szCs w:val="18"/>
                    </w:rPr>
                  </w:pPr>
                  <w:r>
                    <w:rPr>
                      <w:rFonts w:hint="eastAsia"/>
                      <w:sz w:val="18"/>
                      <w:szCs w:val="18"/>
                    </w:rPr>
                    <w:t>LXDG-13</w:t>
                  </w:r>
                </w:p>
              </w:tc>
              <w:tc>
                <w:tcPr>
                  <w:tcW w:w="966" w:type="dxa"/>
                  <w:noWrap/>
                  <w:vAlign w:val="center"/>
                </w:tcPr>
                <w:p w14:paraId="76A52CFA">
                  <w:pPr>
                    <w:pStyle w:val="94"/>
                    <w:rPr>
                      <w:sz w:val="18"/>
                      <w:szCs w:val="18"/>
                    </w:rPr>
                  </w:pPr>
                  <w:r>
                    <w:rPr>
                      <w:rFonts w:hint="eastAsia"/>
                      <w:sz w:val="18"/>
                      <w:szCs w:val="18"/>
                    </w:rPr>
                    <w:t>9962.44</w:t>
                  </w:r>
                </w:p>
              </w:tc>
              <w:tc>
                <w:tcPr>
                  <w:tcW w:w="966" w:type="dxa"/>
                  <w:noWrap/>
                  <w:vAlign w:val="center"/>
                </w:tcPr>
                <w:p w14:paraId="39BB5E6B">
                  <w:pPr>
                    <w:pStyle w:val="94"/>
                    <w:rPr>
                      <w:sz w:val="18"/>
                      <w:szCs w:val="18"/>
                    </w:rPr>
                  </w:pPr>
                  <w:r>
                    <w:rPr>
                      <w:rFonts w:hint="eastAsia"/>
                      <w:sz w:val="18"/>
                      <w:szCs w:val="18"/>
                    </w:rPr>
                    <w:t>4981.22</w:t>
                  </w:r>
                </w:p>
              </w:tc>
              <w:tc>
                <w:tcPr>
                  <w:tcW w:w="966" w:type="dxa"/>
                  <w:noWrap/>
                  <w:vAlign w:val="center"/>
                </w:tcPr>
                <w:p w14:paraId="6422026A">
                  <w:pPr>
                    <w:pStyle w:val="94"/>
                    <w:rPr>
                      <w:sz w:val="18"/>
                      <w:szCs w:val="18"/>
                    </w:rPr>
                  </w:pPr>
                  <w:r>
                    <w:rPr>
                      <w:rFonts w:hint="eastAsia"/>
                      <w:sz w:val="18"/>
                      <w:szCs w:val="18"/>
                    </w:rPr>
                    <w:t>4243.37</w:t>
                  </w:r>
                </w:p>
              </w:tc>
              <w:tc>
                <w:tcPr>
                  <w:tcW w:w="869" w:type="dxa"/>
                  <w:noWrap/>
                  <w:vAlign w:val="center"/>
                </w:tcPr>
                <w:p w14:paraId="07C38AA8">
                  <w:pPr>
                    <w:pStyle w:val="94"/>
                    <w:rPr>
                      <w:sz w:val="18"/>
                      <w:szCs w:val="18"/>
                    </w:rPr>
                  </w:pPr>
                  <w:r>
                    <w:rPr>
                      <w:rFonts w:hint="eastAsia"/>
                      <w:sz w:val="18"/>
                      <w:szCs w:val="18"/>
                    </w:rPr>
                    <w:t>737.85</w:t>
                  </w:r>
                </w:p>
              </w:tc>
              <w:tc>
                <w:tcPr>
                  <w:tcW w:w="966" w:type="dxa"/>
                  <w:noWrap/>
                  <w:vAlign w:val="center"/>
                </w:tcPr>
                <w:p w14:paraId="73AB02F4">
                  <w:pPr>
                    <w:pStyle w:val="94"/>
                    <w:rPr>
                      <w:sz w:val="18"/>
                      <w:szCs w:val="18"/>
                    </w:rPr>
                  </w:pPr>
                  <w:r>
                    <w:rPr>
                      <w:rFonts w:hint="eastAsia"/>
                      <w:sz w:val="18"/>
                      <w:szCs w:val="18"/>
                    </w:rPr>
                    <w:t>4981.22</w:t>
                  </w:r>
                </w:p>
              </w:tc>
              <w:tc>
                <w:tcPr>
                  <w:tcW w:w="966" w:type="dxa"/>
                  <w:noWrap/>
                  <w:vAlign w:val="center"/>
                </w:tcPr>
                <w:p w14:paraId="029D4620">
                  <w:pPr>
                    <w:pStyle w:val="94"/>
                    <w:rPr>
                      <w:sz w:val="18"/>
                      <w:szCs w:val="18"/>
                    </w:rPr>
                  </w:pPr>
                  <w:r>
                    <w:rPr>
                      <w:rFonts w:hint="eastAsia"/>
                      <w:sz w:val="18"/>
                      <w:szCs w:val="18"/>
                    </w:rPr>
                    <w:t>4243.37</w:t>
                  </w:r>
                </w:p>
              </w:tc>
              <w:tc>
                <w:tcPr>
                  <w:tcW w:w="869" w:type="dxa"/>
                  <w:noWrap/>
                  <w:vAlign w:val="center"/>
                </w:tcPr>
                <w:p w14:paraId="6697FA49">
                  <w:pPr>
                    <w:pStyle w:val="94"/>
                    <w:rPr>
                      <w:sz w:val="18"/>
                      <w:szCs w:val="18"/>
                    </w:rPr>
                  </w:pPr>
                  <w:r>
                    <w:rPr>
                      <w:rFonts w:hint="eastAsia"/>
                      <w:sz w:val="18"/>
                      <w:szCs w:val="18"/>
                    </w:rPr>
                    <w:t>737.85</w:t>
                  </w:r>
                </w:p>
              </w:tc>
              <w:tc>
                <w:tcPr>
                  <w:tcW w:w="578" w:type="dxa"/>
                  <w:noWrap/>
                  <w:vAlign w:val="center"/>
                </w:tcPr>
                <w:p w14:paraId="6F69B95B">
                  <w:pPr>
                    <w:pStyle w:val="94"/>
                    <w:rPr>
                      <w:sz w:val="18"/>
                      <w:szCs w:val="18"/>
                    </w:rPr>
                  </w:pPr>
                  <w:r>
                    <w:rPr>
                      <w:rFonts w:hint="eastAsia"/>
                      <w:sz w:val="18"/>
                      <w:szCs w:val="18"/>
                    </w:rPr>
                    <w:t>0</w:t>
                  </w:r>
                </w:p>
              </w:tc>
              <w:tc>
                <w:tcPr>
                  <w:tcW w:w="578" w:type="dxa"/>
                  <w:noWrap/>
                  <w:vAlign w:val="center"/>
                </w:tcPr>
                <w:p w14:paraId="45F8CC0C">
                  <w:pPr>
                    <w:pStyle w:val="94"/>
                    <w:rPr>
                      <w:sz w:val="18"/>
                      <w:szCs w:val="18"/>
                    </w:rPr>
                  </w:pPr>
                  <w:r>
                    <w:rPr>
                      <w:rFonts w:hint="eastAsia"/>
                      <w:sz w:val="18"/>
                      <w:szCs w:val="18"/>
                    </w:rPr>
                    <w:t>0</w:t>
                  </w:r>
                </w:p>
              </w:tc>
            </w:tr>
            <w:tr w14:paraId="21A315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966" w:type="dxa"/>
                  <w:noWrap/>
                  <w:vAlign w:val="center"/>
                </w:tcPr>
                <w:p w14:paraId="7007644C">
                  <w:pPr>
                    <w:pStyle w:val="94"/>
                    <w:rPr>
                      <w:sz w:val="18"/>
                      <w:szCs w:val="18"/>
                    </w:rPr>
                  </w:pPr>
                  <w:r>
                    <w:rPr>
                      <w:rFonts w:hint="eastAsia"/>
                      <w:sz w:val="18"/>
                      <w:szCs w:val="18"/>
                    </w:rPr>
                    <w:t>LXD11-25</w:t>
                  </w:r>
                </w:p>
              </w:tc>
              <w:tc>
                <w:tcPr>
                  <w:tcW w:w="966" w:type="dxa"/>
                  <w:noWrap/>
                  <w:vAlign w:val="center"/>
                </w:tcPr>
                <w:p w14:paraId="669FBC01">
                  <w:pPr>
                    <w:pStyle w:val="94"/>
                    <w:rPr>
                      <w:sz w:val="18"/>
                      <w:szCs w:val="18"/>
                    </w:rPr>
                  </w:pPr>
                  <w:r>
                    <w:rPr>
                      <w:rFonts w:hint="eastAsia"/>
                      <w:sz w:val="18"/>
                      <w:szCs w:val="18"/>
                    </w:rPr>
                    <w:t>76436.3</w:t>
                  </w:r>
                </w:p>
              </w:tc>
              <w:tc>
                <w:tcPr>
                  <w:tcW w:w="966" w:type="dxa"/>
                  <w:noWrap/>
                  <w:vAlign w:val="center"/>
                </w:tcPr>
                <w:p w14:paraId="18FC7112">
                  <w:pPr>
                    <w:pStyle w:val="94"/>
                    <w:rPr>
                      <w:sz w:val="18"/>
                      <w:szCs w:val="18"/>
                    </w:rPr>
                  </w:pPr>
                  <w:r>
                    <w:rPr>
                      <w:rFonts w:hint="eastAsia"/>
                      <w:sz w:val="18"/>
                      <w:szCs w:val="18"/>
                    </w:rPr>
                    <w:t>38218.15</w:t>
                  </w:r>
                </w:p>
              </w:tc>
              <w:tc>
                <w:tcPr>
                  <w:tcW w:w="966" w:type="dxa"/>
                  <w:noWrap/>
                  <w:vAlign w:val="center"/>
                </w:tcPr>
                <w:p w14:paraId="278A78F0">
                  <w:pPr>
                    <w:pStyle w:val="94"/>
                    <w:rPr>
                      <w:sz w:val="18"/>
                      <w:szCs w:val="18"/>
                    </w:rPr>
                  </w:pPr>
                  <w:r>
                    <w:rPr>
                      <w:rFonts w:hint="eastAsia"/>
                      <w:sz w:val="18"/>
                      <w:szCs w:val="18"/>
                    </w:rPr>
                    <w:t>35576.67</w:t>
                  </w:r>
                </w:p>
              </w:tc>
              <w:tc>
                <w:tcPr>
                  <w:tcW w:w="869" w:type="dxa"/>
                  <w:noWrap/>
                  <w:vAlign w:val="center"/>
                </w:tcPr>
                <w:p w14:paraId="064E47E9">
                  <w:pPr>
                    <w:pStyle w:val="94"/>
                    <w:rPr>
                      <w:sz w:val="18"/>
                      <w:szCs w:val="18"/>
                    </w:rPr>
                  </w:pPr>
                  <w:r>
                    <w:rPr>
                      <w:rFonts w:hint="eastAsia"/>
                      <w:sz w:val="18"/>
                      <w:szCs w:val="18"/>
                    </w:rPr>
                    <w:t>2641.48</w:t>
                  </w:r>
                </w:p>
              </w:tc>
              <w:tc>
                <w:tcPr>
                  <w:tcW w:w="966" w:type="dxa"/>
                  <w:noWrap/>
                  <w:vAlign w:val="center"/>
                </w:tcPr>
                <w:p w14:paraId="04297C61">
                  <w:pPr>
                    <w:pStyle w:val="94"/>
                    <w:rPr>
                      <w:sz w:val="18"/>
                      <w:szCs w:val="18"/>
                    </w:rPr>
                  </w:pPr>
                  <w:r>
                    <w:rPr>
                      <w:rFonts w:hint="eastAsia"/>
                      <w:sz w:val="18"/>
                      <w:szCs w:val="18"/>
                    </w:rPr>
                    <w:t>38218.15</w:t>
                  </w:r>
                </w:p>
              </w:tc>
              <w:tc>
                <w:tcPr>
                  <w:tcW w:w="966" w:type="dxa"/>
                  <w:noWrap/>
                  <w:vAlign w:val="center"/>
                </w:tcPr>
                <w:p w14:paraId="46955AB2">
                  <w:pPr>
                    <w:pStyle w:val="94"/>
                    <w:rPr>
                      <w:sz w:val="18"/>
                      <w:szCs w:val="18"/>
                    </w:rPr>
                  </w:pPr>
                  <w:r>
                    <w:rPr>
                      <w:rFonts w:hint="eastAsia"/>
                      <w:sz w:val="18"/>
                      <w:szCs w:val="18"/>
                    </w:rPr>
                    <w:t>35576.67</w:t>
                  </w:r>
                </w:p>
              </w:tc>
              <w:tc>
                <w:tcPr>
                  <w:tcW w:w="869" w:type="dxa"/>
                  <w:noWrap/>
                  <w:vAlign w:val="center"/>
                </w:tcPr>
                <w:p w14:paraId="6AC5471D">
                  <w:pPr>
                    <w:pStyle w:val="94"/>
                    <w:rPr>
                      <w:sz w:val="18"/>
                      <w:szCs w:val="18"/>
                    </w:rPr>
                  </w:pPr>
                  <w:r>
                    <w:rPr>
                      <w:rFonts w:hint="eastAsia"/>
                      <w:sz w:val="18"/>
                      <w:szCs w:val="18"/>
                    </w:rPr>
                    <w:t>2641.48</w:t>
                  </w:r>
                </w:p>
              </w:tc>
              <w:tc>
                <w:tcPr>
                  <w:tcW w:w="578" w:type="dxa"/>
                  <w:noWrap/>
                  <w:vAlign w:val="center"/>
                </w:tcPr>
                <w:p w14:paraId="2D460551">
                  <w:pPr>
                    <w:pStyle w:val="94"/>
                    <w:rPr>
                      <w:sz w:val="18"/>
                      <w:szCs w:val="18"/>
                    </w:rPr>
                  </w:pPr>
                  <w:r>
                    <w:rPr>
                      <w:rFonts w:hint="eastAsia"/>
                      <w:sz w:val="18"/>
                      <w:szCs w:val="18"/>
                    </w:rPr>
                    <w:t>0</w:t>
                  </w:r>
                </w:p>
              </w:tc>
              <w:tc>
                <w:tcPr>
                  <w:tcW w:w="578" w:type="dxa"/>
                  <w:noWrap/>
                  <w:vAlign w:val="center"/>
                </w:tcPr>
                <w:p w14:paraId="7246CFE9">
                  <w:pPr>
                    <w:pStyle w:val="94"/>
                    <w:rPr>
                      <w:sz w:val="18"/>
                      <w:szCs w:val="18"/>
                    </w:rPr>
                  </w:pPr>
                  <w:r>
                    <w:rPr>
                      <w:rFonts w:hint="eastAsia"/>
                      <w:sz w:val="18"/>
                      <w:szCs w:val="18"/>
                    </w:rPr>
                    <w:t>0</w:t>
                  </w:r>
                </w:p>
              </w:tc>
            </w:tr>
            <w:tr w14:paraId="3837AC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966" w:type="dxa"/>
                  <w:noWrap/>
                  <w:vAlign w:val="center"/>
                </w:tcPr>
                <w:p w14:paraId="087DCDDD">
                  <w:pPr>
                    <w:pStyle w:val="94"/>
                    <w:rPr>
                      <w:sz w:val="18"/>
                      <w:szCs w:val="18"/>
                    </w:rPr>
                  </w:pPr>
                  <w:r>
                    <w:rPr>
                      <w:rFonts w:hint="eastAsia"/>
                      <w:sz w:val="18"/>
                      <w:szCs w:val="18"/>
                    </w:rPr>
                    <w:t>LXD9-23</w:t>
                  </w:r>
                </w:p>
              </w:tc>
              <w:tc>
                <w:tcPr>
                  <w:tcW w:w="966" w:type="dxa"/>
                  <w:noWrap/>
                  <w:vAlign w:val="center"/>
                </w:tcPr>
                <w:p w14:paraId="5D4F4763">
                  <w:pPr>
                    <w:pStyle w:val="94"/>
                    <w:rPr>
                      <w:sz w:val="18"/>
                      <w:szCs w:val="18"/>
                    </w:rPr>
                  </w:pPr>
                  <w:r>
                    <w:rPr>
                      <w:rFonts w:hint="eastAsia"/>
                      <w:sz w:val="18"/>
                      <w:szCs w:val="18"/>
                    </w:rPr>
                    <w:t>25696.3</w:t>
                  </w:r>
                </w:p>
              </w:tc>
              <w:tc>
                <w:tcPr>
                  <w:tcW w:w="966" w:type="dxa"/>
                  <w:noWrap/>
                  <w:vAlign w:val="center"/>
                </w:tcPr>
                <w:p w14:paraId="45729255">
                  <w:pPr>
                    <w:pStyle w:val="94"/>
                    <w:rPr>
                      <w:sz w:val="18"/>
                      <w:szCs w:val="18"/>
                    </w:rPr>
                  </w:pPr>
                  <w:r>
                    <w:rPr>
                      <w:rFonts w:hint="eastAsia"/>
                      <w:sz w:val="18"/>
                      <w:szCs w:val="18"/>
                    </w:rPr>
                    <w:t>12848.15</w:t>
                  </w:r>
                </w:p>
              </w:tc>
              <w:tc>
                <w:tcPr>
                  <w:tcW w:w="966" w:type="dxa"/>
                  <w:noWrap/>
                  <w:vAlign w:val="center"/>
                </w:tcPr>
                <w:p w14:paraId="576499E6">
                  <w:pPr>
                    <w:pStyle w:val="94"/>
                    <w:rPr>
                      <w:sz w:val="18"/>
                      <w:szCs w:val="18"/>
                    </w:rPr>
                  </w:pPr>
                  <w:r>
                    <w:rPr>
                      <w:rFonts w:hint="eastAsia"/>
                      <w:sz w:val="18"/>
                      <w:szCs w:val="18"/>
                    </w:rPr>
                    <w:t>11095.7</w:t>
                  </w:r>
                </w:p>
              </w:tc>
              <w:tc>
                <w:tcPr>
                  <w:tcW w:w="869" w:type="dxa"/>
                  <w:noWrap/>
                  <w:vAlign w:val="center"/>
                </w:tcPr>
                <w:p w14:paraId="4970F049">
                  <w:pPr>
                    <w:pStyle w:val="94"/>
                    <w:rPr>
                      <w:sz w:val="18"/>
                      <w:szCs w:val="18"/>
                    </w:rPr>
                  </w:pPr>
                  <w:r>
                    <w:rPr>
                      <w:rFonts w:hint="eastAsia"/>
                      <w:sz w:val="18"/>
                      <w:szCs w:val="18"/>
                    </w:rPr>
                    <w:t>1752.45</w:t>
                  </w:r>
                </w:p>
              </w:tc>
              <w:tc>
                <w:tcPr>
                  <w:tcW w:w="966" w:type="dxa"/>
                  <w:noWrap/>
                  <w:vAlign w:val="center"/>
                </w:tcPr>
                <w:p w14:paraId="0CBEF14C">
                  <w:pPr>
                    <w:pStyle w:val="94"/>
                    <w:rPr>
                      <w:sz w:val="18"/>
                      <w:szCs w:val="18"/>
                    </w:rPr>
                  </w:pPr>
                  <w:r>
                    <w:rPr>
                      <w:rFonts w:hint="eastAsia"/>
                      <w:sz w:val="18"/>
                      <w:szCs w:val="18"/>
                    </w:rPr>
                    <w:t>12848.15</w:t>
                  </w:r>
                </w:p>
              </w:tc>
              <w:tc>
                <w:tcPr>
                  <w:tcW w:w="966" w:type="dxa"/>
                  <w:noWrap/>
                  <w:vAlign w:val="center"/>
                </w:tcPr>
                <w:p w14:paraId="143B9CBF">
                  <w:pPr>
                    <w:pStyle w:val="94"/>
                    <w:rPr>
                      <w:sz w:val="18"/>
                      <w:szCs w:val="18"/>
                    </w:rPr>
                  </w:pPr>
                  <w:r>
                    <w:rPr>
                      <w:rFonts w:hint="eastAsia"/>
                      <w:sz w:val="18"/>
                      <w:szCs w:val="18"/>
                    </w:rPr>
                    <w:t>11095.7</w:t>
                  </w:r>
                </w:p>
              </w:tc>
              <w:tc>
                <w:tcPr>
                  <w:tcW w:w="869" w:type="dxa"/>
                  <w:noWrap/>
                  <w:vAlign w:val="center"/>
                </w:tcPr>
                <w:p w14:paraId="4DF8FE56">
                  <w:pPr>
                    <w:pStyle w:val="94"/>
                    <w:rPr>
                      <w:sz w:val="18"/>
                      <w:szCs w:val="18"/>
                    </w:rPr>
                  </w:pPr>
                  <w:r>
                    <w:rPr>
                      <w:rFonts w:hint="eastAsia"/>
                      <w:sz w:val="18"/>
                      <w:szCs w:val="18"/>
                    </w:rPr>
                    <w:t>1752.45</w:t>
                  </w:r>
                </w:p>
              </w:tc>
              <w:tc>
                <w:tcPr>
                  <w:tcW w:w="578" w:type="dxa"/>
                  <w:noWrap/>
                  <w:vAlign w:val="center"/>
                </w:tcPr>
                <w:p w14:paraId="644216DC">
                  <w:pPr>
                    <w:pStyle w:val="94"/>
                    <w:rPr>
                      <w:sz w:val="18"/>
                      <w:szCs w:val="18"/>
                    </w:rPr>
                  </w:pPr>
                  <w:r>
                    <w:rPr>
                      <w:rFonts w:hint="eastAsia"/>
                      <w:sz w:val="18"/>
                      <w:szCs w:val="18"/>
                    </w:rPr>
                    <w:t>0</w:t>
                  </w:r>
                </w:p>
              </w:tc>
              <w:tc>
                <w:tcPr>
                  <w:tcW w:w="578" w:type="dxa"/>
                  <w:noWrap/>
                  <w:vAlign w:val="center"/>
                </w:tcPr>
                <w:p w14:paraId="5673EC28">
                  <w:pPr>
                    <w:pStyle w:val="94"/>
                    <w:rPr>
                      <w:sz w:val="18"/>
                      <w:szCs w:val="18"/>
                    </w:rPr>
                  </w:pPr>
                  <w:r>
                    <w:rPr>
                      <w:rFonts w:hint="eastAsia"/>
                      <w:sz w:val="18"/>
                      <w:szCs w:val="18"/>
                    </w:rPr>
                    <w:t>0</w:t>
                  </w:r>
                </w:p>
              </w:tc>
            </w:tr>
            <w:tr w14:paraId="0DDE34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966" w:type="dxa"/>
                  <w:noWrap/>
                  <w:vAlign w:val="center"/>
                </w:tcPr>
                <w:p w14:paraId="4AE1688A">
                  <w:pPr>
                    <w:pStyle w:val="94"/>
                    <w:rPr>
                      <w:sz w:val="18"/>
                      <w:szCs w:val="18"/>
                    </w:rPr>
                  </w:pPr>
                  <w:r>
                    <w:rPr>
                      <w:rFonts w:hint="eastAsia"/>
                      <w:sz w:val="18"/>
                      <w:szCs w:val="18"/>
                    </w:rPr>
                    <w:t>LXDG-14</w:t>
                  </w:r>
                </w:p>
              </w:tc>
              <w:tc>
                <w:tcPr>
                  <w:tcW w:w="966" w:type="dxa"/>
                  <w:noWrap/>
                  <w:vAlign w:val="center"/>
                </w:tcPr>
                <w:p w14:paraId="44745F42">
                  <w:pPr>
                    <w:pStyle w:val="94"/>
                    <w:rPr>
                      <w:sz w:val="18"/>
                      <w:szCs w:val="18"/>
                    </w:rPr>
                  </w:pPr>
                  <w:r>
                    <w:rPr>
                      <w:rFonts w:hint="eastAsia"/>
                      <w:sz w:val="18"/>
                      <w:szCs w:val="18"/>
                    </w:rPr>
                    <w:t>67006.04</w:t>
                  </w:r>
                </w:p>
              </w:tc>
              <w:tc>
                <w:tcPr>
                  <w:tcW w:w="966" w:type="dxa"/>
                  <w:noWrap/>
                  <w:vAlign w:val="center"/>
                </w:tcPr>
                <w:p w14:paraId="3F773ABF">
                  <w:pPr>
                    <w:pStyle w:val="94"/>
                    <w:rPr>
                      <w:sz w:val="18"/>
                      <w:szCs w:val="18"/>
                    </w:rPr>
                  </w:pPr>
                  <w:r>
                    <w:rPr>
                      <w:rFonts w:hint="eastAsia"/>
                      <w:sz w:val="18"/>
                      <w:szCs w:val="18"/>
                    </w:rPr>
                    <w:t>33503.02</w:t>
                  </w:r>
                </w:p>
              </w:tc>
              <w:tc>
                <w:tcPr>
                  <w:tcW w:w="966" w:type="dxa"/>
                  <w:noWrap/>
                  <w:vAlign w:val="center"/>
                </w:tcPr>
                <w:p w14:paraId="5C158E12">
                  <w:pPr>
                    <w:pStyle w:val="94"/>
                    <w:rPr>
                      <w:sz w:val="18"/>
                      <w:szCs w:val="18"/>
                    </w:rPr>
                  </w:pPr>
                  <w:r>
                    <w:rPr>
                      <w:rFonts w:hint="eastAsia"/>
                      <w:sz w:val="18"/>
                      <w:szCs w:val="18"/>
                    </w:rPr>
                    <w:t>31373.34</w:t>
                  </w:r>
                </w:p>
              </w:tc>
              <w:tc>
                <w:tcPr>
                  <w:tcW w:w="869" w:type="dxa"/>
                  <w:noWrap/>
                  <w:vAlign w:val="center"/>
                </w:tcPr>
                <w:p w14:paraId="41F83CD4">
                  <w:pPr>
                    <w:pStyle w:val="94"/>
                    <w:rPr>
                      <w:sz w:val="18"/>
                      <w:szCs w:val="18"/>
                    </w:rPr>
                  </w:pPr>
                  <w:r>
                    <w:rPr>
                      <w:rFonts w:hint="eastAsia"/>
                      <w:sz w:val="18"/>
                      <w:szCs w:val="18"/>
                    </w:rPr>
                    <w:t>2129.68</w:t>
                  </w:r>
                </w:p>
              </w:tc>
              <w:tc>
                <w:tcPr>
                  <w:tcW w:w="966" w:type="dxa"/>
                  <w:noWrap/>
                  <w:vAlign w:val="center"/>
                </w:tcPr>
                <w:p w14:paraId="6B426741">
                  <w:pPr>
                    <w:pStyle w:val="94"/>
                    <w:rPr>
                      <w:sz w:val="18"/>
                      <w:szCs w:val="18"/>
                    </w:rPr>
                  </w:pPr>
                  <w:r>
                    <w:rPr>
                      <w:rFonts w:hint="eastAsia"/>
                      <w:sz w:val="18"/>
                      <w:szCs w:val="18"/>
                    </w:rPr>
                    <w:t>33503.02</w:t>
                  </w:r>
                </w:p>
              </w:tc>
              <w:tc>
                <w:tcPr>
                  <w:tcW w:w="966" w:type="dxa"/>
                  <w:noWrap/>
                  <w:vAlign w:val="center"/>
                </w:tcPr>
                <w:p w14:paraId="6D802B70">
                  <w:pPr>
                    <w:pStyle w:val="94"/>
                    <w:rPr>
                      <w:sz w:val="18"/>
                      <w:szCs w:val="18"/>
                    </w:rPr>
                  </w:pPr>
                  <w:r>
                    <w:rPr>
                      <w:rFonts w:hint="eastAsia"/>
                      <w:sz w:val="18"/>
                      <w:szCs w:val="18"/>
                    </w:rPr>
                    <w:t>31373.34</w:t>
                  </w:r>
                </w:p>
              </w:tc>
              <w:tc>
                <w:tcPr>
                  <w:tcW w:w="869" w:type="dxa"/>
                  <w:noWrap/>
                  <w:vAlign w:val="center"/>
                </w:tcPr>
                <w:p w14:paraId="690F4738">
                  <w:pPr>
                    <w:pStyle w:val="94"/>
                    <w:rPr>
                      <w:sz w:val="18"/>
                      <w:szCs w:val="18"/>
                    </w:rPr>
                  </w:pPr>
                  <w:r>
                    <w:rPr>
                      <w:rFonts w:hint="eastAsia"/>
                      <w:sz w:val="18"/>
                      <w:szCs w:val="18"/>
                    </w:rPr>
                    <w:t>2129.68</w:t>
                  </w:r>
                </w:p>
              </w:tc>
              <w:tc>
                <w:tcPr>
                  <w:tcW w:w="578" w:type="dxa"/>
                  <w:noWrap/>
                  <w:vAlign w:val="center"/>
                </w:tcPr>
                <w:p w14:paraId="0A2C1FF7">
                  <w:pPr>
                    <w:pStyle w:val="94"/>
                    <w:rPr>
                      <w:sz w:val="18"/>
                      <w:szCs w:val="18"/>
                    </w:rPr>
                  </w:pPr>
                  <w:r>
                    <w:rPr>
                      <w:rFonts w:hint="eastAsia"/>
                      <w:sz w:val="18"/>
                      <w:szCs w:val="18"/>
                    </w:rPr>
                    <w:t>0</w:t>
                  </w:r>
                </w:p>
              </w:tc>
              <w:tc>
                <w:tcPr>
                  <w:tcW w:w="578" w:type="dxa"/>
                  <w:noWrap/>
                  <w:vAlign w:val="center"/>
                </w:tcPr>
                <w:p w14:paraId="59D2FA6E">
                  <w:pPr>
                    <w:pStyle w:val="94"/>
                    <w:rPr>
                      <w:sz w:val="18"/>
                      <w:szCs w:val="18"/>
                    </w:rPr>
                  </w:pPr>
                  <w:r>
                    <w:rPr>
                      <w:rFonts w:hint="eastAsia"/>
                      <w:sz w:val="18"/>
                      <w:szCs w:val="18"/>
                    </w:rPr>
                    <w:t>0</w:t>
                  </w:r>
                </w:p>
              </w:tc>
            </w:tr>
            <w:tr w14:paraId="20BA7A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966" w:type="dxa"/>
                  <w:noWrap/>
                  <w:vAlign w:val="center"/>
                </w:tcPr>
                <w:p w14:paraId="20925F29">
                  <w:pPr>
                    <w:pStyle w:val="94"/>
                    <w:rPr>
                      <w:sz w:val="18"/>
                      <w:szCs w:val="18"/>
                    </w:rPr>
                  </w:pPr>
                  <w:r>
                    <w:rPr>
                      <w:rFonts w:hint="eastAsia"/>
                      <w:sz w:val="18"/>
                      <w:szCs w:val="18"/>
                    </w:rPr>
                    <w:t>LXD12-7</w:t>
                  </w:r>
                </w:p>
              </w:tc>
              <w:tc>
                <w:tcPr>
                  <w:tcW w:w="966" w:type="dxa"/>
                  <w:noWrap/>
                  <w:vAlign w:val="center"/>
                </w:tcPr>
                <w:p w14:paraId="2A59773F">
                  <w:pPr>
                    <w:pStyle w:val="94"/>
                    <w:rPr>
                      <w:sz w:val="18"/>
                      <w:szCs w:val="18"/>
                    </w:rPr>
                  </w:pPr>
                  <w:r>
                    <w:rPr>
                      <w:rFonts w:hint="eastAsia"/>
                      <w:sz w:val="18"/>
                      <w:szCs w:val="18"/>
                    </w:rPr>
                    <w:t>12254</w:t>
                  </w:r>
                </w:p>
              </w:tc>
              <w:tc>
                <w:tcPr>
                  <w:tcW w:w="966" w:type="dxa"/>
                  <w:noWrap/>
                  <w:vAlign w:val="center"/>
                </w:tcPr>
                <w:p w14:paraId="45406D13">
                  <w:pPr>
                    <w:pStyle w:val="94"/>
                    <w:rPr>
                      <w:sz w:val="18"/>
                      <w:szCs w:val="18"/>
                    </w:rPr>
                  </w:pPr>
                  <w:r>
                    <w:rPr>
                      <w:rFonts w:hint="eastAsia"/>
                      <w:sz w:val="18"/>
                      <w:szCs w:val="18"/>
                    </w:rPr>
                    <w:t>6127</w:t>
                  </w:r>
                </w:p>
              </w:tc>
              <w:tc>
                <w:tcPr>
                  <w:tcW w:w="966" w:type="dxa"/>
                  <w:noWrap/>
                  <w:vAlign w:val="center"/>
                </w:tcPr>
                <w:p w14:paraId="53A54CCA">
                  <w:pPr>
                    <w:pStyle w:val="94"/>
                    <w:rPr>
                      <w:sz w:val="18"/>
                      <w:szCs w:val="18"/>
                    </w:rPr>
                  </w:pPr>
                  <w:r>
                    <w:rPr>
                      <w:rFonts w:hint="eastAsia"/>
                      <w:sz w:val="18"/>
                      <w:szCs w:val="18"/>
                    </w:rPr>
                    <w:t>5226.82</w:t>
                  </w:r>
                </w:p>
              </w:tc>
              <w:tc>
                <w:tcPr>
                  <w:tcW w:w="869" w:type="dxa"/>
                  <w:noWrap/>
                  <w:vAlign w:val="center"/>
                </w:tcPr>
                <w:p w14:paraId="077FC7E3">
                  <w:pPr>
                    <w:pStyle w:val="94"/>
                    <w:rPr>
                      <w:sz w:val="18"/>
                      <w:szCs w:val="18"/>
                    </w:rPr>
                  </w:pPr>
                  <w:r>
                    <w:rPr>
                      <w:rFonts w:hint="eastAsia"/>
                      <w:sz w:val="18"/>
                      <w:szCs w:val="18"/>
                    </w:rPr>
                    <w:t>900.18</w:t>
                  </w:r>
                </w:p>
              </w:tc>
              <w:tc>
                <w:tcPr>
                  <w:tcW w:w="966" w:type="dxa"/>
                  <w:noWrap/>
                  <w:vAlign w:val="center"/>
                </w:tcPr>
                <w:p w14:paraId="4C241586">
                  <w:pPr>
                    <w:pStyle w:val="94"/>
                    <w:rPr>
                      <w:sz w:val="18"/>
                      <w:szCs w:val="18"/>
                    </w:rPr>
                  </w:pPr>
                  <w:r>
                    <w:rPr>
                      <w:rFonts w:hint="eastAsia"/>
                      <w:sz w:val="18"/>
                      <w:szCs w:val="18"/>
                    </w:rPr>
                    <w:t>6127</w:t>
                  </w:r>
                </w:p>
              </w:tc>
              <w:tc>
                <w:tcPr>
                  <w:tcW w:w="966" w:type="dxa"/>
                  <w:noWrap/>
                  <w:vAlign w:val="center"/>
                </w:tcPr>
                <w:p w14:paraId="1F5A8927">
                  <w:pPr>
                    <w:pStyle w:val="94"/>
                    <w:rPr>
                      <w:sz w:val="18"/>
                      <w:szCs w:val="18"/>
                    </w:rPr>
                  </w:pPr>
                  <w:r>
                    <w:rPr>
                      <w:rFonts w:hint="eastAsia"/>
                      <w:sz w:val="18"/>
                      <w:szCs w:val="18"/>
                    </w:rPr>
                    <w:t>5226.82</w:t>
                  </w:r>
                </w:p>
              </w:tc>
              <w:tc>
                <w:tcPr>
                  <w:tcW w:w="869" w:type="dxa"/>
                  <w:noWrap/>
                  <w:vAlign w:val="center"/>
                </w:tcPr>
                <w:p w14:paraId="6F4C5DFA">
                  <w:pPr>
                    <w:pStyle w:val="94"/>
                    <w:rPr>
                      <w:sz w:val="18"/>
                      <w:szCs w:val="18"/>
                    </w:rPr>
                  </w:pPr>
                  <w:r>
                    <w:rPr>
                      <w:rFonts w:hint="eastAsia"/>
                      <w:sz w:val="18"/>
                      <w:szCs w:val="18"/>
                    </w:rPr>
                    <w:t>900.18</w:t>
                  </w:r>
                </w:p>
              </w:tc>
              <w:tc>
                <w:tcPr>
                  <w:tcW w:w="578" w:type="dxa"/>
                  <w:noWrap/>
                  <w:vAlign w:val="center"/>
                </w:tcPr>
                <w:p w14:paraId="5FBE4497">
                  <w:pPr>
                    <w:pStyle w:val="94"/>
                    <w:rPr>
                      <w:sz w:val="18"/>
                      <w:szCs w:val="18"/>
                    </w:rPr>
                  </w:pPr>
                  <w:r>
                    <w:rPr>
                      <w:rFonts w:hint="eastAsia"/>
                      <w:sz w:val="18"/>
                      <w:szCs w:val="18"/>
                    </w:rPr>
                    <w:t>0</w:t>
                  </w:r>
                </w:p>
              </w:tc>
              <w:tc>
                <w:tcPr>
                  <w:tcW w:w="578" w:type="dxa"/>
                  <w:noWrap/>
                  <w:vAlign w:val="center"/>
                </w:tcPr>
                <w:p w14:paraId="215A4FF7">
                  <w:pPr>
                    <w:pStyle w:val="94"/>
                    <w:rPr>
                      <w:sz w:val="18"/>
                      <w:szCs w:val="18"/>
                    </w:rPr>
                  </w:pPr>
                  <w:r>
                    <w:rPr>
                      <w:rFonts w:hint="eastAsia"/>
                      <w:sz w:val="18"/>
                      <w:szCs w:val="18"/>
                    </w:rPr>
                    <w:t>0</w:t>
                  </w:r>
                </w:p>
              </w:tc>
            </w:tr>
            <w:tr w14:paraId="2B9E8D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966" w:type="dxa"/>
                  <w:noWrap/>
                  <w:vAlign w:val="center"/>
                </w:tcPr>
                <w:p w14:paraId="2D0A4816">
                  <w:pPr>
                    <w:pStyle w:val="94"/>
                    <w:rPr>
                      <w:sz w:val="18"/>
                      <w:szCs w:val="18"/>
                    </w:rPr>
                  </w:pPr>
                  <w:r>
                    <w:rPr>
                      <w:rFonts w:hint="eastAsia"/>
                      <w:sz w:val="18"/>
                      <w:szCs w:val="18"/>
                    </w:rPr>
                    <w:t>LXD8-11</w:t>
                  </w:r>
                </w:p>
              </w:tc>
              <w:tc>
                <w:tcPr>
                  <w:tcW w:w="966" w:type="dxa"/>
                  <w:noWrap/>
                  <w:vAlign w:val="center"/>
                </w:tcPr>
                <w:p w14:paraId="7E7C4F1A">
                  <w:pPr>
                    <w:pStyle w:val="94"/>
                    <w:rPr>
                      <w:sz w:val="18"/>
                      <w:szCs w:val="18"/>
                    </w:rPr>
                  </w:pPr>
                  <w:r>
                    <w:rPr>
                      <w:rFonts w:hint="eastAsia"/>
                      <w:sz w:val="18"/>
                      <w:szCs w:val="18"/>
                    </w:rPr>
                    <w:t>106751.5</w:t>
                  </w:r>
                </w:p>
              </w:tc>
              <w:tc>
                <w:tcPr>
                  <w:tcW w:w="966" w:type="dxa"/>
                  <w:noWrap/>
                  <w:vAlign w:val="center"/>
                </w:tcPr>
                <w:p w14:paraId="01F393DB">
                  <w:pPr>
                    <w:pStyle w:val="94"/>
                    <w:rPr>
                      <w:sz w:val="18"/>
                      <w:szCs w:val="18"/>
                    </w:rPr>
                  </w:pPr>
                  <w:r>
                    <w:rPr>
                      <w:rFonts w:hint="eastAsia"/>
                      <w:sz w:val="18"/>
                      <w:szCs w:val="18"/>
                    </w:rPr>
                    <w:t>53375.74</w:t>
                  </w:r>
                </w:p>
              </w:tc>
              <w:tc>
                <w:tcPr>
                  <w:tcW w:w="966" w:type="dxa"/>
                  <w:noWrap/>
                  <w:vAlign w:val="center"/>
                </w:tcPr>
                <w:p w14:paraId="787BF253">
                  <w:pPr>
                    <w:pStyle w:val="94"/>
                    <w:rPr>
                      <w:sz w:val="18"/>
                      <w:szCs w:val="18"/>
                    </w:rPr>
                  </w:pPr>
                  <w:r>
                    <w:rPr>
                      <w:rFonts w:hint="eastAsia"/>
                      <w:sz w:val="18"/>
                      <w:szCs w:val="18"/>
                    </w:rPr>
                    <w:t>51331.4</w:t>
                  </w:r>
                </w:p>
              </w:tc>
              <w:tc>
                <w:tcPr>
                  <w:tcW w:w="869" w:type="dxa"/>
                  <w:noWrap/>
                  <w:vAlign w:val="center"/>
                </w:tcPr>
                <w:p w14:paraId="460C5C15">
                  <w:pPr>
                    <w:pStyle w:val="94"/>
                    <w:rPr>
                      <w:sz w:val="18"/>
                      <w:szCs w:val="18"/>
                    </w:rPr>
                  </w:pPr>
                  <w:r>
                    <w:rPr>
                      <w:rFonts w:hint="eastAsia"/>
                      <w:sz w:val="18"/>
                      <w:szCs w:val="18"/>
                    </w:rPr>
                    <w:t>2044.34</w:t>
                  </w:r>
                </w:p>
              </w:tc>
              <w:tc>
                <w:tcPr>
                  <w:tcW w:w="966" w:type="dxa"/>
                  <w:noWrap/>
                  <w:vAlign w:val="center"/>
                </w:tcPr>
                <w:p w14:paraId="63355AD5">
                  <w:pPr>
                    <w:pStyle w:val="94"/>
                    <w:rPr>
                      <w:sz w:val="18"/>
                      <w:szCs w:val="18"/>
                    </w:rPr>
                  </w:pPr>
                  <w:r>
                    <w:rPr>
                      <w:rFonts w:hint="eastAsia"/>
                      <w:sz w:val="18"/>
                      <w:szCs w:val="18"/>
                    </w:rPr>
                    <w:t>53375.74</w:t>
                  </w:r>
                </w:p>
              </w:tc>
              <w:tc>
                <w:tcPr>
                  <w:tcW w:w="966" w:type="dxa"/>
                  <w:noWrap/>
                  <w:vAlign w:val="center"/>
                </w:tcPr>
                <w:p w14:paraId="10EA88FB">
                  <w:pPr>
                    <w:pStyle w:val="94"/>
                    <w:rPr>
                      <w:sz w:val="18"/>
                      <w:szCs w:val="18"/>
                    </w:rPr>
                  </w:pPr>
                  <w:r>
                    <w:rPr>
                      <w:rFonts w:hint="eastAsia"/>
                      <w:sz w:val="18"/>
                      <w:szCs w:val="18"/>
                    </w:rPr>
                    <w:t>51331.4</w:t>
                  </w:r>
                </w:p>
              </w:tc>
              <w:tc>
                <w:tcPr>
                  <w:tcW w:w="869" w:type="dxa"/>
                  <w:noWrap/>
                  <w:vAlign w:val="center"/>
                </w:tcPr>
                <w:p w14:paraId="1095B25E">
                  <w:pPr>
                    <w:pStyle w:val="94"/>
                    <w:rPr>
                      <w:sz w:val="18"/>
                      <w:szCs w:val="18"/>
                    </w:rPr>
                  </w:pPr>
                  <w:r>
                    <w:rPr>
                      <w:rFonts w:hint="eastAsia"/>
                      <w:sz w:val="18"/>
                      <w:szCs w:val="18"/>
                    </w:rPr>
                    <w:t>2044.34</w:t>
                  </w:r>
                </w:p>
              </w:tc>
              <w:tc>
                <w:tcPr>
                  <w:tcW w:w="578" w:type="dxa"/>
                  <w:noWrap/>
                  <w:vAlign w:val="center"/>
                </w:tcPr>
                <w:p w14:paraId="59E887EE">
                  <w:pPr>
                    <w:pStyle w:val="94"/>
                    <w:rPr>
                      <w:sz w:val="18"/>
                      <w:szCs w:val="18"/>
                    </w:rPr>
                  </w:pPr>
                  <w:r>
                    <w:rPr>
                      <w:rFonts w:hint="eastAsia"/>
                      <w:sz w:val="18"/>
                      <w:szCs w:val="18"/>
                    </w:rPr>
                    <w:t>0</w:t>
                  </w:r>
                </w:p>
              </w:tc>
              <w:tc>
                <w:tcPr>
                  <w:tcW w:w="578" w:type="dxa"/>
                  <w:noWrap/>
                  <w:vAlign w:val="center"/>
                </w:tcPr>
                <w:p w14:paraId="48B38FC0">
                  <w:pPr>
                    <w:pStyle w:val="94"/>
                    <w:rPr>
                      <w:sz w:val="18"/>
                      <w:szCs w:val="18"/>
                    </w:rPr>
                  </w:pPr>
                  <w:r>
                    <w:rPr>
                      <w:rFonts w:hint="eastAsia"/>
                      <w:sz w:val="18"/>
                      <w:szCs w:val="18"/>
                    </w:rPr>
                    <w:t>0</w:t>
                  </w:r>
                </w:p>
              </w:tc>
            </w:tr>
            <w:tr w14:paraId="07E46A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966" w:type="dxa"/>
                  <w:noWrap/>
                  <w:vAlign w:val="center"/>
                </w:tcPr>
                <w:p w14:paraId="7CB564AC">
                  <w:pPr>
                    <w:pStyle w:val="94"/>
                    <w:rPr>
                      <w:sz w:val="18"/>
                      <w:szCs w:val="18"/>
                    </w:rPr>
                  </w:pPr>
                  <w:r>
                    <w:rPr>
                      <w:rFonts w:hint="eastAsia"/>
                      <w:sz w:val="18"/>
                      <w:szCs w:val="18"/>
                    </w:rPr>
                    <w:t>LXD3-9</w:t>
                  </w:r>
                </w:p>
              </w:tc>
              <w:tc>
                <w:tcPr>
                  <w:tcW w:w="966" w:type="dxa"/>
                  <w:noWrap/>
                  <w:vAlign w:val="center"/>
                </w:tcPr>
                <w:p w14:paraId="55E41152">
                  <w:pPr>
                    <w:pStyle w:val="94"/>
                    <w:rPr>
                      <w:sz w:val="18"/>
                      <w:szCs w:val="18"/>
                    </w:rPr>
                  </w:pPr>
                  <w:r>
                    <w:rPr>
                      <w:rFonts w:hint="eastAsia"/>
                      <w:sz w:val="18"/>
                      <w:szCs w:val="18"/>
                    </w:rPr>
                    <w:t>815565.8</w:t>
                  </w:r>
                </w:p>
              </w:tc>
              <w:tc>
                <w:tcPr>
                  <w:tcW w:w="966" w:type="dxa"/>
                  <w:noWrap/>
                  <w:vAlign w:val="center"/>
                </w:tcPr>
                <w:p w14:paraId="297953ED">
                  <w:pPr>
                    <w:pStyle w:val="94"/>
                    <w:rPr>
                      <w:sz w:val="18"/>
                      <w:szCs w:val="18"/>
                    </w:rPr>
                  </w:pPr>
                  <w:r>
                    <w:rPr>
                      <w:rFonts w:hint="eastAsia"/>
                      <w:sz w:val="18"/>
                      <w:szCs w:val="18"/>
                    </w:rPr>
                    <w:t>407782.9</w:t>
                  </w:r>
                </w:p>
              </w:tc>
              <w:tc>
                <w:tcPr>
                  <w:tcW w:w="966" w:type="dxa"/>
                  <w:noWrap/>
                  <w:vAlign w:val="center"/>
                </w:tcPr>
                <w:p w14:paraId="2E957C79">
                  <w:pPr>
                    <w:pStyle w:val="94"/>
                    <w:rPr>
                      <w:sz w:val="18"/>
                      <w:szCs w:val="18"/>
                    </w:rPr>
                  </w:pPr>
                  <w:r>
                    <w:rPr>
                      <w:rFonts w:hint="eastAsia"/>
                      <w:sz w:val="18"/>
                      <w:szCs w:val="18"/>
                    </w:rPr>
                    <w:t>400336.7</w:t>
                  </w:r>
                </w:p>
              </w:tc>
              <w:tc>
                <w:tcPr>
                  <w:tcW w:w="869" w:type="dxa"/>
                  <w:noWrap/>
                  <w:vAlign w:val="center"/>
                </w:tcPr>
                <w:p w14:paraId="37D4EB79">
                  <w:pPr>
                    <w:pStyle w:val="94"/>
                    <w:rPr>
                      <w:sz w:val="18"/>
                      <w:szCs w:val="18"/>
                    </w:rPr>
                  </w:pPr>
                  <w:r>
                    <w:rPr>
                      <w:rFonts w:hint="eastAsia"/>
                      <w:sz w:val="18"/>
                      <w:szCs w:val="18"/>
                    </w:rPr>
                    <w:t>7446.14</w:t>
                  </w:r>
                </w:p>
              </w:tc>
              <w:tc>
                <w:tcPr>
                  <w:tcW w:w="966" w:type="dxa"/>
                  <w:noWrap/>
                  <w:vAlign w:val="center"/>
                </w:tcPr>
                <w:p w14:paraId="7E5A5FAA">
                  <w:pPr>
                    <w:pStyle w:val="94"/>
                    <w:rPr>
                      <w:sz w:val="18"/>
                      <w:szCs w:val="18"/>
                    </w:rPr>
                  </w:pPr>
                  <w:r>
                    <w:rPr>
                      <w:rFonts w:hint="eastAsia"/>
                      <w:sz w:val="18"/>
                      <w:szCs w:val="18"/>
                    </w:rPr>
                    <w:t>407782.9</w:t>
                  </w:r>
                </w:p>
              </w:tc>
              <w:tc>
                <w:tcPr>
                  <w:tcW w:w="966" w:type="dxa"/>
                  <w:noWrap/>
                  <w:vAlign w:val="center"/>
                </w:tcPr>
                <w:p w14:paraId="6C14ED5F">
                  <w:pPr>
                    <w:pStyle w:val="94"/>
                    <w:rPr>
                      <w:sz w:val="18"/>
                      <w:szCs w:val="18"/>
                    </w:rPr>
                  </w:pPr>
                  <w:r>
                    <w:rPr>
                      <w:rFonts w:hint="eastAsia"/>
                      <w:sz w:val="18"/>
                      <w:szCs w:val="18"/>
                    </w:rPr>
                    <w:t>400336.7</w:t>
                  </w:r>
                </w:p>
              </w:tc>
              <w:tc>
                <w:tcPr>
                  <w:tcW w:w="869" w:type="dxa"/>
                  <w:noWrap/>
                  <w:vAlign w:val="center"/>
                </w:tcPr>
                <w:p w14:paraId="79E35603">
                  <w:pPr>
                    <w:pStyle w:val="94"/>
                    <w:rPr>
                      <w:sz w:val="18"/>
                      <w:szCs w:val="18"/>
                    </w:rPr>
                  </w:pPr>
                  <w:r>
                    <w:rPr>
                      <w:rFonts w:hint="eastAsia"/>
                      <w:sz w:val="18"/>
                      <w:szCs w:val="18"/>
                    </w:rPr>
                    <w:t>7446.14</w:t>
                  </w:r>
                </w:p>
              </w:tc>
              <w:tc>
                <w:tcPr>
                  <w:tcW w:w="578" w:type="dxa"/>
                  <w:noWrap/>
                  <w:vAlign w:val="center"/>
                </w:tcPr>
                <w:p w14:paraId="21679EB6">
                  <w:pPr>
                    <w:pStyle w:val="94"/>
                    <w:rPr>
                      <w:sz w:val="18"/>
                      <w:szCs w:val="18"/>
                    </w:rPr>
                  </w:pPr>
                  <w:r>
                    <w:rPr>
                      <w:rFonts w:hint="eastAsia"/>
                      <w:sz w:val="18"/>
                      <w:szCs w:val="18"/>
                    </w:rPr>
                    <w:t>0</w:t>
                  </w:r>
                </w:p>
              </w:tc>
              <w:tc>
                <w:tcPr>
                  <w:tcW w:w="578" w:type="dxa"/>
                  <w:noWrap/>
                  <w:vAlign w:val="center"/>
                </w:tcPr>
                <w:p w14:paraId="1F407C11">
                  <w:pPr>
                    <w:pStyle w:val="94"/>
                    <w:rPr>
                      <w:sz w:val="18"/>
                      <w:szCs w:val="18"/>
                    </w:rPr>
                  </w:pPr>
                  <w:r>
                    <w:rPr>
                      <w:rFonts w:hint="eastAsia"/>
                      <w:sz w:val="18"/>
                      <w:szCs w:val="18"/>
                    </w:rPr>
                    <w:t>0</w:t>
                  </w:r>
                </w:p>
              </w:tc>
            </w:tr>
            <w:tr w14:paraId="7FA94A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966" w:type="dxa"/>
                  <w:noWrap/>
                  <w:vAlign w:val="center"/>
                </w:tcPr>
                <w:p w14:paraId="60E001AB">
                  <w:pPr>
                    <w:pStyle w:val="94"/>
                    <w:rPr>
                      <w:sz w:val="18"/>
                      <w:szCs w:val="18"/>
                    </w:rPr>
                  </w:pPr>
                  <w:r>
                    <w:rPr>
                      <w:rFonts w:hint="eastAsia"/>
                      <w:sz w:val="18"/>
                      <w:szCs w:val="18"/>
                    </w:rPr>
                    <w:t>LXD3-14</w:t>
                  </w:r>
                </w:p>
              </w:tc>
              <w:tc>
                <w:tcPr>
                  <w:tcW w:w="966" w:type="dxa"/>
                  <w:noWrap/>
                  <w:vAlign w:val="center"/>
                </w:tcPr>
                <w:p w14:paraId="0CACE6A0">
                  <w:pPr>
                    <w:pStyle w:val="94"/>
                    <w:rPr>
                      <w:sz w:val="18"/>
                      <w:szCs w:val="18"/>
                    </w:rPr>
                  </w:pPr>
                  <w:r>
                    <w:rPr>
                      <w:rFonts w:hint="eastAsia"/>
                      <w:sz w:val="18"/>
                      <w:szCs w:val="18"/>
                    </w:rPr>
                    <w:t>216647.9</w:t>
                  </w:r>
                </w:p>
              </w:tc>
              <w:tc>
                <w:tcPr>
                  <w:tcW w:w="966" w:type="dxa"/>
                  <w:noWrap/>
                  <w:vAlign w:val="center"/>
                </w:tcPr>
                <w:p w14:paraId="60183202">
                  <w:pPr>
                    <w:pStyle w:val="94"/>
                    <w:rPr>
                      <w:sz w:val="18"/>
                      <w:szCs w:val="18"/>
                    </w:rPr>
                  </w:pPr>
                  <w:r>
                    <w:rPr>
                      <w:rFonts w:hint="eastAsia"/>
                      <w:sz w:val="18"/>
                      <w:szCs w:val="18"/>
                    </w:rPr>
                    <w:t>108324</w:t>
                  </w:r>
                </w:p>
              </w:tc>
              <w:tc>
                <w:tcPr>
                  <w:tcW w:w="966" w:type="dxa"/>
                  <w:noWrap/>
                  <w:vAlign w:val="center"/>
                </w:tcPr>
                <w:p w14:paraId="1B43652C">
                  <w:pPr>
                    <w:pStyle w:val="94"/>
                    <w:rPr>
                      <w:sz w:val="18"/>
                      <w:szCs w:val="18"/>
                    </w:rPr>
                  </w:pPr>
                  <w:r>
                    <w:rPr>
                      <w:rFonts w:hint="eastAsia"/>
                      <w:sz w:val="18"/>
                      <w:szCs w:val="18"/>
                    </w:rPr>
                    <w:t>105490</w:t>
                  </w:r>
                </w:p>
              </w:tc>
              <w:tc>
                <w:tcPr>
                  <w:tcW w:w="869" w:type="dxa"/>
                  <w:noWrap/>
                  <w:vAlign w:val="center"/>
                </w:tcPr>
                <w:p w14:paraId="038D18C9">
                  <w:pPr>
                    <w:pStyle w:val="94"/>
                    <w:rPr>
                      <w:sz w:val="18"/>
                      <w:szCs w:val="18"/>
                    </w:rPr>
                  </w:pPr>
                  <w:r>
                    <w:rPr>
                      <w:rFonts w:hint="eastAsia"/>
                      <w:sz w:val="18"/>
                      <w:szCs w:val="18"/>
                    </w:rPr>
                    <w:t>2834.01</w:t>
                  </w:r>
                </w:p>
              </w:tc>
              <w:tc>
                <w:tcPr>
                  <w:tcW w:w="966" w:type="dxa"/>
                  <w:noWrap/>
                  <w:vAlign w:val="center"/>
                </w:tcPr>
                <w:p w14:paraId="56FC9BA7">
                  <w:pPr>
                    <w:pStyle w:val="94"/>
                    <w:rPr>
                      <w:sz w:val="18"/>
                      <w:szCs w:val="18"/>
                    </w:rPr>
                  </w:pPr>
                  <w:r>
                    <w:rPr>
                      <w:rFonts w:hint="eastAsia"/>
                      <w:sz w:val="18"/>
                      <w:szCs w:val="18"/>
                    </w:rPr>
                    <w:t>108324</w:t>
                  </w:r>
                </w:p>
              </w:tc>
              <w:tc>
                <w:tcPr>
                  <w:tcW w:w="966" w:type="dxa"/>
                  <w:noWrap/>
                  <w:vAlign w:val="center"/>
                </w:tcPr>
                <w:p w14:paraId="33EC3E32">
                  <w:pPr>
                    <w:pStyle w:val="94"/>
                    <w:rPr>
                      <w:sz w:val="18"/>
                      <w:szCs w:val="18"/>
                    </w:rPr>
                  </w:pPr>
                  <w:r>
                    <w:rPr>
                      <w:rFonts w:hint="eastAsia"/>
                      <w:sz w:val="18"/>
                      <w:szCs w:val="18"/>
                    </w:rPr>
                    <w:t>105490</w:t>
                  </w:r>
                </w:p>
              </w:tc>
              <w:tc>
                <w:tcPr>
                  <w:tcW w:w="869" w:type="dxa"/>
                  <w:noWrap/>
                  <w:vAlign w:val="center"/>
                </w:tcPr>
                <w:p w14:paraId="091AC68E">
                  <w:pPr>
                    <w:pStyle w:val="94"/>
                    <w:rPr>
                      <w:sz w:val="18"/>
                      <w:szCs w:val="18"/>
                    </w:rPr>
                  </w:pPr>
                  <w:r>
                    <w:rPr>
                      <w:rFonts w:hint="eastAsia"/>
                      <w:sz w:val="18"/>
                      <w:szCs w:val="18"/>
                    </w:rPr>
                    <w:t>2834.01</w:t>
                  </w:r>
                </w:p>
              </w:tc>
              <w:tc>
                <w:tcPr>
                  <w:tcW w:w="578" w:type="dxa"/>
                  <w:noWrap/>
                  <w:vAlign w:val="center"/>
                </w:tcPr>
                <w:p w14:paraId="633FE683">
                  <w:pPr>
                    <w:pStyle w:val="94"/>
                    <w:rPr>
                      <w:sz w:val="18"/>
                      <w:szCs w:val="18"/>
                    </w:rPr>
                  </w:pPr>
                  <w:r>
                    <w:rPr>
                      <w:rFonts w:hint="eastAsia"/>
                      <w:sz w:val="18"/>
                      <w:szCs w:val="18"/>
                    </w:rPr>
                    <w:t>0</w:t>
                  </w:r>
                </w:p>
              </w:tc>
              <w:tc>
                <w:tcPr>
                  <w:tcW w:w="578" w:type="dxa"/>
                  <w:noWrap/>
                  <w:vAlign w:val="center"/>
                </w:tcPr>
                <w:p w14:paraId="257B20E2">
                  <w:pPr>
                    <w:pStyle w:val="94"/>
                    <w:rPr>
                      <w:sz w:val="18"/>
                      <w:szCs w:val="18"/>
                    </w:rPr>
                  </w:pPr>
                  <w:r>
                    <w:rPr>
                      <w:rFonts w:hint="eastAsia"/>
                      <w:sz w:val="18"/>
                      <w:szCs w:val="18"/>
                    </w:rPr>
                    <w:t>0</w:t>
                  </w:r>
                </w:p>
              </w:tc>
            </w:tr>
            <w:tr w14:paraId="230582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966" w:type="dxa"/>
                  <w:noWrap/>
                  <w:vAlign w:val="center"/>
                </w:tcPr>
                <w:p w14:paraId="1C8EA205">
                  <w:pPr>
                    <w:pStyle w:val="94"/>
                    <w:rPr>
                      <w:sz w:val="18"/>
                      <w:szCs w:val="18"/>
                    </w:rPr>
                  </w:pPr>
                  <w:r>
                    <w:rPr>
                      <w:rFonts w:hint="eastAsia"/>
                      <w:sz w:val="18"/>
                      <w:szCs w:val="18"/>
                    </w:rPr>
                    <w:t>LXD1-18</w:t>
                  </w:r>
                </w:p>
              </w:tc>
              <w:tc>
                <w:tcPr>
                  <w:tcW w:w="966" w:type="dxa"/>
                  <w:noWrap/>
                  <w:vAlign w:val="center"/>
                </w:tcPr>
                <w:p w14:paraId="26EA6A5E">
                  <w:pPr>
                    <w:pStyle w:val="94"/>
                    <w:rPr>
                      <w:sz w:val="18"/>
                      <w:szCs w:val="18"/>
                    </w:rPr>
                  </w:pPr>
                  <w:r>
                    <w:rPr>
                      <w:rFonts w:hint="eastAsia"/>
                      <w:sz w:val="18"/>
                      <w:szCs w:val="18"/>
                    </w:rPr>
                    <w:t>42017.34</w:t>
                  </w:r>
                </w:p>
              </w:tc>
              <w:tc>
                <w:tcPr>
                  <w:tcW w:w="966" w:type="dxa"/>
                  <w:noWrap/>
                  <w:vAlign w:val="center"/>
                </w:tcPr>
                <w:p w14:paraId="09FF55BE">
                  <w:pPr>
                    <w:pStyle w:val="94"/>
                    <w:rPr>
                      <w:sz w:val="18"/>
                      <w:szCs w:val="18"/>
                    </w:rPr>
                  </w:pPr>
                  <w:r>
                    <w:rPr>
                      <w:rFonts w:hint="eastAsia"/>
                      <w:sz w:val="18"/>
                      <w:szCs w:val="18"/>
                    </w:rPr>
                    <w:t>21008.67</w:t>
                  </w:r>
                </w:p>
              </w:tc>
              <w:tc>
                <w:tcPr>
                  <w:tcW w:w="966" w:type="dxa"/>
                  <w:noWrap/>
                  <w:vAlign w:val="center"/>
                </w:tcPr>
                <w:p w14:paraId="23891957">
                  <w:pPr>
                    <w:pStyle w:val="94"/>
                    <w:rPr>
                      <w:sz w:val="18"/>
                      <w:szCs w:val="18"/>
                    </w:rPr>
                  </w:pPr>
                  <w:r>
                    <w:rPr>
                      <w:rFonts w:hint="eastAsia"/>
                      <w:sz w:val="18"/>
                      <w:szCs w:val="18"/>
                    </w:rPr>
                    <w:t>19335.93</w:t>
                  </w:r>
                </w:p>
              </w:tc>
              <w:tc>
                <w:tcPr>
                  <w:tcW w:w="869" w:type="dxa"/>
                  <w:noWrap/>
                  <w:vAlign w:val="center"/>
                </w:tcPr>
                <w:p w14:paraId="5D9DE4BD">
                  <w:pPr>
                    <w:pStyle w:val="94"/>
                    <w:rPr>
                      <w:sz w:val="18"/>
                      <w:szCs w:val="18"/>
                    </w:rPr>
                  </w:pPr>
                  <w:r>
                    <w:rPr>
                      <w:rFonts w:hint="eastAsia"/>
                      <w:sz w:val="18"/>
                      <w:szCs w:val="18"/>
                    </w:rPr>
                    <w:t>1672.74</w:t>
                  </w:r>
                </w:p>
              </w:tc>
              <w:tc>
                <w:tcPr>
                  <w:tcW w:w="966" w:type="dxa"/>
                  <w:noWrap/>
                  <w:vAlign w:val="center"/>
                </w:tcPr>
                <w:p w14:paraId="0D5D011A">
                  <w:pPr>
                    <w:pStyle w:val="94"/>
                    <w:rPr>
                      <w:sz w:val="18"/>
                      <w:szCs w:val="18"/>
                    </w:rPr>
                  </w:pPr>
                  <w:r>
                    <w:rPr>
                      <w:rFonts w:hint="eastAsia"/>
                      <w:sz w:val="18"/>
                      <w:szCs w:val="18"/>
                    </w:rPr>
                    <w:t>21008.67</w:t>
                  </w:r>
                </w:p>
              </w:tc>
              <w:tc>
                <w:tcPr>
                  <w:tcW w:w="966" w:type="dxa"/>
                  <w:noWrap/>
                  <w:vAlign w:val="center"/>
                </w:tcPr>
                <w:p w14:paraId="43FFFF23">
                  <w:pPr>
                    <w:pStyle w:val="94"/>
                    <w:rPr>
                      <w:sz w:val="18"/>
                      <w:szCs w:val="18"/>
                    </w:rPr>
                  </w:pPr>
                  <w:r>
                    <w:rPr>
                      <w:rFonts w:hint="eastAsia"/>
                      <w:sz w:val="18"/>
                      <w:szCs w:val="18"/>
                    </w:rPr>
                    <w:t>19335.93</w:t>
                  </w:r>
                </w:p>
              </w:tc>
              <w:tc>
                <w:tcPr>
                  <w:tcW w:w="869" w:type="dxa"/>
                  <w:noWrap/>
                  <w:vAlign w:val="center"/>
                </w:tcPr>
                <w:p w14:paraId="4EEBC080">
                  <w:pPr>
                    <w:pStyle w:val="94"/>
                    <w:rPr>
                      <w:sz w:val="18"/>
                      <w:szCs w:val="18"/>
                    </w:rPr>
                  </w:pPr>
                  <w:r>
                    <w:rPr>
                      <w:rFonts w:hint="eastAsia"/>
                      <w:sz w:val="18"/>
                      <w:szCs w:val="18"/>
                    </w:rPr>
                    <w:t>1672.74</w:t>
                  </w:r>
                </w:p>
              </w:tc>
              <w:tc>
                <w:tcPr>
                  <w:tcW w:w="578" w:type="dxa"/>
                  <w:noWrap/>
                  <w:vAlign w:val="center"/>
                </w:tcPr>
                <w:p w14:paraId="4544BFB9">
                  <w:pPr>
                    <w:pStyle w:val="94"/>
                    <w:rPr>
                      <w:sz w:val="18"/>
                      <w:szCs w:val="18"/>
                    </w:rPr>
                  </w:pPr>
                  <w:r>
                    <w:rPr>
                      <w:rFonts w:hint="eastAsia"/>
                      <w:sz w:val="18"/>
                      <w:szCs w:val="18"/>
                    </w:rPr>
                    <w:t>0</w:t>
                  </w:r>
                </w:p>
              </w:tc>
              <w:tc>
                <w:tcPr>
                  <w:tcW w:w="578" w:type="dxa"/>
                  <w:noWrap/>
                  <w:vAlign w:val="center"/>
                </w:tcPr>
                <w:p w14:paraId="797BF226">
                  <w:pPr>
                    <w:pStyle w:val="94"/>
                    <w:rPr>
                      <w:sz w:val="18"/>
                      <w:szCs w:val="18"/>
                    </w:rPr>
                  </w:pPr>
                  <w:r>
                    <w:rPr>
                      <w:rFonts w:hint="eastAsia"/>
                      <w:sz w:val="18"/>
                      <w:szCs w:val="18"/>
                    </w:rPr>
                    <w:t>0</w:t>
                  </w:r>
                </w:p>
              </w:tc>
            </w:tr>
            <w:tr w14:paraId="2AE978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966" w:type="dxa"/>
                  <w:noWrap/>
                  <w:vAlign w:val="center"/>
                </w:tcPr>
                <w:p w14:paraId="25761622">
                  <w:pPr>
                    <w:pStyle w:val="94"/>
                    <w:rPr>
                      <w:sz w:val="18"/>
                      <w:szCs w:val="18"/>
                    </w:rPr>
                  </w:pPr>
                  <w:r>
                    <w:rPr>
                      <w:rFonts w:hint="eastAsia"/>
                      <w:sz w:val="18"/>
                      <w:szCs w:val="18"/>
                    </w:rPr>
                    <w:t>LXDG-05</w:t>
                  </w:r>
                </w:p>
              </w:tc>
              <w:tc>
                <w:tcPr>
                  <w:tcW w:w="966" w:type="dxa"/>
                  <w:noWrap/>
                  <w:vAlign w:val="center"/>
                </w:tcPr>
                <w:p w14:paraId="3E3BDF08">
                  <w:pPr>
                    <w:pStyle w:val="94"/>
                    <w:rPr>
                      <w:sz w:val="18"/>
                      <w:szCs w:val="18"/>
                    </w:rPr>
                  </w:pPr>
                  <w:r>
                    <w:rPr>
                      <w:rFonts w:hint="eastAsia"/>
                      <w:sz w:val="18"/>
                      <w:szCs w:val="18"/>
                    </w:rPr>
                    <w:t>8712.06</w:t>
                  </w:r>
                </w:p>
              </w:tc>
              <w:tc>
                <w:tcPr>
                  <w:tcW w:w="966" w:type="dxa"/>
                  <w:noWrap/>
                  <w:vAlign w:val="center"/>
                </w:tcPr>
                <w:p w14:paraId="19E81717">
                  <w:pPr>
                    <w:pStyle w:val="94"/>
                    <w:rPr>
                      <w:sz w:val="18"/>
                      <w:szCs w:val="18"/>
                    </w:rPr>
                  </w:pPr>
                  <w:r>
                    <w:rPr>
                      <w:rFonts w:hint="eastAsia"/>
                      <w:sz w:val="18"/>
                      <w:szCs w:val="18"/>
                    </w:rPr>
                    <w:t>4356.03</w:t>
                  </w:r>
                </w:p>
              </w:tc>
              <w:tc>
                <w:tcPr>
                  <w:tcW w:w="966" w:type="dxa"/>
                  <w:noWrap/>
                  <w:vAlign w:val="center"/>
                </w:tcPr>
                <w:p w14:paraId="77CA9762">
                  <w:pPr>
                    <w:pStyle w:val="94"/>
                    <w:rPr>
                      <w:sz w:val="18"/>
                      <w:szCs w:val="18"/>
                    </w:rPr>
                  </w:pPr>
                  <w:r>
                    <w:rPr>
                      <w:rFonts w:hint="eastAsia"/>
                      <w:sz w:val="18"/>
                      <w:szCs w:val="18"/>
                    </w:rPr>
                    <w:t>3564.48</w:t>
                  </w:r>
                </w:p>
              </w:tc>
              <w:tc>
                <w:tcPr>
                  <w:tcW w:w="869" w:type="dxa"/>
                  <w:noWrap/>
                  <w:vAlign w:val="center"/>
                </w:tcPr>
                <w:p w14:paraId="321E7620">
                  <w:pPr>
                    <w:pStyle w:val="94"/>
                    <w:rPr>
                      <w:sz w:val="18"/>
                      <w:szCs w:val="18"/>
                    </w:rPr>
                  </w:pPr>
                  <w:r>
                    <w:rPr>
                      <w:rFonts w:hint="eastAsia"/>
                      <w:sz w:val="18"/>
                      <w:szCs w:val="18"/>
                    </w:rPr>
                    <w:t>791.55</w:t>
                  </w:r>
                </w:p>
              </w:tc>
              <w:tc>
                <w:tcPr>
                  <w:tcW w:w="966" w:type="dxa"/>
                  <w:noWrap/>
                  <w:vAlign w:val="center"/>
                </w:tcPr>
                <w:p w14:paraId="55A67647">
                  <w:pPr>
                    <w:pStyle w:val="94"/>
                    <w:rPr>
                      <w:sz w:val="18"/>
                      <w:szCs w:val="18"/>
                    </w:rPr>
                  </w:pPr>
                  <w:r>
                    <w:rPr>
                      <w:rFonts w:hint="eastAsia"/>
                      <w:sz w:val="18"/>
                      <w:szCs w:val="18"/>
                    </w:rPr>
                    <w:t>4356.03</w:t>
                  </w:r>
                </w:p>
              </w:tc>
              <w:tc>
                <w:tcPr>
                  <w:tcW w:w="966" w:type="dxa"/>
                  <w:noWrap/>
                  <w:vAlign w:val="center"/>
                </w:tcPr>
                <w:p w14:paraId="6E1454A9">
                  <w:pPr>
                    <w:pStyle w:val="94"/>
                    <w:rPr>
                      <w:sz w:val="18"/>
                      <w:szCs w:val="18"/>
                    </w:rPr>
                  </w:pPr>
                  <w:r>
                    <w:rPr>
                      <w:rFonts w:hint="eastAsia"/>
                      <w:sz w:val="18"/>
                      <w:szCs w:val="18"/>
                    </w:rPr>
                    <w:t>3564.48</w:t>
                  </w:r>
                </w:p>
              </w:tc>
              <w:tc>
                <w:tcPr>
                  <w:tcW w:w="869" w:type="dxa"/>
                  <w:noWrap/>
                  <w:vAlign w:val="center"/>
                </w:tcPr>
                <w:p w14:paraId="1D00D38E">
                  <w:pPr>
                    <w:pStyle w:val="94"/>
                    <w:rPr>
                      <w:sz w:val="18"/>
                      <w:szCs w:val="18"/>
                    </w:rPr>
                  </w:pPr>
                  <w:r>
                    <w:rPr>
                      <w:rFonts w:hint="eastAsia"/>
                      <w:sz w:val="18"/>
                      <w:szCs w:val="18"/>
                    </w:rPr>
                    <w:t>791.55</w:t>
                  </w:r>
                </w:p>
              </w:tc>
              <w:tc>
                <w:tcPr>
                  <w:tcW w:w="578" w:type="dxa"/>
                  <w:noWrap/>
                  <w:vAlign w:val="center"/>
                </w:tcPr>
                <w:p w14:paraId="43C0A150">
                  <w:pPr>
                    <w:pStyle w:val="94"/>
                    <w:rPr>
                      <w:sz w:val="18"/>
                      <w:szCs w:val="18"/>
                    </w:rPr>
                  </w:pPr>
                  <w:r>
                    <w:rPr>
                      <w:rFonts w:hint="eastAsia"/>
                      <w:sz w:val="18"/>
                      <w:szCs w:val="18"/>
                    </w:rPr>
                    <w:t>0</w:t>
                  </w:r>
                </w:p>
              </w:tc>
              <w:tc>
                <w:tcPr>
                  <w:tcW w:w="578" w:type="dxa"/>
                  <w:noWrap/>
                  <w:vAlign w:val="center"/>
                </w:tcPr>
                <w:p w14:paraId="4FF952C7">
                  <w:pPr>
                    <w:pStyle w:val="94"/>
                    <w:rPr>
                      <w:sz w:val="18"/>
                      <w:szCs w:val="18"/>
                    </w:rPr>
                  </w:pPr>
                  <w:r>
                    <w:rPr>
                      <w:rFonts w:hint="eastAsia"/>
                      <w:sz w:val="18"/>
                      <w:szCs w:val="18"/>
                    </w:rPr>
                    <w:t>0</w:t>
                  </w:r>
                </w:p>
              </w:tc>
            </w:tr>
            <w:tr w14:paraId="7E6C79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966" w:type="dxa"/>
                  <w:noWrap/>
                  <w:vAlign w:val="center"/>
                </w:tcPr>
                <w:p w14:paraId="59C1C3E2">
                  <w:pPr>
                    <w:pStyle w:val="94"/>
                    <w:rPr>
                      <w:sz w:val="18"/>
                      <w:szCs w:val="18"/>
                    </w:rPr>
                  </w:pPr>
                  <w:r>
                    <w:rPr>
                      <w:rFonts w:hint="eastAsia"/>
                      <w:sz w:val="18"/>
                      <w:szCs w:val="18"/>
                    </w:rPr>
                    <w:t>LXD5-22</w:t>
                  </w:r>
                </w:p>
              </w:tc>
              <w:tc>
                <w:tcPr>
                  <w:tcW w:w="966" w:type="dxa"/>
                  <w:noWrap/>
                  <w:vAlign w:val="center"/>
                </w:tcPr>
                <w:p w14:paraId="7984A411">
                  <w:pPr>
                    <w:pStyle w:val="94"/>
                    <w:rPr>
                      <w:sz w:val="18"/>
                      <w:szCs w:val="18"/>
                    </w:rPr>
                  </w:pPr>
                  <w:r>
                    <w:rPr>
                      <w:rFonts w:hint="eastAsia"/>
                      <w:sz w:val="18"/>
                      <w:szCs w:val="18"/>
                    </w:rPr>
                    <w:t>46647.6</w:t>
                  </w:r>
                </w:p>
              </w:tc>
              <w:tc>
                <w:tcPr>
                  <w:tcW w:w="966" w:type="dxa"/>
                  <w:noWrap/>
                  <w:vAlign w:val="center"/>
                </w:tcPr>
                <w:p w14:paraId="709720C0">
                  <w:pPr>
                    <w:pStyle w:val="94"/>
                    <w:rPr>
                      <w:sz w:val="18"/>
                      <w:szCs w:val="18"/>
                    </w:rPr>
                  </w:pPr>
                  <w:r>
                    <w:rPr>
                      <w:rFonts w:hint="eastAsia"/>
                      <w:sz w:val="18"/>
                      <w:szCs w:val="18"/>
                    </w:rPr>
                    <w:t>23323.8</w:t>
                  </w:r>
                </w:p>
              </w:tc>
              <w:tc>
                <w:tcPr>
                  <w:tcW w:w="966" w:type="dxa"/>
                  <w:noWrap/>
                  <w:vAlign w:val="center"/>
                </w:tcPr>
                <w:p w14:paraId="70D05A43">
                  <w:pPr>
                    <w:pStyle w:val="94"/>
                    <w:rPr>
                      <w:sz w:val="18"/>
                      <w:szCs w:val="18"/>
                    </w:rPr>
                  </w:pPr>
                  <w:r>
                    <w:rPr>
                      <w:rFonts w:hint="eastAsia"/>
                      <w:sz w:val="18"/>
                      <w:szCs w:val="18"/>
                    </w:rPr>
                    <w:t>21681.03</w:t>
                  </w:r>
                </w:p>
              </w:tc>
              <w:tc>
                <w:tcPr>
                  <w:tcW w:w="869" w:type="dxa"/>
                  <w:noWrap/>
                  <w:vAlign w:val="center"/>
                </w:tcPr>
                <w:p w14:paraId="0423A791">
                  <w:pPr>
                    <w:pStyle w:val="94"/>
                    <w:rPr>
                      <w:sz w:val="18"/>
                      <w:szCs w:val="18"/>
                    </w:rPr>
                  </w:pPr>
                  <w:r>
                    <w:rPr>
                      <w:rFonts w:hint="eastAsia"/>
                      <w:sz w:val="18"/>
                      <w:szCs w:val="18"/>
                    </w:rPr>
                    <w:t>1642.77</w:t>
                  </w:r>
                </w:p>
              </w:tc>
              <w:tc>
                <w:tcPr>
                  <w:tcW w:w="966" w:type="dxa"/>
                  <w:noWrap/>
                  <w:vAlign w:val="center"/>
                </w:tcPr>
                <w:p w14:paraId="66E01674">
                  <w:pPr>
                    <w:pStyle w:val="94"/>
                    <w:rPr>
                      <w:sz w:val="18"/>
                      <w:szCs w:val="18"/>
                    </w:rPr>
                  </w:pPr>
                  <w:r>
                    <w:rPr>
                      <w:rFonts w:hint="eastAsia"/>
                      <w:sz w:val="18"/>
                      <w:szCs w:val="18"/>
                    </w:rPr>
                    <w:t>23323.8</w:t>
                  </w:r>
                </w:p>
              </w:tc>
              <w:tc>
                <w:tcPr>
                  <w:tcW w:w="966" w:type="dxa"/>
                  <w:noWrap/>
                  <w:vAlign w:val="center"/>
                </w:tcPr>
                <w:p w14:paraId="3DCA437F">
                  <w:pPr>
                    <w:pStyle w:val="94"/>
                    <w:rPr>
                      <w:sz w:val="18"/>
                      <w:szCs w:val="18"/>
                    </w:rPr>
                  </w:pPr>
                  <w:r>
                    <w:rPr>
                      <w:rFonts w:hint="eastAsia"/>
                      <w:sz w:val="18"/>
                      <w:szCs w:val="18"/>
                    </w:rPr>
                    <w:t>21681.03</w:t>
                  </w:r>
                </w:p>
              </w:tc>
              <w:tc>
                <w:tcPr>
                  <w:tcW w:w="869" w:type="dxa"/>
                  <w:noWrap/>
                  <w:vAlign w:val="center"/>
                </w:tcPr>
                <w:p w14:paraId="138C336F">
                  <w:pPr>
                    <w:pStyle w:val="94"/>
                    <w:rPr>
                      <w:sz w:val="18"/>
                      <w:szCs w:val="18"/>
                    </w:rPr>
                  </w:pPr>
                  <w:r>
                    <w:rPr>
                      <w:rFonts w:hint="eastAsia"/>
                      <w:sz w:val="18"/>
                      <w:szCs w:val="18"/>
                    </w:rPr>
                    <w:t>1642.77</w:t>
                  </w:r>
                </w:p>
              </w:tc>
              <w:tc>
                <w:tcPr>
                  <w:tcW w:w="578" w:type="dxa"/>
                  <w:noWrap/>
                  <w:vAlign w:val="center"/>
                </w:tcPr>
                <w:p w14:paraId="049DEA11">
                  <w:pPr>
                    <w:pStyle w:val="94"/>
                    <w:rPr>
                      <w:sz w:val="18"/>
                      <w:szCs w:val="18"/>
                    </w:rPr>
                  </w:pPr>
                  <w:r>
                    <w:rPr>
                      <w:rFonts w:hint="eastAsia"/>
                      <w:sz w:val="18"/>
                      <w:szCs w:val="18"/>
                    </w:rPr>
                    <w:t>0</w:t>
                  </w:r>
                </w:p>
              </w:tc>
              <w:tc>
                <w:tcPr>
                  <w:tcW w:w="578" w:type="dxa"/>
                  <w:noWrap/>
                  <w:vAlign w:val="center"/>
                </w:tcPr>
                <w:p w14:paraId="39293F41">
                  <w:pPr>
                    <w:pStyle w:val="94"/>
                    <w:rPr>
                      <w:sz w:val="18"/>
                      <w:szCs w:val="18"/>
                    </w:rPr>
                  </w:pPr>
                  <w:r>
                    <w:rPr>
                      <w:rFonts w:hint="eastAsia"/>
                      <w:sz w:val="18"/>
                      <w:szCs w:val="18"/>
                    </w:rPr>
                    <w:t>0</w:t>
                  </w:r>
                </w:p>
              </w:tc>
            </w:tr>
            <w:tr w14:paraId="5986DD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966" w:type="dxa"/>
                  <w:noWrap/>
                  <w:vAlign w:val="center"/>
                </w:tcPr>
                <w:p w14:paraId="227D277F">
                  <w:pPr>
                    <w:pStyle w:val="94"/>
                    <w:rPr>
                      <w:sz w:val="18"/>
                      <w:szCs w:val="18"/>
                    </w:rPr>
                  </w:pPr>
                  <w:r>
                    <w:rPr>
                      <w:rFonts w:hint="eastAsia"/>
                      <w:sz w:val="18"/>
                      <w:szCs w:val="18"/>
                    </w:rPr>
                    <w:t>LXD5-26</w:t>
                  </w:r>
                </w:p>
              </w:tc>
              <w:tc>
                <w:tcPr>
                  <w:tcW w:w="966" w:type="dxa"/>
                  <w:noWrap/>
                  <w:vAlign w:val="center"/>
                </w:tcPr>
                <w:p w14:paraId="3660F573">
                  <w:pPr>
                    <w:pStyle w:val="94"/>
                    <w:rPr>
                      <w:sz w:val="18"/>
                      <w:szCs w:val="18"/>
                    </w:rPr>
                  </w:pPr>
                  <w:r>
                    <w:rPr>
                      <w:rFonts w:hint="eastAsia"/>
                      <w:sz w:val="18"/>
                      <w:szCs w:val="18"/>
                    </w:rPr>
                    <w:t>37563.32</w:t>
                  </w:r>
                </w:p>
              </w:tc>
              <w:tc>
                <w:tcPr>
                  <w:tcW w:w="966" w:type="dxa"/>
                  <w:noWrap/>
                  <w:vAlign w:val="center"/>
                </w:tcPr>
                <w:p w14:paraId="40B50D1A">
                  <w:pPr>
                    <w:pStyle w:val="94"/>
                    <w:rPr>
                      <w:sz w:val="18"/>
                      <w:szCs w:val="18"/>
                    </w:rPr>
                  </w:pPr>
                  <w:r>
                    <w:rPr>
                      <w:rFonts w:hint="eastAsia"/>
                      <w:sz w:val="18"/>
                      <w:szCs w:val="18"/>
                    </w:rPr>
                    <w:t>18781.66</w:t>
                  </w:r>
                </w:p>
              </w:tc>
              <w:tc>
                <w:tcPr>
                  <w:tcW w:w="966" w:type="dxa"/>
                  <w:noWrap/>
                  <w:vAlign w:val="center"/>
                </w:tcPr>
                <w:p w14:paraId="7CC46D7E">
                  <w:pPr>
                    <w:pStyle w:val="94"/>
                    <w:rPr>
                      <w:sz w:val="18"/>
                      <w:szCs w:val="18"/>
                    </w:rPr>
                  </w:pPr>
                  <w:r>
                    <w:rPr>
                      <w:rFonts w:hint="eastAsia"/>
                      <w:sz w:val="18"/>
                      <w:szCs w:val="18"/>
                    </w:rPr>
                    <w:t>17165.89</w:t>
                  </w:r>
                </w:p>
              </w:tc>
              <w:tc>
                <w:tcPr>
                  <w:tcW w:w="869" w:type="dxa"/>
                  <w:noWrap/>
                  <w:vAlign w:val="center"/>
                </w:tcPr>
                <w:p w14:paraId="16A96CD1">
                  <w:pPr>
                    <w:pStyle w:val="94"/>
                    <w:rPr>
                      <w:sz w:val="18"/>
                      <w:szCs w:val="18"/>
                    </w:rPr>
                  </w:pPr>
                  <w:r>
                    <w:rPr>
                      <w:rFonts w:hint="eastAsia"/>
                      <w:sz w:val="18"/>
                      <w:szCs w:val="18"/>
                    </w:rPr>
                    <w:t>1615.77</w:t>
                  </w:r>
                </w:p>
              </w:tc>
              <w:tc>
                <w:tcPr>
                  <w:tcW w:w="966" w:type="dxa"/>
                  <w:noWrap/>
                  <w:vAlign w:val="center"/>
                </w:tcPr>
                <w:p w14:paraId="7CC05315">
                  <w:pPr>
                    <w:pStyle w:val="94"/>
                    <w:rPr>
                      <w:sz w:val="18"/>
                      <w:szCs w:val="18"/>
                    </w:rPr>
                  </w:pPr>
                  <w:r>
                    <w:rPr>
                      <w:rFonts w:hint="eastAsia"/>
                      <w:sz w:val="18"/>
                      <w:szCs w:val="18"/>
                    </w:rPr>
                    <w:t>18781.66</w:t>
                  </w:r>
                </w:p>
              </w:tc>
              <w:tc>
                <w:tcPr>
                  <w:tcW w:w="966" w:type="dxa"/>
                  <w:noWrap/>
                  <w:vAlign w:val="center"/>
                </w:tcPr>
                <w:p w14:paraId="79403F91">
                  <w:pPr>
                    <w:pStyle w:val="94"/>
                    <w:rPr>
                      <w:sz w:val="18"/>
                      <w:szCs w:val="18"/>
                    </w:rPr>
                  </w:pPr>
                  <w:r>
                    <w:rPr>
                      <w:rFonts w:hint="eastAsia"/>
                      <w:sz w:val="18"/>
                      <w:szCs w:val="18"/>
                    </w:rPr>
                    <w:t>17165.89</w:t>
                  </w:r>
                </w:p>
              </w:tc>
              <w:tc>
                <w:tcPr>
                  <w:tcW w:w="869" w:type="dxa"/>
                  <w:noWrap/>
                  <w:vAlign w:val="center"/>
                </w:tcPr>
                <w:p w14:paraId="30D39018">
                  <w:pPr>
                    <w:pStyle w:val="94"/>
                    <w:rPr>
                      <w:sz w:val="18"/>
                      <w:szCs w:val="18"/>
                    </w:rPr>
                  </w:pPr>
                  <w:r>
                    <w:rPr>
                      <w:rFonts w:hint="eastAsia"/>
                      <w:sz w:val="18"/>
                      <w:szCs w:val="18"/>
                    </w:rPr>
                    <w:t>1615.77</w:t>
                  </w:r>
                </w:p>
              </w:tc>
              <w:tc>
                <w:tcPr>
                  <w:tcW w:w="578" w:type="dxa"/>
                  <w:noWrap/>
                  <w:vAlign w:val="center"/>
                </w:tcPr>
                <w:p w14:paraId="3F4BAA48">
                  <w:pPr>
                    <w:pStyle w:val="94"/>
                    <w:rPr>
                      <w:sz w:val="18"/>
                      <w:szCs w:val="18"/>
                    </w:rPr>
                  </w:pPr>
                  <w:r>
                    <w:rPr>
                      <w:rFonts w:hint="eastAsia"/>
                      <w:sz w:val="18"/>
                      <w:szCs w:val="18"/>
                    </w:rPr>
                    <w:t>0</w:t>
                  </w:r>
                </w:p>
              </w:tc>
              <w:tc>
                <w:tcPr>
                  <w:tcW w:w="578" w:type="dxa"/>
                  <w:noWrap/>
                  <w:vAlign w:val="center"/>
                </w:tcPr>
                <w:p w14:paraId="54D06386">
                  <w:pPr>
                    <w:pStyle w:val="94"/>
                    <w:rPr>
                      <w:sz w:val="18"/>
                      <w:szCs w:val="18"/>
                    </w:rPr>
                  </w:pPr>
                  <w:r>
                    <w:rPr>
                      <w:rFonts w:hint="eastAsia"/>
                      <w:sz w:val="18"/>
                      <w:szCs w:val="18"/>
                    </w:rPr>
                    <w:t>0</w:t>
                  </w:r>
                </w:p>
              </w:tc>
            </w:tr>
            <w:tr w14:paraId="256662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966" w:type="dxa"/>
                  <w:noWrap/>
                  <w:vAlign w:val="center"/>
                </w:tcPr>
                <w:p w14:paraId="25EF3EB3">
                  <w:pPr>
                    <w:pStyle w:val="94"/>
                    <w:rPr>
                      <w:sz w:val="18"/>
                      <w:szCs w:val="18"/>
                    </w:rPr>
                  </w:pPr>
                  <w:r>
                    <w:rPr>
                      <w:rFonts w:hint="eastAsia"/>
                      <w:sz w:val="18"/>
                      <w:szCs w:val="18"/>
                    </w:rPr>
                    <w:t>LXD7-20</w:t>
                  </w:r>
                </w:p>
              </w:tc>
              <w:tc>
                <w:tcPr>
                  <w:tcW w:w="966" w:type="dxa"/>
                  <w:noWrap/>
                  <w:vAlign w:val="center"/>
                </w:tcPr>
                <w:p w14:paraId="66451AE3">
                  <w:pPr>
                    <w:pStyle w:val="94"/>
                    <w:rPr>
                      <w:sz w:val="18"/>
                      <w:szCs w:val="18"/>
                    </w:rPr>
                  </w:pPr>
                  <w:r>
                    <w:rPr>
                      <w:rFonts w:hint="eastAsia"/>
                      <w:sz w:val="18"/>
                      <w:szCs w:val="18"/>
                    </w:rPr>
                    <w:t>37639.4</w:t>
                  </w:r>
                </w:p>
              </w:tc>
              <w:tc>
                <w:tcPr>
                  <w:tcW w:w="966" w:type="dxa"/>
                  <w:noWrap/>
                  <w:vAlign w:val="center"/>
                </w:tcPr>
                <w:p w14:paraId="042569B5">
                  <w:pPr>
                    <w:pStyle w:val="94"/>
                    <w:rPr>
                      <w:sz w:val="18"/>
                      <w:szCs w:val="18"/>
                    </w:rPr>
                  </w:pPr>
                  <w:r>
                    <w:rPr>
                      <w:rFonts w:hint="eastAsia"/>
                      <w:sz w:val="18"/>
                      <w:szCs w:val="18"/>
                    </w:rPr>
                    <w:t>18819.7</w:t>
                  </w:r>
                </w:p>
              </w:tc>
              <w:tc>
                <w:tcPr>
                  <w:tcW w:w="966" w:type="dxa"/>
                  <w:noWrap/>
                  <w:vAlign w:val="center"/>
                </w:tcPr>
                <w:p w14:paraId="2A55062B">
                  <w:pPr>
                    <w:pStyle w:val="94"/>
                    <w:rPr>
                      <w:sz w:val="18"/>
                      <w:szCs w:val="18"/>
                    </w:rPr>
                  </w:pPr>
                  <w:r>
                    <w:rPr>
                      <w:rFonts w:hint="eastAsia"/>
                      <w:sz w:val="18"/>
                      <w:szCs w:val="18"/>
                    </w:rPr>
                    <w:t>17847.24</w:t>
                  </w:r>
                </w:p>
              </w:tc>
              <w:tc>
                <w:tcPr>
                  <w:tcW w:w="869" w:type="dxa"/>
                  <w:noWrap/>
                  <w:vAlign w:val="center"/>
                </w:tcPr>
                <w:p w14:paraId="1ADA690E">
                  <w:pPr>
                    <w:pStyle w:val="94"/>
                    <w:rPr>
                      <w:sz w:val="18"/>
                      <w:szCs w:val="18"/>
                    </w:rPr>
                  </w:pPr>
                  <w:r>
                    <w:rPr>
                      <w:rFonts w:hint="eastAsia"/>
                      <w:sz w:val="18"/>
                      <w:szCs w:val="18"/>
                    </w:rPr>
                    <w:t>972.46</w:t>
                  </w:r>
                </w:p>
              </w:tc>
              <w:tc>
                <w:tcPr>
                  <w:tcW w:w="966" w:type="dxa"/>
                  <w:noWrap/>
                  <w:vAlign w:val="center"/>
                </w:tcPr>
                <w:p w14:paraId="47FCF1DC">
                  <w:pPr>
                    <w:pStyle w:val="94"/>
                    <w:rPr>
                      <w:sz w:val="18"/>
                      <w:szCs w:val="18"/>
                    </w:rPr>
                  </w:pPr>
                  <w:r>
                    <w:rPr>
                      <w:rFonts w:hint="eastAsia"/>
                      <w:sz w:val="18"/>
                      <w:szCs w:val="18"/>
                    </w:rPr>
                    <w:t>18819.7</w:t>
                  </w:r>
                </w:p>
              </w:tc>
              <w:tc>
                <w:tcPr>
                  <w:tcW w:w="966" w:type="dxa"/>
                  <w:noWrap/>
                  <w:vAlign w:val="center"/>
                </w:tcPr>
                <w:p w14:paraId="4DD77277">
                  <w:pPr>
                    <w:pStyle w:val="94"/>
                    <w:rPr>
                      <w:sz w:val="18"/>
                      <w:szCs w:val="18"/>
                    </w:rPr>
                  </w:pPr>
                  <w:r>
                    <w:rPr>
                      <w:rFonts w:hint="eastAsia"/>
                      <w:sz w:val="18"/>
                      <w:szCs w:val="18"/>
                    </w:rPr>
                    <w:t>17847.24</w:t>
                  </w:r>
                </w:p>
              </w:tc>
              <w:tc>
                <w:tcPr>
                  <w:tcW w:w="869" w:type="dxa"/>
                  <w:noWrap/>
                  <w:vAlign w:val="center"/>
                </w:tcPr>
                <w:p w14:paraId="5D4F2E7F">
                  <w:pPr>
                    <w:pStyle w:val="94"/>
                    <w:rPr>
                      <w:sz w:val="18"/>
                      <w:szCs w:val="18"/>
                    </w:rPr>
                  </w:pPr>
                  <w:r>
                    <w:rPr>
                      <w:rFonts w:hint="eastAsia"/>
                      <w:sz w:val="18"/>
                      <w:szCs w:val="18"/>
                    </w:rPr>
                    <w:t>972.46</w:t>
                  </w:r>
                </w:p>
              </w:tc>
              <w:tc>
                <w:tcPr>
                  <w:tcW w:w="578" w:type="dxa"/>
                  <w:noWrap/>
                  <w:vAlign w:val="center"/>
                </w:tcPr>
                <w:p w14:paraId="41B7B439">
                  <w:pPr>
                    <w:pStyle w:val="94"/>
                    <w:rPr>
                      <w:sz w:val="18"/>
                      <w:szCs w:val="18"/>
                    </w:rPr>
                  </w:pPr>
                  <w:r>
                    <w:rPr>
                      <w:rFonts w:hint="eastAsia"/>
                      <w:sz w:val="18"/>
                      <w:szCs w:val="18"/>
                    </w:rPr>
                    <w:t>0</w:t>
                  </w:r>
                </w:p>
              </w:tc>
              <w:tc>
                <w:tcPr>
                  <w:tcW w:w="578" w:type="dxa"/>
                  <w:noWrap/>
                  <w:vAlign w:val="center"/>
                </w:tcPr>
                <w:p w14:paraId="3F89D2BD">
                  <w:pPr>
                    <w:pStyle w:val="94"/>
                    <w:rPr>
                      <w:sz w:val="18"/>
                      <w:szCs w:val="18"/>
                    </w:rPr>
                  </w:pPr>
                  <w:r>
                    <w:rPr>
                      <w:rFonts w:hint="eastAsia"/>
                      <w:sz w:val="18"/>
                      <w:szCs w:val="18"/>
                    </w:rPr>
                    <w:t>0</w:t>
                  </w:r>
                </w:p>
              </w:tc>
            </w:tr>
            <w:tr w14:paraId="55337B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966" w:type="dxa"/>
                  <w:noWrap/>
                  <w:vAlign w:val="center"/>
                </w:tcPr>
                <w:p w14:paraId="63EE9FED">
                  <w:pPr>
                    <w:pStyle w:val="94"/>
                    <w:rPr>
                      <w:sz w:val="18"/>
                      <w:szCs w:val="18"/>
                    </w:rPr>
                  </w:pPr>
                  <w:r>
                    <w:rPr>
                      <w:rFonts w:hint="eastAsia"/>
                      <w:sz w:val="18"/>
                      <w:szCs w:val="18"/>
                    </w:rPr>
                    <w:t>LXD8-18</w:t>
                  </w:r>
                </w:p>
              </w:tc>
              <w:tc>
                <w:tcPr>
                  <w:tcW w:w="966" w:type="dxa"/>
                  <w:noWrap/>
                  <w:vAlign w:val="center"/>
                </w:tcPr>
                <w:p w14:paraId="547A21E9">
                  <w:pPr>
                    <w:pStyle w:val="94"/>
                    <w:rPr>
                      <w:sz w:val="18"/>
                      <w:szCs w:val="18"/>
                    </w:rPr>
                  </w:pPr>
                  <w:r>
                    <w:rPr>
                      <w:rFonts w:hint="eastAsia"/>
                      <w:sz w:val="18"/>
                      <w:szCs w:val="18"/>
                    </w:rPr>
                    <w:t>54420.52</w:t>
                  </w:r>
                </w:p>
              </w:tc>
              <w:tc>
                <w:tcPr>
                  <w:tcW w:w="966" w:type="dxa"/>
                  <w:noWrap/>
                  <w:vAlign w:val="center"/>
                </w:tcPr>
                <w:p w14:paraId="6C73C72D">
                  <w:pPr>
                    <w:pStyle w:val="94"/>
                    <w:rPr>
                      <w:sz w:val="18"/>
                      <w:szCs w:val="18"/>
                    </w:rPr>
                  </w:pPr>
                  <w:r>
                    <w:rPr>
                      <w:rFonts w:hint="eastAsia"/>
                      <w:sz w:val="18"/>
                      <w:szCs w:val="18"/>
                    </w:rPr>
                    <w:t>27210.26</w:t>
                  </w:r>
                </w:p>
              </w:tc>
              <w:tc>
                <w:tcPr>
                  <w:tcW w:w="966" w:type="dxa"/>
                  <w:noWrap/>
                  <w:vAlign w:val="center"/>
                </w:tcPr>
                <w:p w14:paraId="30ACF9E4">
                  <w:pPr>
                    <w:pStyle w:val="94"/>
                    <w:rPr>
                      <w:sz w:val="18"/>
                      <w:szCs w:val="18"/>
                    </w:rPr>
                  </w:pPr>
                  <w:r>
                    <w:rPr>
                      <w:rFonts w:hint="eastAsia"/>
                      <w:sz w:val="18"/>
                      <w:szCs w:val="18"/>
                    </w:rPr>
                    <w:t>25507.16</w:t>
                  </w:r>
                </w:p>
              </w:tc>
              <w:tc>
                <w:tcPr>
                  <w:tcW w:w="869" w:type="dxa"/>
                  <w:noWrap/>
                  <w:vAlign w:val="center"/>
                </w:tcPr>
                <w:p w14:paraId="76FB7312">
                  <w:pPr>
                    <w:pStyle w:val="94"/>
                    <w:rPr>
                      <w:sz w:val="18"/>
                      <w:szCs w:val="18"/>
                    </w:rPr>
                  </w:pPr>
                  <w:r>
                    <w:rPr>
                      <w:rFonts w:hint="eastAsia"/>
                      <w:sz w:val="18"/>
                      <w:szCs w:val="18"/>
                    </w:rPr>
                    <w:t>1703.1</w:t>
                  </w:r>
                </w:p>
              </w:tc>
              <w:tc>
                <w:tcPr>
                  <w:tcW w:w="966" w:type="dxa"/>
                  <w:noWrap/>
                  <w:vAlign w:val="center"/>
                </w:tcPr>
                <w:p w14:paraId="277A722D">
                  <w:pPr>
                    <w:pStyle w:val="94"/>
                    <w:rPr>
                      <w:sz w:val="18"/>
                      <w:szCs w:val="18"/>
                    </w:rPr>
                  </w:pPr>
                  <w:r>
                    <w:rPr>
                      <w:rFonts w:hint="eastAsia"/>
                      <w:sz w:val="18"/>
                      <w:szCs w:val="18"/>
                    </w:rPr>
                    <w:t>27210.26</w:t>
                  </w:r>
                </w:p>
              </w:tc>
              <w:tc>
                <w:tcPr>
                  <w:tcW w:w="966" w:type="dxa"/>
                  <w:noWrap/>
                  <w:vAlign w:val="center"/>
                </w:tcPr>
                <w:p w14:paraId="1F7AECE9">
                  <w:pPr>
                    <w:pStyle w:val="94"/>
                    <w:rPr>
                      <w:sz w:val="18"/>
                      <w:szCs w:val="18"/>
                    </w:rPr>
                  </w:pPr>
                  <w:r>
                    <w:rPr>
                      <w:rFonts w:hint="eastAsia"/>
                      <w:sz w:val="18"/>
                      <w:szCs w:val="18"/>
                    </w:rPr>
                    <w:t>25507.16</w:t>
                  </w:r>
                </w:p>
              </w:tc>
              <w:tc>
                <w:tcPr>
                  <w:tcW w:w="869" w:type="dxa"/>
                  <w:noWrap/>
                  <w:vAlign w:val="center"/>
                </w:tcPr>
                <w:p w14:paraId="49DF61D6">
                  <w:pPr>
                    <w:pStyle w:val="94"/>
                    <w:rPr>
                      <w:sz w:val="18"/>
                      <w:szCs w:val="18"/>
                    </w:rPr>
                  </w:pPr>
                  <w:r>
                    <w:rPr>
                      <w:rFonts w:hint="eastAsia"/>
                      <w:sz w:val="18"/>
                      <w:szCs w:val="18"/>
                    </w:rPr>
                    <w:t>1703.1</w:t>
                  </w:r>
                </w:p>
              </w:tc>
              <w:tc>
                <w:tcPr>
                  <w:tcW w:w="578" w:type="dxa"/>
                  <w:noWrap/>
                  <w:vAlign w:val="center"/>
                </w:tcPr>
                <w:p w14:paraId="19B93B9E">
                  <w:pPr>
                    <w:pStyle w:val="94"/>
                    <w:rPr>
                      <w:sz w:val="18"/>
                      <w:szCs w:val="18"/>
                    </w:rPr>
                  </w:pPr>
                  <w:r>
                    <w:rPr>
                      <w:rFonts w:hint="eastAsia"/>
                      <w:sz w:val="18"/>
                      <w:szCs w:val="18"/>
                    </w:rPr>
                    <w:t>0</w:t>
                  </w:r>
                </w:p>
              </w:tc>
              <w:tc>
                <w:tcPr>
                  <w:tcW w:w="578" w:type="dxa"/>
                  <w:noWrap/>
                  <w:vAlign w:val="center"/>
                </w:tcPr>
                <w:p w14:paraId="7230CCF3">
                  <w:pPr>
                    <w:pStyle w:val="94"/>
                    <w:rPr>
                      <w:sz w:val="18"/>
                      <w:szCs w:val="18"/>
                    </w:rPr>
                  </w:pPr>
                  <w:r>
                    <w:rPr>
                      <w:rFonts w:hint="eastAsia"/>
                      <w:sz w:val="18"/>
                      <w:szCs w:val="18"/>
                    </w:rPr>
                    <w:t>0</w:t>
                  </w:r>
                </w:p>
              </w:tc>
            </w:tr>
            <w:tr w14:paraId="74F815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966" w:type="dxa"/>
                  <w:noWrap/>
                  <w:vAlign w:val="center"/>
                </w:tcPr>
                <w:p w14:paraId="33060217">
                  <w:pPr>
                    <w:pStyle w:val="94"/>
                    <w:rPr>
                      <w:sz w:val="18"/>
                      <w:szCs w:val="18"/>
                    </w:rPr>
                  </w:pPr>
                  <w:r>
                    <w:rPr>
                      <w:rFonts w:hint="eastAsia"/>
                      <w:sz w:val="18"/>
                      <w:szCs w:val="18"/>
                    </w:rPr>
                    <w:t>LXDG-17</w:t>
                  </w:r>
                </w:p>
              </w:tc>
              <w:tc>
                <w:tcPr>
                  <w:tcW w:w="966" w:type="dxa"/>
                  <w:noWrap/>
                  <w:vAlign w:val="center"/>
                </w:tcPr>
                <w:p w14:paraId="088AF2F1">
                  <w:pPr>
                    <w:pStyle w:val="94"/>
                    <w:rPr>
                      <w:sz w:val="18"/>
                      <w:szCs w:val="18"/>
                    </w:rPr>
                  </w:pPr>
                  <w:r>
                    <w:rPr>
                      <w:rFonts w:hint="eastAsia"/>
                      <w:sz w:val="18"/>
                      <w:szCs w:val="18"/>
                    </w:rPr>
                    <w:t>115677</w:t>
                  </w:r>
                </w:p>
              </w:tc>
              <w:tc>
                <w:tcPr>
                  <w:tcW w:w="966" w:type="dxa"/>
                  <w:noWrap/>
                  <w:vAlign w:val="center"/>
                </w:tcPr>
                <w:p w14:paraId="5596BF12">
                  <w:pPr>
                    <w:pStyle w:val="94"/>
                    <w:rPr>
                      <w:sz w:val="18"/>
                      <w:szCs w:val="18"/>
                    </w:rPr>
                  </w:pPr>
                  <w:r>
                    <w:rPr>
                      <w:rFonts w:hint="eastAsia"/>
                      <w:sz w:val="18"/>
                      <w:szCs w:val="18"/>
                    </w:rPr>
                    <w:t>57838.5</w:t>
                  </w:r>
                </w:p>
              </w:tc>
              <w:tc>
                <w:tcPr>
                  <w:tcW w:w="966" w:type="dxa"/>
                  <w:noWrap/>
                  <w:vAlign w:val="center"/>
                </w:tcPr>
                <w:p w14:paraId="132D063C">
                  <w:pPr>
                    <w:pStyle w:val="94"/>
                    <w:rPr>
                      <w:sz w:val="18"/>
                      <w:szCs w:val="18"/>
                    </w:rPr>
                  </w:pPr>
                  <w:r>
                    <w:rPr>
                      <w:rFonts w:hint="eastAsia"/>
                      <w:sz w:val="18"/>
                      <w:szCs w:val="18"/>
                    </w:rPr>
                    <w:t>55229.57</w:t>
                  </w:r>
                </w:p>
              </w:tc>
              <w:tc>
                <w:tcPr>
                  <w:tcW w:w="869" w:type="dxa"/>
                  <w:noWrap/>
                  <w:vAlign w:val="center"/>
                </w:tcPr>
                <w:p w14:paraId="4154E677">
                  <w:pPr>
                    <w:pStyle w:val="94"/>
                    <w:rPr>
                      <w:sz w:val="18"/>
                      <w:szCs w:val="18"/>
                    </w:rPr>
                  </w:pPr>
                  <w:r>
                    <w:rPr>
                      <w:rFonts w:hint="eastAsia"/>
                      <w:sz w:val="18"/>
                      <w:szCs w:val="18"/>
                    </w:rPr>
                    <w:t>2608.93</w:t>
                  </w:r>
                </w:p>
              </w:tc>
              <w:tc>
                <w:tcPr>
                  <w:tcW w:w="966" w:type="dxa"/>
                  <w:noWrap/>
                  <w:vAlign w:val="center"/>
                </w:tcPr>
                <w:p w14:paraId="711A45AF">
                  <w:pPr>
                    <w:pStyle w:val="94"/>
                    <w:rPr>
                      <w:sz w:val="18"/>
                      <w:szCs w:val="18"/>
                    </w:rPr>
                  </w:pPr>
                  <w:r>
                    <w:rPr>
                      <w:rFonts w:hint="eastAsia"/>
                      <w:sz w:val="18"/>
                      <w:szCs w:val="18"/>
                    </w:rPr>
                    <w:t>57838.5</w:t>
                  </w:r>
                </w:p>
              </w:tc>
              <w:tc>
                <w:tcPr>
                  <w:tcW w:w="966" w:type="dxa"/>
                  <w:noWrap/>
                  <w:vAlign w:val="center"/>
                </w:tcPr>
                <w:p w14:paraId="17F03E57">
                  <w:pPr>
                    <w:pStyle w:val="94"/>
                    <w:rPr>
                      <w:sz w:val="18"/>
                      <w:szCs w:val="18"/>
                    </w:rPr>
                  </w:pPr>
                  <w:r>
                    <w:rPr>
                      <w:rFonts w:hint="eastAsia"/>
                      <w:sz w:val="18"/>
                      <w:szCs w:val="18"/>
                    </w:rPr>
                    <w:t>55229.57</w:t>
                  </w:r>
                </w:p>
              </w:tc>
              <w:tc>
                <w:tcPr>
                  <w:tcW w:w="869" w:type="dxa"/>
                  <w:noWrap/>
                  <w:vAlign w:val="center"/>
                </w:tcPr>
                <w:p w14:paraId="76945B81">
                  <w:pPr>
                    <w:pStyle w:val="94"/>
                    <w:rPr>
                      <w:sz w:val="18"/>
                      <w:szCs w:val="18"/>
                    </w:rPr>
                  </w:pPr>
                  <w:r>
                    <w:rPr>
                      <w:rFonts w:hint="eastAsia"/>
                      <w:sz w:val="18"/>
                      <w:szCs w:val="18"/>
                    </w:rPr>
                    <w:t>2608.93</w:t>
                  </w:r>
                </w:p>
              </w:tc>
              <w:tc>
                <w:tcPr>
                  <w:tcW w:w="578" w:type="dxa"/>
                  <w:noWrap/>
                  <w:vAlign w:val="center"/>
                </w:tcPr>
                <w:p w14:paraId="34876424">
                  <w:pPr>
                    <w:pStyle w:val="94"/>
                    <w:rPr>
                      <w:sz w:val="18"/>
                      <w:szCs w:val="18"/>
                    </w:rPr>
                  </w:pPr>
                  <w:r>
                    <w:rPr>
                      <w:rFonts w:hint="eastAsia"/>
                      <w:sz w:val="18"/>
                      <w:szCs w:val="18"/>
                    </w:rPr>
                    <w:t>0</w:t>
                  </w:r>
                </w:p>
              </w:tc>
              <w:tc>
                <w:tcPr>
                  <w:tcW w:w="578" w:type="dxa"/>
                  <w:noWrap/>
                  <w:vAlign w:val="center"/>
                </w:tcPr>
                <w:p w14:paraId="491991B8">
                  <w:pPr>
                    <w:pStyle w:val="94"/>
                    <w:rPr>
                      <w:sz w:val="18"/>
                      <w:szCs w:val="18"/>
                    </w:rPr>
                  </w:pPr>
                  <w:r>
                    <w:rPr>
                      <w:rFonts w:hint="eastAsia"/>
                      <w:sz w:val="18"/>
                      <w:szCs w:val="18"/>
                    </w:rPr>
                    <w:t>0</w:t>
                  </w:r>
                </w:p>
              </w:tc>
            </w:tr>
            <w:tr w14:paraId="0E0057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966" w:type="dxa"/>
                  <w:noWrap/>
                  <w:vAlign w:val="center"/>
                </w:tcPr>
                <w:p w14:paraId="6C4EC822">
                  <w:pPr>
                    <w:pStyle w:val="94"/>
                    <w:rPr>
                      <w:sz w:val="18"/>
                      <w:szCs w:val="18"/>
                    </w:rPr>
                  </w:pPr>
                  <w:r>
                    <w:rPr>
                      <w:rFonts w:hint="eastAsia"/>
                      <w:sz w:val="18"/>
                      <w:szCs w:val="18"/>
                    </w:rPr>
                    <w:t>LXD12-21</w:t>
                  </w:r>
                </w:p>
              </w:tc>
              <w:tc>
                <w:tcPr>
                  <w:tcW w:w="966" w:type="dxa"/>
                  <w:noWrap/>
                  <w:vAlign w:val="center"/>
                </w:tcPr>
                <w:p w14:paraId="2560AF06">
                  <w:pPr>
                    <w:pStyle w:val="94"/>
                    <w:rPr>
                      <w:sz w:val="18"/>
                      <w:szCs w:val="18"/>
                    </w:rPr>
                  </w:pPr>
                  <w:r>
                    <w:rPr>
                      <w:rFonts w:hint="eastAsia"/>
                      <w:sz w:val="18"/>
                      <w:szCs w:val="18"/>
                    </w:rPr>
                    <w:t>29269.34</w:t>
                  </w:r>
                </w:p>
              </w:tc>
              <w:tc>
                <w:tcPr>
                  <w:tcW w:w="966" w:type="dxa"/>
                  <w:noWrap/>
                  <w:vAlign w:val="center"/>
                </w:tcPr>
                <w:p w14:paraId="09273799">
                  <w:pPr>
                    <w:pStyle w:val="94"/>
                    <w:rPr>
                      <w:sz w:val="18"/>
                      <w:szCs w:val="18"/>
                    </w:rPr>
                  </w:pPr>
                  <w:r>
                    <w:rPr>
                      <w:rFonts w:hint="eastAsia"/>
                      <w:sz w:val="18"/>
                      <w:szCs w:val="18"/>
                    </w:rPr>
                    <w:t>14634.67</w:t>
                  </w:r>
                </w:p>
              </w:tc>
              <w:tc>
                <w:tcPr>
                  <w:tcW w:w="966" w:type="dxa"/>
                  <w:noWrap/>
                  <w:vAlign w:val="center"/>
                </w:tcPr>
                <w:p w14:paraId="408CA7D2">
                  <w:pPr>
                    <w:pStyle w:val="94"/>
                    <w:rPr>
                      <w:sz w:val="18"/>
                      <w:szCs w:val="18"/>
                    </w:rPr>
                  </w:pPr>
                  <w:r>
                    <w:rPr>
                      <w:rFonts w:hint="eastAsia"/>
                      <w:sz w:val="18"/>
                      <w:szCs w:val="18"/>
                    </w:rPr>
                    <w:t>13176.14</w:t>
                  </w:r>
                </w:p>
              </w:tc>
              <w:tc>
                <w:tcPr>
                  <w:tcW w:w="869" w:type="dxa"/>
                  <w:noWrap/>
                  <w:vAlign w:val="center"/>
                </w:tcPr>
                <w:p w14:paraId="6F0F08D0">
                  <w:pPr>
                    <w:pStyle w:val="94"/>
                    <w:rPr>
                      <w:sz w:val="18"/>
                      <w:szCs w:val="18"/>
                    </w:rPr>
                  </w:pPr>
                  <w:r>
                    <w:rPr>
                      <w:rFonts w:hint="eastAsia"/>
                      <w:sz w:val="18"/>
                      <w:szCs w:val="18"/>
                    </w:rPr>
                    <w:t>1458.53</w:t>
                  </w:r>
                </w:p>
              </w:tc>
              <w:tc>
                <w:tcPr>
                  <w:tcW w:w="966" w:type="dxa"/>
                  <w:noWrap/>
                  <w:vAlign w:val="center"/>
                </w:tcPr>
                <w:p w14:paraId="2ED2187D">
                  <w:pPr>
                    <w:pStyle w:val="94"/>
                    <w:rPr>
                      <w:sz w:val="18"/>
                      <w:szCs w:val="18"/>
                    </w:rPr>
                  </w:pPr>
                  <w:r>
                    <w:rPr>
                      <w:rFonts w:hint="eastAsia"/>
                      <w:sz w:val="18"/>
                      <w:szCs w:val="18"/>
                    </w:rPr>
                    <w:t>14634.67</w:t>
                  </w:r>
                </w:p>
              </w:tc>
              <w:tc>
                <w:tcPr>
                  <w:tcW w:w="966" w:type="dxa"/>
                  <w:noWrap/>
                  <w:vAlign w:val="center"/>
                </w:tcPr>
                <w:p w14:paraId="4D022FE0">
                  <w:pPr>
                    <w:pStyle w:val="94"/>
                    <w:rPr>
                      <w:sz w:val="18"/>
                      <w:szCs w:val="18"/>
                    </w:rPr>
                  </w:pPr>
                  <w:r>
                    <w:rPr>
                      <w:rFonts w:hint="eastAsia"/>
                      <w:sz w:val="18"/>
                      <w:szCs w:val="18"/>
                    </w:rPr>
                    <w:t>13176.14</w:t>
                  </w:r>
                </w:p>
              </w:tc>
              <w:tc>
                <w:tcPr>
                  <w:tcW w:w="869" w:type="dxa"/>
                  <w:noWrap/>
                  <w:vAlign w:val="center"/>
                </w:tcPr>
                <w:p w14:paraId="67F3949E">
                  <w:pPr>
                    <w:pStyle w:val="94"/>
                    <w:rPr>
                      <w:sz w:val="18"/>
                      <w:szCs w:val="18"/>
                    </w:rPr>
                  </w:pPr>
                  <w:r>
                    <w:rPr>
                      <w:rFonts w:hint="eastAsia"/>
                      <w:sz w:val="18"/>
                      <w:szCs w:val="18"/>
                    </w:rPr>
                    <w:t>1458.53</w:t>
                  </w:r>
                </w:p>
              </w:tc>
              <w:tc>
                <w:tcPr>
                  <w:tcW w:w="578" w:type="dxa"/>
                  <w:noWrap/>
                  <w:vAlign w:val="center"/>
                </w:tcPr>
                <w:p w14:paraId="06994EFD">
                  <w:pPr>
                    <w:pStyle w:val="94"/>
                    <w:rPr>
                      <w:sz w:val="18"/>
                      <w:szCs w:val="18"/>
                    </w:rPr>
                  </w:pPr>
                  <w:r>
                    <w:rPr>
                      <w:rFonts w:hint="eastAsia"/>
                      <w:sz w:val="18"/>
                      <w:szCs w:val="18"/>
                    </w:rPr>
                    <w:t>0</w:t>
                  </w:r>
                </w:p>
              </w:tc>
              <w:tc>
                <w:tcPr>
                  <w:tcW w:w="578" w:type="dxa"/>
                  <w:noWrap/>
                  <w:vAlign w:val="center"/>
                </w:tcPr>
                <w:p w14:paraId="4277EE5E">
                  <w:pPr>
                    <w:pStyle w:val="94"/>
                    <w:rPr>
                      <w:sz w:val="18"/>
                      <w:szCs w:val="18"/>
                    </w:rPr>
                  </w:pPr>
                  <w:r>
                    <w:rPr>
                      <w:rFonts w:hint="eastAsia"/>
                      <w:sz w:val="18"/>
                      <w:szCs w:val="18"/>
                    </w:rPr>
                    <w:t>0</w:t>
                  </w:r>
                </w:p>
              </w:tc>
            </w:tr>
            <w:tr w14:paraId="25025C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966" w:type="dxa"/>
                  <w:noWrap/>
                  <w:vAlign w:val="center"/>
                </w:tcPr>
                <w:p w14:paraId="3E2205EE">
                  <w:pPr>
                    <w:pStyle w:val="94"/>
                    <w:rPr>
                      <w:sz w:val="18"/>
                      <w:szCs w:val="18"/>
                    </w:rPr>
                  </w:pPr>
                  <w:r>
                    <w:rPr>
                      <w:rFonts w:hint="eastAsia"/>
                      <w:sz w:val="18"/>
                      <w:szCs w:val="18"/>
                    </w:rPr>
                    <w:t>LXD2-25</w:t>
                  </w:r>
                </w:p>
              </w:tc>
              <w:tc>
                <w:tcPr>
                  <w:tcW w:w="966" w:type="dxa"/>
                  <w:noWrap/>
                  <w:vAlign w:val="center"/>
                </w:tcPr>
                <w:p w14:paraId="3A4A56F3">
                  <w:pPr>
                    <w:pStyle w:val="94"/>
                    <w:rPr>
                      <w:sz w:val="18"/>
                      <w:szCs w:val="18"/>
                    </w:rPr>
                  </w:pPr>
                  <w:r>
                    <w:rPr>
                      <w:rFonts w:hint="eastAsia"/>
                      <w:sz w:val="18"/>
                      <w:szCs w:val="18"/>
                    </w:rPr>
                    <w:t>40851.32</w:t>
                  </w:r>
                </w:p>
              </w:tc>
              <w:tc>
                <w:tcPr>
                  <w:tcW w:w="966" w:type="dxa"/>
                  <w:noWrap/>
                  <w:vAlign w:val="center"/>
                </w:tcPr>
                <w:p w14:paraId="50F679CC">
                  <w:pPr>
                    <w:pStyle w:val="94"/>
                    <w:rPr>
                      <w:sz w:val="18"/>
                      <w:szCs w:val="18"/>
                    </w:rPr>
                  </w:pPr>
                  <w:r>
                    <w:rPr>
                      <w:rFonts w:hint="eastAsia"/>
                      <w:sz w:val="18"/>
                      <w:szCs w:val="18"/>
                    </w:rPr>
                    <w:t>20425.66</w:t>
                  </w:r>
                </w:p>
              </w:tc>
              <w:tc>
                <w:tcPr>
                  <w:tcW w:w="966" w:type="dxa"/>
                  <w:noWrap/>
                  <w:vAlign w:val="center"/>
                </w:tcPr>
                <w:p w14:paraId="1AAB78EE">
                  <w:pPr>
                    <w:pStyle w:val="94"/>
                    <w:rPr>
                      <w:sz w:val="18"/>
                      <w:szCs w:val="18"/>
                    </w:rPr>
                  </w:pPr>
                  <w:r>
                    <w:rPr>
                      <w:rFonts w:hint="eastAsia"/>
                      <w:sz w:val="18"/>
                      <w:szCs w:val="18"/>
                    </w:rPr>
                    <w:t>18435.1</w:t>
                  </w:r>
                </w:p>
              </w:tc>
              <w:tc>
                <w:tcPr>
                  <w:tcW w:w="869" w:type="dxa"/>
                  <w:noWrap/>
                  <w:vAlign w:val="center"/>
                </w:tcPr>
                <w:p w14:paraId="3F4AF291">
                  <w:pPr>
                    <w:pStyle w:val="94"/>
                    <w:rPr>
                      <w:sz w:val="18"/>
                      <w:szCs w:val="18"/>
                    </w:rPr>
                  </w:pPr>
                  <w:r>
                    <w:rPr>
                      <w:rFonts w:hint="eastAsia"/>
                      <w:sz w:val="18"/>
                      <w:szCs w:val="18"/>
                    </w:rPr>
                    <w:t>1990.56</w:t>
                  </w:r>
                </w:p>
              </w:tc>
              <w:tc>
                <w:tcPr>
                  <w:tcW w:w="966" w:type="dxa"/>
                  <w:noWrap/>
                  <w:vAlign w:val="center"/>
                </w:tcPr>
                <w:p w14:paraId="39486FAE">
                  <w:pPr>
                    <w:pStyle w:val="94"/>
                    <w:rPr>
                      <w:sz w:val="18"/>
                      <w:szCs w:val="18"/>
                    </w:rPr>
                  </w:pPr>
                  <w:r>
                    <w:rPr>
                      <w:rFonts w:hint="eastAsia"/>
                      <w:sz w:val="18"/>
                      <w:szCs w:val="18"/>
                    </w:rPr>
                    <w:t>20425.66</w:t>
                  </w:r>
                </w:p>
              </w:tc>
              <w:tc>
                <w:tcPr>
                  <w:tcW w:w="966" w:type="dxa"/>
                  <w:noWrap/>
                  <w:vAlign w:val="center"/>
                </w:tcPr>
                <w:p w14:paraId="2AF1393C">
                  <w:pPr>
                    <w:pStyle w:val="94"/>
                    <w:rPr>
                      <w:sz w:val="18"/>
                      <w:szCs w:val="18"/>
                    </w:rPr>
                  </w:pPr>
                  <w:r>
                    <w:rPr>
                      <w:rFonts w:hint="eastAsia"/>
                      <w:sz w:val="18"/>
                      <w:szCs w:val="18"/>
                    </w:rPr>
                    <w:t>18435.1</w:t>
                  </w:r>
                </w:p>
              </w:tc>
              <w:tc>
                <w:tcPr>
                  <w:tcW w:w="869" w:type="dxa"/>
                  <w:noWrap/>
                  <w:vAlign w:val="center"/>
                </w:tcPr>
                <w:p w14:paraId="032D702B">
                  <w:pPr>
                    <w:pStyle w:val="94"/>
                    <w:rPr>
                      <w:sz w:val="18"/>
                      <w:szCs w:val="18"/>
                    </w:rPr>
                  </w:pPr>
                  <w:r>
                    <w:rPr>
                      <w:rFonts w:hint="eastAsia"/>
                      <w:sz w:val="18"/>
                      <w:szCs w:val="18"/>
                    </w:rPr>
                    <w:t>1990.56</w:t>
                  </w:r>
                </w:p>
              </w:tc>
              <w:tc>
                <w:tcPr>
                  <w:tcW w:w="578" w:type="dxa"/>
                  <w:noWrap/>
                  <w:vAlign w:val="center"/>
                </w:tcPr>
                <w:p w14:paraId="0134CC09">
                  <w:pPr>
                    <w:pStyle w:val="94"/>
                    <w:rPr>
                      <w:sz w:val="18"/>
                      <w:szCs w:val="18"/>
                    </w:rPr>
                  </w:pPr>
                  <w:r>
                    <w:rPr>
                      <w:rFonts w:hint="eastAsia"/>
                      <w:sz w:val="18"/>
                      <w:szCs w:val="18"/>
                    </w:rPr>
                    <w:t>0</w:t>
                  </w:r>
                </w:p>
              </w:tc>
              <w:tc>
                <w:tcPr>
                  <w:tcW w:w="578" w:type="dxa"/>
                  <w:noWrap/>
                  <w:vAlign w:val="center"/>
                </w:tcPr>
                <w:p w14:paraId="61842167">
                  <w:pPr>
                    <w:pStyle w:val="94"/>
                    <w:rPr>
                      <w:sz w:val="18"/>
                      <w:szCs w:val="18"/>
                    </w:rPr>
                  </w:pPr>
                  <w:r>
                    <w:rPr>
                      <w:rFonts w:hint="eastAsia"/>
                      <w:sz w:val="18"/>
                      <w:szCs w:val="18"/>
                    </w:rPr>
                    <w:t>0</w:t>
                  </w:r>
                </w:p>
              </w:tc>
            </w:tr>
          </w:tbl>
          <w:p w14:paraId="38CFD14C">
            <w:pPr>
              <w:pStyle w:val="96"/>
              <w:ind w:firstLine="480"/>
            </w:pPr>
            <w:r>
              <w:rPr>
                <w:rFonts w:hint="eastAsia"/>
              </w:rPr>
              <w:t>本项目因地制宜地选择施工季节，尽量避开农作物的生长和收获期，减少农业当季损失，并避开雨季减少水土流失的损失。场地施工形成的土石方，一般用于地基挖高填低处理，并做好开挖边坡及填方区边坡支护处理，以减少土石压占土地植被资源。</w:t>
            </w:r>
          </w:p>
          <w:p w14:paraId="179D182B">
            <w:pPr>
              <w:pStyle w:val="96"/>
              <w:ind w:firstLine="480"/>
            </w:pPr>
            <w:r>
              <w:rPr>
                <w:rFonts w:hint="eastAsia"/>
              </w:rPr>
              <w:t>（2）钻井岩屑</w:t>
            </w:r>
          </w:p>
          <w:p w14:paraId="00B4EF02">
            <w:pPr>
              <w:pStyle w:val="96"/>
              <w:ind w:firstLine="480"/>
            </w:pPr>
            <w:r>
              <w:rPr>
                <w:rFonts w:hint="eastAsia"/>
              </w:rPr>
              <w:t>钻井过程中，岩土被钻头破碎成岩屑，其中50%混入泥浆中，其余经泥浆循环泵带出井口。一般情况下，岩屑的产生量可按下式计算：</w:t>
            </w:r>
          </w:p>
          <w:p w14:paraId="3841DAD9">
            <w:pPr>
              <w:adjustRightInd w:val="0"/>
              <w:snapToGrid w:val="0"/>
              <w:spacing w:line="360" w:lineRule="auto"/>
              <w:jc w:val="center"/>
              <w:rPr>
                <w:rFonts w:ascii="宋体" w:hAnsi="宋体" w:eastAsia="宋体"/>
                <w:bCs/>
                <w:sz w:val="24"/>
              </w:rPr>
            </w:pPr>
            <w:r>
              <w:rPr>
                <w:rFonts w:ascii="宋体" w:hAnsi="宋体" w:eastAsia="宋体"/>
                <w:bCs/>
                <w:sz w:val="24"/>
              </w:rPr>
              <w:t>W=π×D</w:t>
            </w:r>
            <w:r>
              <w:rPr>
                <w:rFonts w:ascii="宋体" w:hAnsi="宋体" w:eastAsia="宋体"/>
                <w:bCs/>
                <w:sz w:val="24"/>
                <w:vertAlign w:val="superscript"/>
              </w:rPr>
              <w:t>2</w:t>
            </w:r>
            <w:r>
              <w:rPr>
                <w:rFonts w:ascii="宋体" w:hAnsi="宋体" w:eastAsia="宋体"/>
                <w:bCs/>
                <w:sz w:val="24"/>
              </w:rPr>
              <w:t>×h×d×50%/4</w:t>
            </w:r>
          </w:p>
          <w:p w14:paraId="5175765F">
            <w:pPr>
              <w:adjustRightInd w:val="0"/>
              <w:snapToGrid w:val="0"/>
              <w:spacing w:line="360" w:lineRule="auto"/>
              <w:ind w:firstLine="480" w:firstLineChars="200"/>
              <w:rPr>
                <w:rFonts w:ascii="宋体" w:hAnsi="宋体" w:eastAsia="宋体"/>
                <w:bCs/>
                <w:sz w:val="24"/>
              </w:rPr>
            </w:pPr>
            <w:r>
              <w:rPr>
                <w:rFonts w:hint="eastAsia" w:ascii="宋体" w:hAnsi="宋体" w:eastAsia="宋体"/>
                <w:bCs/>
                <w:sz w:val="24"/>
              </w:rPr>
              <w:t>式中：W—井场岩屑产生量，t；</w:t>
            </w:r>
          </w:p>
          <w:p w14:paraId="224B0104">
            <w:pPr>
              <w:adjustRightInd w:val="0"/>
              <w:snapToGrid w:val="0"/>
              <w:spacing w:line="360" w:lineRule="auto"/>
              <w:ind w:firstLine="1200" w:firstLineChars="500"/>
              <w:rPr>
                <w:rFonts w:ascii="宋体" w:hAnsi="宋体" w:eastAsia="宋体"/>
                <w:bCs/>
                <w:sz w:val="24"/>
              </w:rPr>
            </w:pPr>
            <w:r>
              <w:rPr>
                <w:rFonts w:hint="eastAsia" w:ascii="宋体" w:hAnsi="宋体" w:eastAsia="宋体"/>
                <w:bCs/>
                <w:sz w:val="24"/>
              </w:rPr>
              <w:t>D—井直径；</w:t>
            </w:r>
          </w:p>
          <w:p w14:paraId="3272BC83">
            <w:pPr>
              <w:adjustRightInd w:val="0"/>
              <w:snapToGrid w:val="0"/>
              <w:spacing w:line="360" w:lineRule="auto"/>
              <w:ind w:firstLine="1200" w:firstLineChars="500"/>
              <w:rPr>
                <w:rFonts w:ascii="宋体" w:hAnsi="宋体" w:eastAsia="宋体"/>
                <w:bCs/>
                <w:sz w:val="24"/>
              </w:rPr>
            </w:pPr>
            <w:r>
              <w:rPr>
                <w:rFonts w:hint="eastAsia" w:ascii="宋体" w:hAnsi="宋体" w:eastAsia="宋体"/>
                <w:bCs/>
                <w:sz w:val="24"/>
              </w:rPr>
              <w:t>h—井深度；</w:t>
            </w:r>
          </w:p>
          <w:p w14:paraId="76B6C10F">
            <w:pPr>
              <w:adjustRightInd w:val="0"/>
              <w:snapToGrid w:val="0"/>
              <w:spacing w:line="360" w:lineRule="auto"/>
              <w:ind w:firstLine="1200" w:firstLineChars="500"/>
              <w:rPr>
                <w:rFonts w:ascii="宋体" w:hAnsi="宋体" w:eastAsia="宋体"/>
                <w:bCs/>
                <w:sz w:val="24"/>
              </w:rPr>
            </w:pPr>
            <w:r>
              <w:rPr>
                <w:rFonts w:hint="eastAsia" w:ascii="宋体" w:hAnsi="宋体" w:eastAsia="宋体"/>
                <w:bCs/>
                <w:sz w:val="24"/>
              </w:rPr>
              <w:t>d—岩石密度（取2.8t/m</w:t>
            </w:r>
            <w:r>
              <w:rPr>
                <w:rFonts w:hint="eastAsia" w:ascii="宋体" w:hAnsi="宋体" w:eastAsia="宋体"/>
                <w:bCs/>
                <w:sz w:val="24"/>
                <w:vertAlign w:val="superscript"/>
              </w:rPr>
              <w:t>3</w:t>
            </w:r>
            <w:r>
              <w:rPr>
                <w:rFonts w:hint="eastAsia" w:ascii="宋体" w:hAnsi="宋体" w:eastAsia="宋体"/>
                <w:bCs/>
                <w:sz w:val="24"/>
              </w:rPr>
              <w:t>）。</w:t>
            </w:r>
          </w:p>
          <w:p w14:paraId="5C1943A0">
            <w:pPr>
              <w:adjustRightInd w:val="0"/>
              <w:snapToGrid w:val="0"/>
              <w:spacing w:line="360" w:lineRule="auto"/>
              <w:ind w:firstLine="480" w:firstLineChars="200"/>
              <w:rPr>
                <w:rFonts w:ascii="宋体" w:hAnsi="宋体" w:eastAsia="宋体"/>
                <w:bCs/>
                <w:sz w:val="24"/>
              </w:rPr>
            </w:pPr>
            <w:r>
              <w:rPr>
                <w:rFonts w:hint="eastAsia" w:ascii="宋体" w:hAnsi="宋体" w:eastAsia="宋体"/>
                <w:bCs/>
                <w:sz w:val="24"/>
              </w:rPr>
              <w:t>直井、定向井的岩屑估算结果见下表：</w:t>
            </w:r>
          </w:p>
          <w:p w14:paraId="50442F9C">
            <w:pPr>
              <w:pStyle w:val="19"/>
              <w:keepNext/>
            </w:pPr>
            <w:r>
              <w:t xml:space="preserve">表 </w:t>
            </w:r>
            <w:r>
              <w:fldChar w:fldCharType="begin"/>
            </w:r>
            <w:r>
              <w:instrText xml:space="preserve"> SEQ 表 \* ARABIC </w:instrText>
            </w:r>
            <w:r>
              <w:fldChar w:fldCharType="separate"/>
            </w:r>
            <w:r>
              <w:t>32</w:t>
            </w:r>
            <w:r>
              <w:fldChar w:fldCharType="end"/>
            </w:r>
            <w:r>
              <w:rPr>
                <w:rFonts w:hint="eastAsia"/>
              </w:rPr>
              <w:t>不同井型岩屑量产生情况</w:t>
            </w:r>
          </w:p>
          <w:tbl>
            <w:tblPr>
              <w:tblStyle w:val="7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
            <w:tblGrid>
              <w:gridCol w:w="1692"/>
              <w:gridCol w:w="1272"/>
              <w:gridCol w:w="2083"/>
              <w:gridCol w:w="1733"/>
              <w:gridCol w:w="1944"/>
            </w:tblGrid>
            <w:tr w14:paraId="2FAB53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blHeader/>
              </w:trPr>
              <w:tc>
                <w:tcPr>
                  <w:tcW w:w="1699" w:type="pct"/>
                  <w:gridSpan w:val="2"/>
                  <w:vAlign w:val="center"/>
                </w:tcPr>
                <w:p w14:paraId="62E34F62">
                  <w:pPr>
                    <w:pStyle w:val="94"/>
                    <w:rPr>
                      <w:color w:val="auto"/>
                    </w:rPr>
                  </w:pPr>
                  <w:r>
                    <w:rPr>
                      <w:rFonts w:hint="eastAsia"/>
                      <w:color w:val="auto"/>
                    </w:rPr>
                    <w:t>井型</w:t>
                  </w:r>
                </w:p>
              </w:tc>
              <w:tc>
                <w:tcPr>
                  <w:tcW w:w="1194" w:type="pct"/>
                  <w:vAlign w:val="center"/>
                </w:tcPr>
                <w:p w14:paraId="45694907">
                  <w:pPr>
                    <w:pStyle w:val="94"/>
                    <w:rPr>
                      <w:color w:val="auto"/>
                    </w:rPr>
                  </w:pPr>
                  <w:r>
                    <w:rPr>
                      <w:rFonts w:hint="eastAsia"/>
                      <w:color w:val="auto"/>
                    </w:rPr>
                    <w:t>直径</w:t>
                  </w:r>
                  <w:r>
                    <w:rPr>
                      <w:color w:val="auto"/>
                    </w:rPr>
                    <w:t>mm</w:t>
                  </w:r>
                </w:p>
              </w:tc>
              <w:tc>
                <w:tcPr>
                  <w:tcW w:w="993" w:type="pct"/>
                  <w:vAlign w:val="center"/>
                </w:tcPr>
                <w:p w14:paraId="732376FE">
                  <w:pPr>
                    <w:pStyle w:val="94"/>
                    <w:rPr>
                      <w:color w:val="auto"/>
                    </w:rPr>
                  </w:pPr>
                  <w:r>
                    <w:rPr>
                      <w:rFonts w:hint="eastAsia"/>
                      <w:color w:val="auto"/>
                    </w:rPr>
                    <w:t>深度m</w:t>
                  </w:r>
                </w:p>
              </w:tc>
              <w:tc>
                <w:tcPr>
                  <w:tcW w:w="1114" w:type="pct"/>
                  <w:vAlign w:val="center"/>
                </w:tcPr>
                <w:p w14:paraId="3298EC3B">
                  <w:pPr>
                    <w:pStyle w:val="94"/>
                    <w:rPr>
                      <w:color w:val="auto"/>
                    </w:rPr>
                  </w:pPr>
                  <w:r>
                    <w:rPr>
                      <w:rFonts w:hint="eastAsia"/>
                      <w:color w:val="auto"/>
                    </w:rPr>
                    <w:t>岩屑</w:t>
                  </w:r>
                  <w:r>
                    <w:rPr>
                      <w:color w:val="auto"/>
                    </w:rPr>
                    <w:t>量t</w:t>
                  </w:r>
                </w:p>
              </w:tc>
            </w:tr>
            <w:tr w14:paraId="2851DF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970" w:type="pct"/>
                  <w:vMerge w:val="restart"/>
                  <w:vAlign w:val="center"/>
                </w:tcPr>
                <w:p w14:paraId="5AC053D0">
                  <w:pPr>
                    <w:pStyle w:val="94"/>
                    <w:rPr>
                      <w:color w:val="auto"/>
                    </w:rPr>
                  </w:pPr>
                  <w:r>
                    <w:rPr>
                      <w:rFonts w:hint="eastAsia"/>
                      <w:color w:val="auto"/>
                    </w:rPr>
                    <w:t>直井</w:t>
                  </w:r>
                </w:p>
              </w:tc>
              <w:tc>
                <w:tcPr>
                  <w:tcW w:w="729" w:type="pct"/>
                  <w:vAlign w:val="center"/>
                </w:tcPr>
                <w:p w14:paraId="1F5C37CB">
                  <w:pPr>
                    <w:pStyle w:val="94"/>
                    <w:rPr>
                      <w:color w:val="auto"/>
                    </w:rPr>
                  </w:pPr>
                  <w:r>
                    <w:rPr>
                      <w:rFonts w:hint="eastAsia"/>
                      <w:color w:val="auto"/>
                    </w:rPr>
                    <w:t>一开</w:t>
                  </w:r>
                </w:p>
              </w:tc>
              <w:tc>
                <w:tcPr>
                  <w:tcW w:w="1194" w:type="pct"/>
                  <w:vAlign w:val="center"/>
                </w:tcPr>
                <w:p w14:paraId="2FD5296F">
                  <w:pPr>
                    <w:pStyle w:val="94"/>
                    <w:rPr>
                      <w:color w:val="auto"/>
                    </w:rPr>
                  </w:pPr>
                  <w:r>
                    <w:rPr>
                      <w:rFonts w:hint="eastAsia"/>
                      <w:color w:val="auto"/>
                    </w:rPr>
                    <w:t>311.</w:t>
                  </w:r>
                  <w:r>
                    <w:rPr>
                      <w:color w:val="auto"/>
                    </w:rPr>
                    <w:t>2</w:t>
                  </w:r>
                </w:p>
              </w:tc>
              <w:tc>
                <w:tcPr>
                  <w:tcW w:w="993" w:type="pct"/>
                  <w:vAlign w:val="center"/>
                </w:tcPr>
                <w:p w14:paraId="1FA35421">
                  <w:pPr>
                    <w:pStyle w:val="94"/>
                    <w:rPr>
                      <w:color w:val="auto"/>
                    </w:rPr>
                  </w:pPr>
                  <w:r>
                    <w:rPr>
                      <w:rFonts w:hint="eastAsia"/>
                      <w:color w:val="auto"/>
                    </w:rPr>
                    <w:t>290</w:t>
                  </w:r>
                </w:p>
              </w:tc>
              <w:tc>
                <w:tcPr>
                  <w:tcW w:w="1114" w:type="pct"/>
                  <w:vAlign w:val="center"/>
                </w:tcPr>
                <w:p w14:paraId="57DF306E">
                  <w:pPr>
                    <w:pStyle w:val="94"/>
                    <w:rPr>
                      <w:color w:val="auto"/>
                    </w:rPr>
                  </w:pPr>
                  <w:r>
                    <w:rPr>
                      <w:rFonts w:hint="eastAsia"/>
                      <w:color w:val="auto"/>
                    </w:rPr>
                    <w:t>30.86</w:t>
                  </w:r>
                </w:p>
              </w:tc>
            </w:tr>
            <w:tr w14:paraId="7C3C1F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970" w:type="pct"/>
                  <w:vMerge w:val="continue"/>
                  <w:vAlign w:val="center"/>
                </w:tcPr>
                <w:p w14:paraId="68066E23">
                  <w:pPr>
                    <w:pStyle w:val="94"/>
                    <w:rPr>
                      <w:color w:val="auto"/>
                    </w:rPr>
                  </w:pPr>
                </w:p>
              </w:tc>
              <w:tc>
                <w:tcPr>
                  <w:tcW w:w="729" w:type="pct"/>
                  <w:vAlign w:val="center"/>
                </w:tcPr>
                <w:p w14:paraId="59BC25C8">
                  <w:pPr>
                    <w:pStyle w:val="94"/>
                    <w:rPr>
                      <w:color w:val="auto"/>
                    </w:rPr>
                  </w:pPr>
                  <w:r>
                    <w:rPr>
                      <w:rFonts w:hint="eastAsia"/>
                      <w:color w:val="auto"/>
                    </w:rPr>
                    <w:t>二开</w:t>
                  </w:r>
                </w:p>
              </w:tc>
              <w:tc>
                <w:tcPr>
                  <w:tcW w:w="1194" w:type="pct"/>
                  <w:vAlign w:val="center"/>
                </w:tcPr>
                <w:p w14:paraId="2202472B">
                  <w:pPr>
                    <w:pStyle w:val="94"/>
                    <w:rPr>
                      <w:color w:val="auto"/>
                    </w:rPr>
                  </w:pPr>
                  <w:r>
                    <w:rPr>
                      <w:rFonts w:hint="eastAsia"/>
                      <w:color w:val="auto"/>
                    </w:rPr>
                    <w:t>215.9</w:t>
                  </w:r>
                </w:p>
              </w:tc>
              <w:tc>
                <w:tcPr>
                  <w:tcW w:w="993" w:type="pct"/>
                  <w:vAlign w:val="center"/>
                </w:tcPr>
                <w:p w14:paraId="4C710A79">
                  <w:pPr>
                    <w:pStyle w:val="94"/>
                    <w:rPr>
                      <w:color w:val="auto"/>
                    </w:rPr>
                  </w:pPr>
                  <w:r>
                    <w:rPr>
                      <w:color w:val="auto"/>
                    </w:rPr>
                    <w:t>1995</w:t>
                  </w:r>
                </w:p>
              </w:tc>
              <w:tc>
                <w:tcPr>
                  <w:tcW w:w="1114" w:type="pct"/>
                  <w:vAlign w:val="center"/>
                </w:tcPr>
                <w:p w14:paraId="27AB933C">
                  <w:pPr>
                    <w:pStyle w:val="94"/>
                    <w:rPr>
                      <w:color w:val="auto"/>
                    </w:rPr>
                  </w:pPr>
                  <w:r>
                    <w:rPr>
                      <w:color w:val="auto"/>
                    </w:rPr>
                    <w:t>87.34</w:t>
                  </w:r>
                </w:p>
              </w:tc>
            </w:tr>
            <w:tr w14:paraId="27A0A8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970" w:type="pct"/>
                  <w:vMerge w:val="restart"/>
                  <w:vAlign w:val="center"/>
                </w:tcPr>
                <w:p w14:paraId="297EBB77">
                  <w:pPr>
                    <w:pStyle w:val="94"/>
                    <w:rPr>
                      <w:color w:val="auto"/>
                    </w:rPr>
                  </w:pPr>
                  <w:r>
                    <w:rPr>
                      <w:rFonts w:hint="eastAsia"/>
                      <w:color w:val="auto"/>
                    </w:rPr>
                    <w:t>定向井</w:t>
                  </w:r>
                </w:p>
              </w:tc>
              <w:tc>
                <w:tcPr>
                  <w:tcW w:w="729" w:type="pct"/>
                  <w:vAlign w:val="center"/>
                </w:tcPr>
                <w:p w14:paraId="7DEA83FE">
                  <w:pPr>
                    <w:pStyle w:val="94"/>
                    <w:rPr>
                      <w:color w:val="auto"/>
                    </w:rPr>
                  </w:pPr>
                  <w:r>
                    <w:rPr>
                      <w:rFonts w:hint="eastAsia"/>
                      <w:color w:val="auto"/>
                    </w:rPr>
                    <w:t>一开</w:t>
                  </w:r>
                </w:p>
              </w:tc>
              <w:tc>
                <w:tcPr>
                  <w:tcW w:w="1194" w:type="pct"/>
                  <w:vAlign w:val="center"/>
                </w:tcPr>
                <w:p w14:paraId="28D69738">
                  <w:pPr>
                    <w:pStyle w:val="94"/>
                    <w:rPr>
                      <w:color w:val="auto"/>
                    </w:rPr>
                  </w:pPr>
                  <w:r>
                    <w:rPr>
                      <w:rFonts w:hint="eastAsia"/>
                      <w:color w:val="auto"/>
                    </w:rPr>
                    <w:t>311.</w:t>
                  </w:r>
                  <w:r>
                    <w:rPr>
                      <w:color w:val="auto"/>
                    </w:rPr>
                    <w:t>2</w:t>
                  </w:r>
                </w:p>
              </w:tc>
              <w:tc>
                <w:tcPr>
                  <w:tcW w:w="993" w:type="pct"/>
                  <w:vAlign w:val="center"/>
                </w:tcPr>
                <w:p w14:paraId="4B740135">
                  <w:pPr>
                    <w:pStyle w:val="94"/>
                    <w:rPr>
                      <w:color w:val="auto"/>
                    </w:rPr>
                  </w:pPr>
                  <w:r>
                    <w:rPr>
                      <w:rFonts w:hint="eastAsia"/>
                      <w:color w:val="auto"/>
                    </w:rPr>
                    <w:t>290</w:t>
                  </w:r>
                </w:p>
              </w:tc>
              <w:tc>
                <w:tcPr>
                  <w:tcW w:w="1114" w:type="pct"/>
                  <w:vAlign w:val="center"/>
                </w:tcPr>
                <w:p w14:paraId="3C5F1B22">
                  <w:pPr>
                    <w:pStyle w:val="94"/>
                    <w:rPr>
                      <w:color w:val="auto"/>
                    </w:rPr>
                  </w:pPr>
                  <w:r>
                    <w:rPr>
                      <w:rFonts w:hint="eastAsia"/>
                      <w:color w:val="auto"/>
                    </w:rPr>
                    <w:t>30.86</w:t>
                  </w:r>
                </w:p>
              </w:tc>
            </w:tr>
            <w:tr w14:paraId="558603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77" w:hRule="atLeast"/>
              </w:trPr>
              <w:tc>
                <w:tcPr>
                  <w:tcW w:w="970" w:type="pct"/>
                  <w:vMerge w:val="continue"/>
                  <w:vAlign w:val="center"/>
                </w:tcPr>
                <w:p w14:paraId="597730A2">
                  <w:pPr>
                    <w:pStyle w:val="94"/>
                    <w:rPr>
                      <w:color w:val="auto"/>
                    </w:rPr>
                  </w:pPr>
                </w:p>
              </w:tc>
              <w:tc>
                <w:tcPr>
                  <w:tcW w:w="729" w:type="pct"/>
                  <w:vAlign w:val="center"/>
                </w:tcPr>
                <w:p w14:paraId="4C9190FD">
                  <w:pPr>
                    <w:pStyle w:val="94"/>
                    <w:rPr>
                      <w:color w:val="auto"/>
                    </w:rPr>
                  </w:pPr>
                  <w:r>
                    <w:rPr>
                      <w:rFonts w:hint="eastAsia"/>
                      <w:color w:val="auto"/>
                    </w:rPr>
                    <w:t>二开</w:t>
                  </w:r>
                </w:p>
              </w:tc>
              <w:tc>
                <w:tcPr>
                  <w:tcW w:w="1194" w:type="pct"/>
                  <w:vAlign w:val="center"/>
                </w:tcPr>
                <w:p w14:paraId="07742776">
                  <w:pPr>
                    <w:pStyle w:val="94"/>
                    <w:rPr>
                      <w:color w:val="auto"/>
                    </w:rPr>
                  </w:pPr>
                  <w:r>
                    <w:rPr>
                      <w:rFonts w:hint="eastAsia"/>
                      <w:color w:val="auto"/>
                    </w:rPr>
                    <w:t>215.9</w:t>
                  </w:r>
                </w:p>
              </w:tc>
              <w:tc>
                <w:tcPr>
                  <w:tcW w:w="993" w:type="pct"/>
                  <w:vAlign w:val="center"/>
                </w:tcPr>
                <w:p w14:paraId="0E1A7C6A">
                  <w:pPr>
                    <w:pStyle w:val="94"/>
                    <w:rPr>
                      <w:color w:val="auto"/>
                    </w:rPr>
                  </w:pPr>
                  <w:r>
                    <w:rPr>
                      <w:color w:val="auto"/>
                    </w:rPr>
                    <w:t>2250</w:t>
                  </w:r>
                </w:p>
              </w:tc>
              <w:tc>
                <w:tcPr>
                  <w:tcW w:w="1114" w:type="pct"/>
                  <w:vAlign w:val="center"/>
                </w:tcPr>
                <w:p w14:paraId="292397DF">
                  <w:pPr>
                    <w:pStyle w:val="94"/>
                    <w:rPr>
                      <w:color w:val="auto"/>
                    </w:rPr>
                  </w:pPr>
                  <w:r>
                    <w:rPr>
                      <w:color w:val="auto"/>
                    </w:rPr>
                    <w:t>100.41</w:t>
                  </w:r>
                </w:p>
              </w:tc>
            </w:tr>
          </w:tbl>
          <w:p w14:paraId="1147F07F">
            <w:pPr>
              <w:pStyle w:val="96"/>
              <w:ind w:firstLine="480"/>
            </w:pPr>
            <w:r>
              <w:rPr>
                <w:rFonts w:hint="eastAsia"/>
              </w:rPr>
              <w:t>本项目直井</w:t>
            </w:r>
            <w:r>
              <w:t>2</w:t>
            </w:r>
            <w:r>
              <w:rPr>
                <w:rFonts w:hint="eastAsia"/>
              </w:rPr>
              <w:t>口，定向井</w:t>
            </w:r>
            <w:r>
              <w:t>19</w:t>
            </w:r>
            <w:r>
              <w:rPr>
                <w:rFonts w:hint="eastAsia"/>
              </w:rPr>
              <w:t>口，则总岩屑产生量约2730.37t。钻井岩屑成分主要为泥土、岩屑、属一般废物。钻屑被循环介质带出地面后，采用振动筛从泥浆中分离并排入循环池。待干化后和废泥浆进行无害化</w:t>
            </w:r>
            <w:r>
              <w:t>固化处理</w:t>
            </w:r>
            <w:r>
              <w:rPr>
                <w:rFonts w:hint="eastAsia"/>
              </w:rPr>
              <w:t>。</w:t>
            </w:r>
          </w:p>
          <w:p w14:paraId="0FE1FA27">
            <w:pPr>
              <w:pStyle w:val="96"/>
              <w:ind w:firstLine="480"/>
            </w:pPr>
            <w:r>
              <w:rPr>
                <w:rFonts w:hint="eastAsia"/>
              </w:rPr>
              <w:t>（3）泥浆</w:t>
            </w:r>
          </w:p>
          <w:p w14:paraId="6B465E9E">
            <w:pPr>
              <w:pStyle w:val="96"/>
              <w:ind w:firstLine="480"/>
            </w:pPr>
            <w:r>
              <w:rPr>
                <w:rFonts w:hint="eastAsia"/>
              </w:rPr>
              <w:t>①钻井废弃泥浆产生量</w:t>
            </w:r>
          </w:p>
          <w:p w14:paraId="05A8B2F0">
            <w:pPr>
              <w:pStyle w:val="96"/>
              <w:ind w:firstLine="480"/>
            </w:pPr>
            <w:r>
              <w:rPr>
                <w:rFonts w:hint="eastAsia"/>
              </w:rPr>
              <w:t>钻井废弃泥浆是指钻井过程中无法利用或钻井完工后弃置于泥浆池内的泥浆，钻井废弃泥浆的性质由使用的钻井泥浆决定，其排放量随井深而变。废弃泥浆采用泥浆处理剂处理脱水后进行无害化</w:t>
            </w:r>
            <w:r>
              <w:t>固化处理</w:t>
            </w:r>
            <w:r>
              <w:rPr>
                <w:rFonts w:hint="eastAsia"/>
              </w:rPr>
              <w:t>。</w:t>
            </w:r>
          </w:p>
          <w:p w14:paraId="15E988D3">
            <w:pPr>
              <w:pStyle w:val="96"/>
              <w:ind w:firstLine="480"/>
            </w:pPr>
            <w:r>
              <w:rPr>
                <w:rFonts w:hint="eastAsia"/>
              </w:rPr>
              <w:t>根据水平衡计算得出，单口井钻井过程中的52t水进入泥浆，加上混入泥浆的50%的岩屑，则</w:t>
            </w:r>
            <w:r>
              <w:t>21</w:t>
            </w:r>
            <w:r>
              <w:rPr>
                <w:rFonts w:hint="eastAsia"/>
              </w:rPr>
              <w:t>座井场</w:t>
            </w:r>
            <w:r>
              <w:t>21</w:t>
            </w:r>
            <w:r>
              <w:rPr>
                <w:rFonts w:hint="eastAsia"/>
              </w:rPr>
              <w:t>口气井的废弃泥浆总产生量约3822.37吨。</w:t>
            </w:r>
          </w:p>
          <w:p w14:paraId="3B32B69B">
            <w:pPr>
              <w:pStyle w:val="96"/>
              <w:numPr>
                <w:ilvl w:val="0"/>
                <w:numId w:val="13"/>
              </w:numPr>
              <w:ind w:firstLineChars="0"/>
            </w:pPr>
            <w:r>
              <w:rPr>
                <w:rFonts w:hint="eastAsia"/>
              </w:rPr>
              <w:t>钻井废泥浆固废属性</w:t>
            </w:r>
          </w:p>
          <w:p w14:paraId="23943BBE">
            <w:pPr>
              <w:pStyle w:val="96"/>
              <w:ind w:firstLine="480"/>
            </w:pPr>
            <w:r>
              <w:rPr>
                <w:rFonts w:hint="eastAsia"/>
              </w:rPr>
              <w:t>本项目使用环保型水基钻井泥浆，成分主要为膨润土和水。禁止使用有毒有害泥浆。根据《国家危险废物名录》，本项目产生的废弃泥浆不属于“以矿物油为连续相配制钻井泥浆用于煤层气开采所产生的废弃钻井泥浆”。</w:t>
            </w:r>
          </w:p>
          <w:p w14:paraId="08C49CED">
            <w:pPr>
              <w:pStyle w:val="96"/>
              <w:ind w:firstLine="480"/>
            </w:pPr>
            <w:r>
              <w:rPr>
                <w:rFonts w:hint="eastAsia"/>
              </w:rPr>
              <w:t>本次评价类比保德区块井场固化后的泥浆的浸出试验（本项目采用新型的清洁钻井泥浆进行钻井作业，钻井方式、钻井液、固化剂均类似，因此钻井液成分有可类比性）。试验结果见下表，其监测结果显示固化泥浆浸出液各监测值均小于《危险废物鉴别标准浸出毒性鉴别》（GB5085.3-2007），2.0＜pH值＜12.5。根据GB 5085.3-2007 和《危险废物鉴别标准腐蚀性鉴别》（GB 5085.1-2007），本项目拟产生的钻井废泥浆不属于危险废物。</w:t>
            </w:r>
          </w:p>
          <w:p w14:paraId="79C4ECB6">
            <w:pPr>
              <w:pStyle w:val="96"/>
              <w:ind w:firstLine="480"/>
            </w:pPr>
            <w:r>
              <w:rPr>
                <w:rFonts w:hint="eastAsia"/>
              </w:rPr>
              <w:t>另外根据</w:t>
            </w:r>
            <w:r>
              <w:fldChar w:fldCharType="begin"/>
            </w:r>
            <w:r>
              <w:instrText xml:space="preserve"> </w:instrText>
            </w:r>
            <w:r>
              <w:rPr>
                <w:rFonts w:hint="eastAsia"/>
              </w:rPr>
              <w:instrText xml:space="preserve">REF _Ref164757745 \h</w:instrText>
            </w:r>
            <w:r>
              <w:instrText xml:space="preserve">  \* MERGEFORMAT </w:instrText>
            </w:r>
            <w:r>
              <w:fldChar w:fldCharType="separate"/>
            </w:r>
            <w:r>
              <w:t>表 33</w:t>
            </w:r>
            <w:r>
              <w:fldChar w:fldCharType="end"/>
            </w:r>
            <w:r>
              <w:rPr>
                <w:rFonts w:hint="eastAsia"/>
              </w:rPr>
              <w:t>可知，泥浆浸出液各指标均低于《污水综合排放标准》（GB8978-1996）最高允许排放浓度，且pH值在6~9范围内，依据《一般工业固体废物贮存和填埋污染控制标准》（GB18599-2020）本项目固化后的泥浆属于第I类一般工业固体废物。</w:t>
            </w:r>
          </w:p>
          <w:p w14:paraId="12BA004D">
            <w:pPr>
              <w:pStyle w:val="19"/>
              <w:keepNext/>
            </w:pPr>
            <w:bookmarkStart w:id="49" w:name="_Ref164757745"/>
            <w:r>
              <w:t xml:space="preserve">表 </w:t>
            </w:r>
            <w:r>
              <w:fldChar w:fldCharType="begin"/>
            </w:r>
            <w:r>
              <w:instrText xml:space="preserve"> SEQ 表 \* ARABIC </w:instrText>
            </w:r>
            <w:r>
              <w:fldChar w:fldCharType="separate"/>
            </w:r>
            <w:r>
              <w:t>33</w:t>
            </w:r>
            <w:r>
              <w:fldChar w:fldCharType="end"/>
            </w:r>
            <w:bookmarkEnd w:id="49"/>
            <w:r>
              <w:rPr>
                <w:rFonts w:hint="eastAsia"/>
              </w:rPr>
              <w:t>保德区块井场固化后的泥浆的浸出试验监测结果统计表</w:t>
            </w:r>
          </w:p>
          <w:p w14:paraId="04AA38F5">
            <w:pPr>
              <w:pStyle w:val="19"/>
              <w:keepNext/>
            </w:pPr>
            <w:r>
              <w:rPr>
                <w:rFonts w:hint="eastAsia"/>
              </w:rPr>
              <w:t xml:space="preserve">                                              </w:t>
            </w:r>
            <w:r>
              <w:t>（单位：mg/L，pH无量纲）</w:t>
            </w:r>
          </w:p>
          <w:tbl>
            <w:tblPr>
              <w:tblStyle w:val="7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
            <w:tblGrid>
              <w:gridCol w:w="1786"/>
              <w:gridCol w:w="565"/>
              <w:gridCol w:w="670"/>
              <w:gridCol w:w="794"/>
              <w:gridCol w:w="1028"/>
              <w:gridCol w:w="1028"/>
              <w:gridCol w:w="590"/>
              <w:gridCol w:w="693"/>
              <w:gridCol w:w="794"/>
              <w:gridCol w:w="776"/>
            </w:tblGrid>
            <w:tr w14:paraId="389AD6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blHeader/>
              </w:trPr>
              <w:tc>
                <w:tcPr>
                  <w:tcW w:w="1024" w:type="pct"/>
                  <w:tcBorders>
                    <w:tl2br w:val="single" w:color="000000" w:sz="4" w:space="0"/>
                  </w:tcBorders>
                  <w:vAlign w:val="center"/>
                </w:tcPr>
                <w:p w14:paraId="1157BE36">
                  <w:pPr>
                    <w:pStyle w:val="94"/>
                    <w:ind w:firstLine="1050" w:firstLineChars="500"/>
                    <w:jc w:val="both"/>
                    <w:rPr>
                      <w:color w:val="auto"/>
                    </w:rPr>
                  </w:pPr>
                  <w:r>
                    <w:rPr>
                      <w:rFonts w:hint="eastAsia"/>
                      <w:color w:val="auto"/>
                    </w:rPr>
                    <w:t>项目</w:t>
                  </w:r>
                </w:p>
                <w:p w14:paraId="6E28E1B9">
                  <w:pPr>
                    <w:pStyle w:val="94"/>
                    <w:jc w:val="both"/>
                    <w:rPr>
                      <w:color w:val="auto"/>
                    </w:rPr>
                  </w:pPr>
                  <w:r>
                    <w:rPr>
                      <w:rFonts w:hint="eastAsia"/>
                      <w:color w:val="auto"/>
                    </w:rPr>
                    <w:t>样品</w:t>
                  </w:r>
                  <w:r>
                    <w:rPr>
                      <w:color w:val="auto"/>
                    </w:rPr>
                    <w:t>编号</w:t>
                  </w:r>
                </w:p>
              </w:tc>
              <w:tc>
                <w:tcPr>
                  <w:tcW w:w="324" w:type="pct"/>
                  <w:vAlign w:val="center"/>
                </w:tcPr>
                <w:p w14:paraId="31687AAE">
                  <w:pPr>
                    <w:pStyle w:val="94"/>
                    <w:rPr>
                      <w:color w:val="auto"/>
                    </w:rPr>
                  </w:pPr>
                  <w:r>
                    <w:rPr>
                      <w:rFonts w:hint="eastAsia"/>
                      <w:color w:val="auto"/>
                    </w:rPr>
                    <w:t>p</w:t>
                  </w:r>
                  <w:r>
                    <w:rPr>
                      <w:color w:val="auto"/>
                    </w:rPr>
                    <w:t>H</w:t>
                  </w:r>
                </w:p>
              </w:tc>
              <w:tc>
                <w:tcPr>
                  <w:tcW w:w="384" w:type="pct"/>
                  <w:vAlign w:val="center"/>
                </w:tcPr>
                <w:p w14:paraId="10374473">
                  <w:pPr>
                    <w:pStyle w:val="94"/>
                    <w:rPr>
                      <w:color w:val="auto"/>
                    </w:rPr>
                  </w:pPr>
                  <w:r>
                    <w:rPr>
                      <w:rFonts w:hint="eastAsia"/>
                      <w:color w:val="auto"/>
                    </w:rPr>
                    <w:t>无机氯化物</w:t>
                  </w:r>
                </w:p>
              </w:tc>
              <w:tc>
                <w:tcPr>
                  <w:tcW w:w="455" w:type="pct"/>
                  <w:vAlign w:val="center"/>
                </w:tcPr>
                <w:p w14:paraId="33499E16">
                  <w:pPr>
                    <w:pStyle w:val="94"/>
                    <w:rPr>
                      <w:color w:val="auto"/>
                    </w:rPr>
                  </w:pPr>
                  <w:r>
                    <w:rPr>
                      <w:rFonts w:hint="eastAsia"/>
                      <w:color w:val="auto"/>
                    </w:rPr>
                    <w:t>六价铬</w:t>
                  </w:r>
                </w:p>
              </w:tc>
              <w:tc>
                <w:tcPr>
                  <w:tcW w:w="589" w:type="pct"/>
                  <w:vAlign w:val="center"/>
                </w:tcPr>
                <w:p w14:paraId="2A426F36">
                  <w:pPr>
                    <w:pStyle w:val="94"/>
                    <w:rPr>
                      <w:color w:val="auto"/>
                    </w:rPr>
                  </w:pPr>
                  <w:r>
                    <w:rPr>
                      <w:rFonts w:hint="eastAsia"/>
                      <w:color w:val="auto"/>
                    </w:rPr>
                    <w:t>甲基汞</w:t>
                  </w:r>
                </w:p>
                <w:p w14:paraId="51B12D74">
                  <w:pPr>
                    <w:pStyle w:val="94"/>
                    <w:rPr>
                      <w:color w:val="auto"/>
                    </w:rPr>
                  </w:pPr>
                  <w:r>
                    <w:rPr>
                      <w:color w:val="auto"/>
                    </w:rPr>
                    <w:t>（</w:t>
                  </w:r>
                  <w:r>
                    <w:rPr>
                      <w:rFonts w:hint="eastAsia"/>
                      <w:color w:val="auto"/>
                    </w:rPr>
                    <w:t>n</w:t>
                  </w:r>
                  <w:r>
                    <w:rPr>
                      <w:color w:val="auto"/>
                    </w:rPr>
                    <w:t>g/L）</w:t>
                  </w:r>
                </w:p>
              </w:tc>
              <w:tc>
                <w:tcPr>
                  <w:tcW w:w="589" w:type="pct"/>
                  <w:vAlign w:val="center"/>
                </w:tcPr>
                <w:p w14:paraId="152995E2">
                  <w:pPr>
                    <w:pStyle w:val="94"/>
                    <w:rPr>
                      <w:color w:val="auto"/>
                    </w:rPr>
                  </w:pPr>
                  <w:r>
                    <w:rPr>
                      <w:rFonts w:hint="eastAsia"/>
                      <w:color w:val="auto"/>
                    </w:rPr>
                    <w:t>乙基汞</w:t>
                  </w:r>
                </w:p>
                <w:p w14:paraId="7767B14D">
                  <w:pPr>
                    <w:pStyle w:val="94"/>
                    <w:rPr>
                      <w:color w:val="auto"/>
                    </w:rPr>
                  </w:pPr>
                  <w:r>
                    <w:rPr>
                      <w:color w:val="auto"/>
                    </w:rPr>
                    <w:t>（</w:t>
                  </w:r>
                  <w:r>
                    <w:rPr>
                      <w:rFonts w:hint="eastAsia"/>
                      <w:color w:val="auto"/>
                    </w:rPr>
                    <w:t>n</w:t>
                  </w:r>
                  <w:r>
                    <w:rPr>
                      <w:color w:val="auto"/>
                    </w:rPr>
                    <w:t>g/L）</w:t>
                  </w:r>
                </w:p>
              </w:tc>
              <w:tc>
                <w:tcPr>
                  <w:tcW w:w="338" w:type="pct"/>
                  <w:vAlign w:val="center"/>
                </w:tcPr>
                <w:p w14:paraId="6009CBA2">
                  <w:pPr>
                    <w:pStyle w:val="94"/>
                    <w:rPr>
                      <w:color w:val="auto"/>
                    </w:rPr>
                  </w:pPr>
                  <w:r>
                    <w:rPr>
                      <w:rFonts w:hint="eastAsia"/>
                      <w:color w:val="auto"/>
                    </w:rPr>
                    <w:t>铅</w:t>
                  </w:r>
                </w:p>
              </w:tc>
              <w:tc>
                <w:tcPr>
                  <w:tcW w:w="397" w:type="pct"/>
                  <w:vAlign w:val="center"/>
                </w:tcPr>
                <w:p w14:paraId="72D5FF02">
                  <w:pPr>
                    <w:pStyle w:val="94"/>
                    <w:rPr>
                      <w:color w:val="auto"/>
                    </w:rPr>
                  </w:pPr>
                  <w:r>
                    <w:rPr>
                      <w:rFonts w:hint="eastAsia"/>
                      <w:color w:val="auto"/>
                    </w:rPr>
                    <w:t>铬</w:t>
                  </w:r>
                </w:p>
              </w:tc>
              <w:tc>
                <w:tcPr>
                  <w:tcW w:w="455" w:type="pct"/>
                  <w:vAlign w:val="center"/>
                </w:tcPr>
                <w:p w14:paraId="16A4E4EB">
                  <w:pPr>
                    <w:pStyle w:val="94"/>
                    <w:rPr>
                      <w:color w:val="auto"/>
                    </w:rPr>
                  </w:pPr>
                  <w:r>
                    <w:rPr>
                      <w:rFonts w:hint="eastAsia"/>
                      <w:color w:val="auto"/>
                    </w:rPr>
                    <w:t>镉</w:t>
                  </w:r>
                </w:p>
              </w:tc>
              <w:tc>
                <w:tcPr>
                  <w:tcW w:w="444" w:type="pct"/>
                  <w:vAlign w:val="center"/>
                </w:tcPr>
                <w:p w14:paraId="4EEEC225">
                  <w:pPr>
                    <w:pStyle w:val="94"/>
                    <w:rPr>
                      <w:color w:val="auto"/>
                    </w:rPr>
                  </w:pPr>
                  <w:r>
                    <w:rPr>
                      <w:rFonts w:hint="eastAsia"/>
                      <w:color w:val="auto"/>
                    </w:rPr>
                    <w:t>砷</w:t>
                  </w:r>
                </w:p>
              </w:tc>
            </w:tr>
            <w:tr w14:paraId="7A3E75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1024" w:type="pct"/>
                  <w:vAlign w:val="center"/>
                </w:tcPr>
                <w:p w14:paraId="272FCD72">
                  <w:pPr>
                    <w:pStyle w:val="94"/>
                    <w:rPr>
                      <w:color w:val="auto"/>
                    </w:rPr>
                  </w:pPr>
                  <w:r>
                    <w:rPr>
                      <w:rFonts w:hint="eastAsia"/>
                      <w:color w:val="auto"/>
                    </w:rPr>
                    <w:t>20120618001</w:t>
                  </w:r>
                </w:p>
              </w:tc>
              <w:tc>
                <w:tcPr>
                  <w:tcW w:w="324" w:type="pct"/>
                  <w:vAlign w:val="center"/>
                </w:tcPr>
                <w:p w14:paraId="6FE946C2">
                  <w:pPr>
                    <w:pStyle w:val="94"/>
                    <w:rPr>
                      <w:color w:val="auto"/>
                    </w:rPr>
                  </w:pPr>
                  <w:r>
                    <w:rPr>
                      <w:rFonts w:hint="eastAsia"/>
                      <w:color w:val="auto"/>
                    </w:rPr>
                    <w:t>7.12</w:t>
                  </w:r>
                </w:p>
              </w:tc>
              <w:tc>
                <w:tcPr>
                  <w:tcW w:w="384" w:type="pct"/>
                  <w:vAlign w:val="center"/>
                </w:tcPr>
                <w:p w14:paraId="634C7118">
                  <w:pPr>
                    <w:pStyle w:val="94"/>
                    <w:rPr>
                      <w:color w:val="auto"/>
                    </w:rPr>
                  </w:pPr>
                  <w:r>
                    <w:rPr>
                      <w:rFonts w:hint="eastAsia"/>
                      <w:color w:val="auto"/>
                    </w:rPr>
                    <w:t>0.378</w:t>
                  </w:r>
                </w:p>
              </w:tc>
              <w:tc>
                <w:tcPr>
                  <w:tcW w:w="455" w:type="pct"/>
                  <w:vAlign w:val="center"/>
                </w:tcPr>
                <w:p w14:paraId="069B7FDC">
                  <w:pPr>
                    <w:pStyle w:val="94"/>
                    <w:rPr>
                      <w:color w:val="auto"/>
                    </w:rPr>
                  </w:pPr>
                  <w:r>
                    <w:rPr>
                      <w:rFonts w:hint="eastAsia"/>
                      <w:color w:val="auto"/>
                    </w:rPr>
                    <w:t>0.004L</w:t>
                  </w:r>
                </w:p>
              </w:tc>
              <w:tc>
                <w:tcPr>
                  <w:tcW w:w="589" w:type="pct"/>
                  <w:vAlign w:val="center"/>
                </w:tcPr>
                <w:p w14:paraId="1684E21B">
                  <w:pPr>
                    <w:pStyle w:val="94"/>
                    <w:rPr>
                      <w:color w:val="auto"/>
                    </w:rPr>
                  </w:pPr>
                  <w:r>
                    <w:rPr>
                      <w:rFonts w:hint="eastAsia"/>
                      <w:color w:val="auto"/>
                    </w:rPr>
                    <w:t>10L</w:t>
                  </w:r>
                </w:p>
              </w:tc>
              <w:tc>
                <w:tcPr>
                  <w:tcW w:w="589" w:type="pct"/>
                  <w:vAlign w:val="center"/>
                </w:tcPr>
                <w:p w14:paraId="02E2EEB8">
                  <w:pPr>
                    <w:pStyle w:val="94"/>
                    <w:rPr>
                      <w:color w:val="auto"/>
                    </w:rPr>
                  </w:pPr>
                  <w:r>
                    <w:rPr>
                      <w:rFonts w:hint="eastAsia"/>
                      <w:color w:val="auto"/>
                    </w:rPr>
                    <w:t>20L</w:t>
                  </w:r>
                </w:p>
              </w:tc>
              <w:tc>
                <w:tcPr>
                  <w:tcW w:w="338" w:type="pct"/>
                  <w:vAlign w:val="center"/>
                </w:tcPr>
                <w:p w14:paraId="56ECB234">
                  <w:pPr>
                    <w:pStyle w:val="94"/>
                    <w:rPr>
                      <w:color w:val="auto"/>
                    </w:rPr>
                  </w:pPr>
                  <w:r>
                    <w:rPr>
                      <w:rFonts w:hint="eastAsia"/>
                      <w:color w:val="auto"/>
                    </w:rPr>
                    <w:t>0.1L</w:t>
                  </w:r>
                </w:p>
              </w:tc>
              <w:tc>
                <w:tcPr>
                  <w:tcW w:w="397" w:type="pct"/>
                  <w:vAlign w:val="center"/>
                </w:tcPr>
                <w:p w14:paraId="517D58EC">
                  <w:pPr>
                    <w:pStyle w:val="94"/>
                    <w:rPr>
                      <w:color w:val="auto"/>
                    </w:rPr>
                  </w:pPr>
                  <w:r>
                    <w:rPr>
                      <w:rFonts w:hint="eastAsia"/>
                      <w:color w:val="auto"/>
                    </w:rPr>
                    <w:t>0.05L</w:t>
                  </w:r>
                </w:p>
              </w:tc>
              <w:tc>
                <w:tcPr>
                  <w:tcW w:w="455" w:type="pct"/>
                  <w:vAlign w:val="center"/>
                </w:tcPr>
                <w:p w14:paraId="50C93305">
                  <w:pPr>
                    <w:pStyle w:val="94"/>
                    <w:rPr>
                      <w:color w:val="auto"/>
                    </w:rPr>
                  </w:pPr>
                  <w:r>
                    <w:rPr>
                      <w:rFonts w:hint="eastAsia"/>
                      <w:color w:val="auto"/>
                    </w:rPr>
                    <w:t>0.005L</w:t>
                  </w:r>
                </w:p>
              </w:tc>
              <w:tc>
                <w:tcPr>
                  <w:tcW w:w="444" w:type="pct"/>
                  <w:vAlign w:val="center"/>
                </w:tcPr>
                <w:p w14:paraId="51B72620">
                  <w:pPr>
                    <w:pStyle w:val="94"/>
                    <w:rPr>
                      <w:color w:val="auto"/>
                    </w:rPr>
                  </w:pPr>
                  <w:r>
                    <w:rPr>
                      <w:rFonts w:hint="eastAsia"/>
                      <w:color w:val="auto"/>
                    </w:rPr>
                    <w:t>0.0013</w:t>
                  </w:r>
                </w:p>
              </w:tc>
            </w:tr>
            <w:tr w14:paraId="151721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1024" w:type="pct"/>
                  <w:vAlign w:val="center"/>
                </w:tcPr>
                <w:p w14:paraId="49256ACC">
                  <w:pPr>
                    <w:pStyle w:val="94"/>
                    <w:rPr>
                      <w:color w:val="auto"/>
                    </w:rPr>
                  </w:pPr>
                  <w:r>
                    <w:rPr>
                      <w:rFonts w:hint="eastAsia"/>
                      <w:color w:val="auto"/>
                    </w:rPr>
                    <w:t>20120618002</w:t>
                  </w:r>
                </w:p>
              </w:tc>
              <w:tc>
                <w:tcPr>
                  <w:tcW w:w="324" w:type="pct"/>
                  <w:vAlign w:val="center"/>
                </w:tcPr>
                <w:p w14:paraId="3B7EFDD5">
                  <w:pPr>
                    <w:pStyle w:val="94"/>
                    <w:rPr>
                      <w:color w:val="auto"/>
                    </w:rPr>
                  </w:pPr>
                  <w:r>
                    <w:rPr>
                      <w:rFonts w:hint="eastAsia"/>
                      <w:color w:val="auto"/>
                    </w:rPr>
                    <w:t>7.13</w:t>
                  </w:r>
                </w:p>
              </w:tc>
              <w:tc>
                <w:tcPr>
                  <w:tcW w:w="384" w:type="pct"/>
                  <w:vAlign w:val="center"/>
                </w:tcPr>
                <w:p w14:paraId="11DCB989">
                  <w:pPr>
                    <w:pStyle w:val="94"/>
                    <w:rPr>
                      <w:color w:val="auto"/>
                    </w:rPr>
                  </w:pPr>
                  <w:r>
                    <w:rPr>
                      <w:rFonts w:hint="eastAsia"/>
                      <w:color w:val="auto"/>
                    </w:rPr>
                    <w:t>0.536</w:t>
                  </w:r>
                </w:p>
              </w:tc>
              <w:tc>
                <w:tcPr>
                  <w:tcW w:w="455" w:type="pct"/>
                  <w:vAlign w:val="center"/>
                </w:tcPr>
                <w:p w14:paraId="5BC6787C">
                  <w:pPr>
                    <w:pStyle w:val="94"/>
                    <w:rPr>
                      <w:color w:val="auto"/>
                    </w:rPr>
                  </w:pPr>
                  <w:r>
                    <w:rPr>
                      <w:rFonts w:hint="eastAsia"/>
                      <w:color w:val="auto"/>
                    </w:rPr>
                    <w:t>0.004L</w:t>
                  </w:r>
                </w:p>
              </w:tc>
              <w:tc>
                <w:tcPr>
                  <w:tcW w:w="589" w:type="pct"/>
                  <w:vAlign w:val="center"/>
                </w:tcPr>
                <w:p w14:paraId="68092455">
                  <w:pPr>
                    <w:pStyle w:val="94"/>
                    <w:rPr>
                      <w:color w:val="auto"/>
                    </w:rPr>
                  </w:pPr>
                  <w:r>
                    <w:rPr>
                      <w:rFonts w:hint="eastAsia"/>
                      <w:color w:val="auto"/>
                    </w:rPr>
                    <w:t>10L</w:t>
                  </w:r>
                </w:p>
              </w:tc>
              <w:tc>
                <w:tcPr>
                  <w:tcW w:w="589" w:type="pct"/>
                  <w:vAlign w:val="center"/>
                </w:tcPr>
                <w:p w14:paraId="41C3B150">
                  <w:pPr>
                    <w:pStyle w:val="94"/>
                    <w:rPr>
                      <w:color w:val="auto"/>
                    </w:rPr>
                  </w:pPr>
                  <w:r>
                    <w:rPr>
                      <w:rFonts w:hint="eastAsia"/>
                      <w:color w:val="auto"/>
                    </w:rPr>
                    <w:t>20L</w:t>
                  </w:r>
                </w:p>
              </w:tc>
              <w:tc>
                <w:tcPr>
                  <w:tcW w:w="338" w:type="pct"/>
                  <w:vAlign w:val="center"/>
                </w:tcPr>
                <w:p w14:paraId="0B761B23">
                  <w:pPr>
                    <w:pStyle w:val="94"/>
                    <w:rPr>
                      <w:color w:val="auto"/>
                    </w:rPr>
                  </w:pPr>
                  <w:r>
                    <w:rPr>
                      <w:rFonts w:hint="eastAsia"/>
                      <w:color w:val="auto"/>
                    </w:rPr>
                    <w:t>0.1L</w:t>
                  </w:r>
                </w:p>
              </w:tc>
              <w:tc>
                <w:tcPr>
                  <w:tcW w:w="397" w:type="pct"/>
                  <w:vAlign w:val="center"/>
                </w:tcPr>
                <w:p w14:paraId="4CFBD5B8">
                  <w:pPr>
                    <w:pStyle w:val="94"/>
                    <w:rPr>
                      <w:color w:val="auto"/>
                    </w:rPr>
                  </w:pPr>
                  <w:r>
                    <w:rPr>
                      <w:rFonts w:hint="eastAsia"/>
                      <w:color w:val="auto"/>
                    </w:rPr>
                    <w:t>0.05L</w:t>
                  </w:r>
                </w:p>
              </w:tc>
              <w:tc>
                <w:tcPr>
                  <w:tcW w:w="455" w:type="pct"/>
                  <w:vAlign w:val="center"/>
                </w:tcPr>
                <w:p w14:paraId="7442E309">
                  <w:pPr>
                    <w:pStyle w:val="94"/>
                    <w:rPr>
                      <w:color w:val="auto"/>
                    </w:rPr>
                  </w:pPr>
                  <w:r>
                    <w:rPr>
                      <w:rFonts w:hint="eastAsia"/>
                      <w:color w:val="auto"/>
                    </w:rPr>
                    <w:t>0.005L</w:t>
                  </w:r>
                </w:p>
              </w:tc>
              <w:tc>
                <w:tcPr>
                  <w:tcW w:w="444" w:type="pct"/>
                  <w:vAlign w:val="center"/>
                </w:tcPr>
                <w:p w14:paraId="450CBF63">
                  <w:pPr>
                    <w:pStyle w:val="94"/>
                    <w:rPr>
                      <w:color w:val="auto"/>
                    </w:rPr>
                  </w:pPr>
                  <w:r>
                    <w:rPr>
                      <w:rFonts w:hint="eastAsia"/>
                      <w:color w:val="auto"/>
                    </w:rPr>
                    <w:t>0.0007</w:t>
                  </w:r>
                </w:p>
              </w:tc>
            </w:tr>
            <w:tr w14:paraId="2686C0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1024" w:type="pct"/>
                  <w:vAlign w:val="center"/>
                </w:tcPr>
                <w:p w14:paraId="336121AE">
                  <w:pPr>
                    <w:pStyle w:val="94"/>
                    <w:rPr>
                      <w:color w:val="auto"/>
                    </w:rPr>
                  </w:pPr>
                  <w:r>
                    <w:rPr>
                      <w:rFonts w:hint="eastAsia"/>
                      <w:color w:val="auto"/>
                    </w:rPr>
                    <w:t>《危险废物鉴别标准--浸出毒性鉴别》</w:t>
                  </w:r>
                  <w:r>
                    <w:rPr>
                      <w:color w:val="auto"/>
                    </w:rPr>
                    <w:t>(GB5085.3-2007)</w:t>
                  </w:r>
                </w:p>
              </w:tc>
              <w:tc>
                <w:tcPr>
                  <w:tcW w:w="324" w:type="pct"/>
                  <w:vAlign w:val="center"/>
                </w:tcPr>
                <w:p w14:paraId="3055D1A0">
                  <w:pPr>
                    <w:pStyle w:val="94"/>
                    <w:rPr>
                      <w:color w:val="auto"/>
                    </w:rPr>
                  </w:pPr>
                  <w:r>
                    <w:rPr>
                      <w:rFonts w:hint="eastAsia"/>
                      <w:color w:val="auto"/>
                    </w:rPr>
                    <w:t>/</w:t>
                  </w:r>
                </w:p>
              </w:tc>
              <w:tc>
                <w:tcPr>
                  <w:tcW w:w="384" w:type="pct"/>
                  <w:vAlign w:val="center"/>
                </w:tcPr>
                <w:p w14:paraId="6757B08D">
                  <w:pPr>
                    <w:pStyle w:val="94"/>
                    <w:rPr>
                      <w:color w:val="auto"/>
                    </w:rPr>
                  </w:pPr>
                  <w:r>
                    <w:rPr>
                      <w:rFonts w:hint="eastAsia"/>
                      <w:color w:val="auto"/>
                    </w:rPr>
                    <w:t>100</w:t>
                  </w:r>
                </w:p>
              </w:tc>
              <w:tc>
                <w:tcPr>
                  <w:tcW w:w="455" w:type="pct"/>
                  <w:vAlign w:val="center"/>
                </w:tcPr>
                <w:p w14:paraId="2A1D11BA">
                  <w:pPr>
                    <w:pStyle w:val="94"/>
                    <w:rPr>
                      <w:color w:val="auto"/>
                    </w:rPr>
                  </w:pPr>
                  <w:r>
                    <w:rPr>
                      <w:rFonts w:hint="eastAsia"/>
                      <w:color w:val="auto"/>
                    </w:rPr>
                    <w:t>5.0</w:t>
                  </w:r>
                </w:p>
              </w:tc>
              <w:tc>
                <w:tcPr>
                  <w:tcW w:w="589" w:type="pct"/>
                  <w:vAlign w:val="center"/>
                </w:tcPr>
                <w:p w14:paraId="383DD3C1">
                  <w:pPr>
                    <w:pStyle w:val="94"/>
                    <w:rPr>
                      <w:color w:val="auto"/>
                    </w:rPr>
                  </w:pPr>
                  <w:r>
                    <w:rPr>
                      <w:rFonts w:hint="eastAsia"/>
                      <w:color w:val="auto"/>
                    </w:rPr>
                    <w:t>不得</w:t>
                  </w:r>
                </w:p>
                <w:p w14:paraId="36F15C05">
                  <w:pPr>
                    <w:pStyle w:val="94"/>
                    <w:rPr>
                      <w:color w:val="auto"/>
                    </w:rPr>
                  </w:pPr>
                  <w:r>
                    <w:rPr>
                      <w:rFonts w:hint="eastAsia"/>
                      <w:color w:val="auto"/>
                    </w:rPr>
                    <w:t>检出</w:t>
                  </w:r>
                  <w:r>
                    <w:rPr>
                      <w:rFonts w:hint="eastAsia"/>
                      <w:color w:val="auto"/>
                      <w:vertAlign w:val="superscript"/>
                    </w:rPr>
                    <w:t>①</w:t>
                  </w:r>
                </w:p>
              </w:tc>
              <w:tc>
                <w:tcPr>
                  <w:tcW w:w="589" w:type="pct"/>
                  <w:vAlign w:val="center"/>
                </w:tcPr>
                <w:p w14:paraId="6463FB8A">
                  <w:pPr>
                    <w:pStyle w:val="94"/>
                    <w:rPr>
                      <w:color w:val="auto"/>
                    </w:rPr>
                  </w:pPr>
                  <w:r>
                    <w:rPr>
                      <w:rFonts w:hint="eastAsia"/>
                      <w:color w:val="auto"/>
                    </w:rPr>
                    <w:t>不得</w:t>
                  </w:r>
                </w:p>
                <w:p w14:paraId="6AB5C129">
                  <w:pPr>
                    <w:pStyle w:val="94"/>
                    <w:rPr>
                      <w:color w:val="auto"/>
                    </w:rPr>
                  </w:pPr>
                  <w:r>
                    <w:rPr>
                      <w:rFonts w:hint="eastAsia"/>
                      <w:color w:val="auto"/>
                    </w:rPr>
                    <w:t>检出</w:t>
                  </w:r>
                  <w:r>
                    <w:rPr>
                      <w:rFonts w:hint="eastAsia"/>
                      <w:color w:val="auto"/>
                      <w:vertAlign w:val="superscript"/>
                    </w:rPr>
                    <w:t>①</w:t>
                  </w:r>
                </w:p>
              </w:tc>
              <w:tc>
                <w:tcPr>
                  <w:tcW w:w="338" w:type="pct"/>
                  <w:vAlign w:val="center"/>
                </w:tcPr>
                <w:p w14:paraId="59C02E8A">
                  <w:pPr>
                    <w:pStyle w:val="94"/>
                    <w:rPr>
                      <w:color w:val="auto"/>
                    </w:rPr>
                  </w:pPr>
                  <w:r>
                    <w:rPr>
                      <w:rFonts w:hint="eastAsia"/>
                      <w:color w:val="auto"/>
                    </w:rPr>
                    <w:t>5</w:t>
                  </w:r>
                </w:p>
              </w:tc>
              <w:tc>
                <w:tcPr>
                  <w:tcW w:w="397" w:type="pct"/>
                  <w:vAlign w:val="center"/>
                </w:tcPr>
                <w:p w14:paraId="3CC64C82">
                  <w:pPr>
                    <w:pStyle w:val="94"/>
                    <w:rPr>
                      <w:color w:val="auto"/>
                    </w:rPr>
                  </w:pPr>
                  <w:r>
                    <w:rPr>
                      <w:rFonts w:hint="eastAsia"/>
                      <w:color w:val="auto"/>
                    </w:rPr>
                    <w:t>15</w:t>
                  </w:r>
                </w:p>
              </w:tc>
              <w:tc>
                <w:tcPr>
                  <w:tcW w:w="455" w:type="pct"/>
                  <w:vAlign w:val="center"/>
                </w:tcPr>
                <w:p w14:paraId="1E71F20B">
                  <w:pPr>
                    <w:pStyle w:val="94"/>
                    <w:rPr>
                      <w:color w:val="auto"/>
                    </w:rPr>
                  </w:pPr>
                  <w:r>
                    <w:rPr>
                      <w:rFonts w:hint="eastAsia"/>
                      <w:color w:val="auto"/>
                    </w:rPr>
                    <w:t>1</w:t>
                  </w:r>
                </w:p>
              </w:tc>
              <w:tc>
                <w:tcPr>
                  <w:tcW w:w="444" w:type="pct"/>
                  <w:vAlign w:val="center"/>
                </w:tcPr>
                <w:p w14:paraId="145F492B">
                  <w:pPr>
                    <w:pStyle w:val="94"/>
                    <w:rPr>
                      <w:color w:val="auto"/>
                    </w:rPr>
                  </w:pPr>
                  <w:r>
                    <w:rPr>
                      <w:rFonts w:hint="eastAsia"/>
                      <w:color w:val="auto"/>
                    </w:rPr>
                    <w:t>5</w:t>
                  </w:r>
                </w:p>
              </w:tc>
            </w:tr>
            <w:tr w14:paraId="7BFF4D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1024" w:type="pct"/>
                  <w:vAlign w:val="center"/>
                </w:tcPr>
                <w:p w14:paraId="1A9F4B92">
                  <w:pPr>
                    <w:pStyle w:val="94"/>
                    <w:rPr>
                      <w:color w:val="auto"/>
                    </w:rPr>
                  </w:pPr>
                  <w:r>
                    <w:rPr>
                      <w:rFonts w:hint="eastAsia"/>
                      <w:color w:val="auto"/>
                    </w:rPr>
                    <w:t>《污水综合排放标准》（GB8978-1996）</w:t>
                  </w:r>
                </w:p>
              </w:tc>
              <w:tc>
                <w:tcPr>
                  <w:tcW w:w="324" w:type="pct"/>
                  <w:vAlign w:val="center"/>
                </w:tcPr>
                <w:p w14:paraId="6C22E45F">
                  <w:pPr>
                    <w:pStyle w:val="94"/>
                    <w:rPr>
                      <w:color w:val="auto"/>
                    </w:rPr>
                  </w:pPr>
                  <w:r>
                    <w:rPr>
                      <w:color w:val="auto"/>
                    </w:rPr>
                    <w:t>6~9</w:t>
                  </w:r>
                </w:p>
              </w:tc>
              <w:tc>
                <w:tcPr>
                  <w:tcW w:w="384" w:type="pct"/>
                  <w:vAlign w:val="center"/>
                </w:tcPr>
                <w:p w14:paraId="11A00388">
                  <w:pPr>
                    <w:pStyle w:val="94"/>
                    <w:rPr>
                      <w:color w:val="auto"/>
                    </w:rPr>
                  </w:pPr>
                  <w:r>
                    <w:rPr>
                      <w:rFonts w:hint="eastAsia"/>
                      <w:color w:val="auto"/>
                    </w:rPr>
                    <w:t>10</w:t>
                  </w:r>
                </w:p>
              </w:tc>
              <w:tc>
                <w:tcPr>
                  <w:tcW w:w="455" w:type="pct"/>
                  <w:vAlign w:val="center"/>
                </w:tcPr>
                <w:p w14:paraId="42B424FD">
                  <w:pPr>
                    <w:pStyle w:val="94"/>
                    <w:rPr>
                      <w:color w:val="auto"/>
                    </w:rPr>
                  </w:pPr>
                  <w:r>
                    <w:rPr>
                      <w:rFonts w:hint="eastAsia"/>
                      <w:color w:val="auto"/>
                    </w:rPr>
                    <w:t>0.5</w:t>
                  </w:r>
                </w:p>
              </w:tc>
              <w:tc>
                <w:tcPr>
                  <w:tcW w:w="589" w:type="pct"/>
                  <w:vAlign w:val="center"/>
                </w:tcPr>
                <w:p w14:paraId="13FBDAAD">
                  <w:pPr>
                    <w:pStyle w:val="94"/>
                    <w:rPr>
                      <w:color w:val="auto"/>
                    </w:rPr>
                  </w:pPr>
                  <w:r>
                    <w:rPr>
                      <w:rFonts w:hint="eastAsia"/>
                      <w:color w:val="auto"/>
                    </w:rPr>
                    <w:t>不得</w:t>
                  </w:r>
                </w:p>
                <w:p w14:paraId="4000CD61">
                  <w:pPr>
                    <w:pStyle w:val="94"/>
                    <w:rPr>
                      <w:color w:val="auto"/>
                    </w:rPr>
                  </w:pPr>
                  <w:r>
                    <w:rPr>
                      <w:rFonts w:hint="eastAsia"/>
                      <w:color w:val="auto"/>
                    </w:rPr>
                    <w:t>检出</w:t>
                  </w:r>
                  <w:r>
                    <w:rPr>
                      <w:rFonts w:hint="eastAsia"/>
                      <w:color w:val="auto"/>
                      <w:vertAlign w:val="superscript"/>
                    </w:rPr>
                    <w:t>①</w:t>
                  </w:r>
                </w:p>
              </w:tc>
              <w:tc>
                <w:tcPr>
                  <w:tcW w:w="589" w:type="pct"/>
                  <w:vAlign w:val="center"/>
                </w:tcPr>
                <w:p w14:paraId="79D3D45B">
                  <w:pPr>
                    <w:pStyle w:val="94"/>
                    <w:rPr>
                      <w:color w:val="auto"/>
                    </w:rPr>
                  </w:pPr>
                  <w:r>
                    <w:rPr>
                      <w:rFonts w:hint="eastAsia"/>
                      <w:color w:val="auto"/>
                    </w:rPr>
                    <w:t>不得</w:t>
                  </w:r>
                </w:p>
                <w:p w14:paraId="4E86AA42">
                  <w:pPr>
                    <w:pStyle w:val="94"/>
                    <w:rPr>
                      <w:color w:val="auto"/>
                    </w:rPr>
                  </w:pPr>
                  <w:r>
                    <w:rPr>
                      <w:rFonts w:hint="eastAsia"/>
                      <w:color w:val="auto"/>
                    </w:rPr>
                    <w:t>检出</w:t>
                  </w:r>
                  <w:r>
                    <w:rPr>
                      <w:rFonts w:hint="eastAsia"/>
                      <w:color w:val="auto"/>
                      <w:vertAlign w:val="superscript"/>
                    </w:rPr>
                    <w:t>①</w:t>
                  </w:r>
                </w:p>
              </w:tc>
              <w:tc>
                <w:tcPr>
                  <w:tcW w:w="338" w:type="pct"/>
                  <w:vAlign w:val="center"/>
                </w:tcPr>
                <w:p w14:paraId="1F3E81EA">
                  <w:pPr>
                    <w:pStyle w:val="94"/>
                    <w:rPr>
                      <w:color w:val="auto"/>
                    </w:rPr>
                  </w:pPr>
                  <w:r>
                    <w:rPr>
                      <w:rFonts w:hint="eastAsia"/>
                      <w:color w:val="auto"/>
                    </w:rPr>
                    <w:t>1.0</w:t>
                  </w:r>
                </w:p>
              </w:tc>
              <w:tc>
                <w:tcPr>
                  <w:tcW w:w="397" w:type="pct"/>
                  <w:vAlign w:val="center"/>
                </w:tcPr>
                <w:p w14:paraId="3C0AC2FA">
                  <w:pPr>
                    <w:pStyle w:val="94"/>
                    <w:rPr>
                      <w:color w:val="auto"/>
                    </w:rPr>
                  </w:pPr>
                  <w:r>
                    <w:rPr>
                      <w:rFonts w:hint="eastAsia"/>
                      <w:color w:val="auto"/>
                    </w:rPr>
                    <w:t>1.5</w:t>
                  </w:r>
                </w:p>
              </w:tc>
              <w:tc>
                <w:tcPr>
                  <w:tcW w:w="455" w:type="pct"/>
                  <w:vAlign w:val="center"/>
                </w:tcPr>
                <w:p w14:paraId="03E6C9EA">
                  <w:pPr>
                    <w:pStyle w:val="94"/>
                    <w:rPr>
                      <w:color w:val="auto"/>
                    </w:rPr>
                  </w:pPr>
                  <w:r>
                    <w:rPr>
                      <w:rFonts w:hint="eastAsia"/>
                      <w:color w:val="auto"/>
                    </w:rPr>
                    <w:t>0.1</w:t>
                  </w:r>
                </w:p>
              </w:tc>
              <w:tc>
                <w:tcPr>
                  <w:tcW w:w="444" w:type="pct"/>
                  <w:vAlign w:val="center"/>
                </w:tcPr>
                <w:p w14:paraId="47DCC85C">
                  <w:pPr>
                    <w:pStyle w:val="94"/>
                    <w:rPr>
                      <w:color w:val="auto"/>
                    </w:rPr>
                  </w:pPr>
                  <w:r>
                    <w:rPr>
                      <w:rFonts w:hint="eastAsia"/>
                      <w:color w:val="auto"/>
                    </w:rPr>
                    <w:t>0.5</w:t>
                  </w:r>
                </w:p>
              </w:tc>
            </w:tr>
            <w:tr w14:paraId="6AA158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5000" w:type="pct"/>
                  <w:gridSpan w:val="10"/>
                  <w:vAlign w:val="center"/>
                </w:tcPr>
                <w:p w14:paraId="0C5316E0">
                  <w:pPr>
                    <w:pStyle w:val="94"/>
                    <w:rPr>
                      <w:color w:val="auto"/>
                    </w:rPr>
                  </w:pPr>
                  <w:r>
                    <w:rPr>
                      <w:rFonts w:hint="eastAsia"/>
                      <w:color w:val="auto"/>
                    </w:rPr>
                    <w:t>备注</w:t>
                  </w:r>
                  <w:r>
                    <w:rPr>
                      <w:color w:val="auto"/>
                    </w:rPr>
                    <w:t>：</w:t>
                  </w:r>
                  <w:r>
                    <w:rPr>
                      <w:rFonts w:hint="eastAsia"/>
                      <w:color w:val="auto"/>
                    </w:rPr>
                    <w:t>1、</w:t>
                  </w:r>
                  <w:r>
                    <w:rPr>
                      <w:color w:val="auto"/>
                    </w:rPr>
                    <w:t>“L”</w:t>
                  </w:r>
                  <w:r>
                    <w:rPr>
                      <w:rFonts w:hint="eastAsia"/>
                      <w:color w:val="auto"/>
                    </w:rPr>
                    <w:t>表示</w:t>
                  </w:r>
                  <w:r>
                    <w:rPr>
                      <w:color w:val="auto"/>
                    </w:rPr>
                    <w:t>低于检出限，其数值为该项目检测限。</w:t>
                  </w:r>
                  <w:r>
                    <w:rPr>
                      <w:rFonts w:hint="eastAsia"/>
                      <w:color w:val="auto"/>
                    </w:rPr>
                    <w:t>2、</w:t>
                  </w:r>
                  <w:r>
                    <w:rPr>
                      <w:color w:val="auto"/>
                    </w:rPr>
                    <w:t>不得检出</w:t>
                  </w:r>
                  <w:r>
                    <w:rPr>
                      <w:rFonts w:hint="eastAsia"/>
                      <w:color w:val="auto"/>
                      <w:vertAlign w:val="superscript"/>
                    </w:rPr>
                    <w:t>①</w:t>
                  </w:r>
                  <w:r>
                    <w:rPr>
                      <w:color w:val="auto"/>
                    </w:rPr>
                    <w:t>指甲基汞≤10ng/L</w:t>
                  </w:r>
                  <w:r>
                    <w:rPr>
                      <w:rFonts w:hint="eastAsia"/>
                      <w:color w:val="auto"/>
                    </w:rPr>
                    <w:t>，</w:t>
                  </w:r>
                  <w:r>
                    <w:rPr>
                      <w:color w:val="auto"/>
                    </w:rPr>
                    <w:t>乙基汞≤20ng/L</w:t>
                  </w:r>
                </w:p>
              </w:tc>
            </w:tr>
          </w:tbl>
          <w:p w14:paraId="4ABED223">
            <w:pPr>
              <w:pStyle w:val="96"/>
              <w:ind w:firstLine="480"/>
            </w:pPr>
            <w:r>
              <w:rPr>
                <w:rFonts w:hint="eastAsia"/>
              </w:rPr>
              <w:t>本项目选用无毒无害的钻井泥浆，从源头控制；对废弃钻井泥浆、泥屑采用无害化固化处理；井场设置1座约400m</w:t>
            </w:r>
            <w:r>
              <w:rPr>
                <w:rFonts w:hint="eastAsia"/>
                <w:vertAlign w:val="superscript"/>
              </w:rPr>
              <w:t>3</w:t>
            </w:r>
            <w:r>
              <w:rPr>
                <w:rFonts w:hint="eastAsia"/>
              </w:rPr>
              <w:t>的泥浆固化池，泥浆固化池采用粘土+三层土工膜防渗基础，防渗系数应小于1.0×10</w:t>
            </w:r>
            <w:r>
              <w:rPr>
                <w:rFonts w:hint="eastAsia"/>
                <w:vertAlign w:val="superscript"/>
              </w:rPr>
              <w:t>-7</w:t>
            </w:r>
            <w:r>
              <w:rPr>
                <w:rFonts w:hint="eastAsia"/>
              </w:rPr>
              <w:t>cm/s，防止钻井泥浆对土壤和地下水的污染；本项目钻井泥浆池容积大于设计井深的排污容积，并能保证完井后废弃物面低于池表面50cm的要求，可以防止外溢污染环境。因泥浆池中大部分含水泥浆被抽走，池中剩余物以岩屑为主。剩余泥浆、岩屑的处理采用加石灰法以加速剩余物稳定固化，一般3~4天可以达到固化要求。然后在其上覆盖不小于50cm厚黄土层填埋的方式，将开挖泥浆池时单独保留的表土覆于表层，最终做到场地平整、清洁。</w:t>
            </w:r>
          </w:p>
          <w:p w14:paraId="159074FD">
            <w:pPr>
              <w:pStyle w:val="96"/>
              <w:ind w:firstLine="480"/>
            </w:pPr>
            <w:r>
              <w:rPr>
                <w:rFonts w:hint="eastAsia"/>
              </w:rPr>
              <w:t>（4）危险废物</w:t>
            </w:r>
          </w:p>
          <w:p w14:paraId="61E4D371">
            <w:pPr>
              <w:pStyle w:val="96"/>
              <w:ind w:firstLine="480"/>
            </w:pPr>
            <w:r>
              <w:rPr>
                <w:rFonts w:hint="eastAsia"/>
              </w:rPr>
              <w:t>本项目危险废物主要包括废矿物油、废油桶、含油棉纱手套等。</w:t>
            </w:r>
          </w:p>
          <w:p w14:paraId="1D5D2A42">
            <w:pPr>
              <w:pStyle w:val="96"/>
              <w:ind w:firstLine="480"/>
            </w:pPr>
            <w:r>
              <w:rPr>
                <w:rFonts w:hint="eastAsia"/>
              </w:rPr>
              <w:t>废矿物油：本项目钻机、柴油机运转保养过程中需要更换机油，根据建设单位提供的</w:t>
            </w:r>
            <w:r>
              <w:t>资料</w:t>
            </w:r>
            <w:r>
              <w:rPr>
                <w:rFonts w:hint="eastAsia"/>
              </w:rPr>
              <w:t>，单口井的废机油产生量约0.15t，则本项目废矿物油产生总量约3.15t。</w:t>
            </w:r>
          </w:p>
          <w:p w14:paraId="1A2ADB67">
            <w:pPr>
              <w:pStyle w:val="96"/>
              <w:ind w:firstLine="480"/>
            </w:pPr>
            <w:r>
              <w:rPr>
                <w:rFonts w:hint="eastAsia"/>
              </w:rPr>
              <w:t>废油桶：根据建设单位提供的</w:t>
            </w:r>
            <w:r>
              <w:t>资料</w:t>
            </w:r>
            <w:r>
              <w:rPr>
                <w:rFonts w:hint="eastAsia"/>
              </w:rPr>
              <w:t>，单个井场废油桶产生量约5个，</w:t>
            </w:r>
            <w:r>
              <w:t>则本项目废油桶产生量约</w:t>
            </w:r>
            <w:r>
              <w:rPr>
                <w:rFonts w:hint="eastAsia"/>
              </w:rPr>
              <w:t>105个</w:t>
            </w:r>
            <w:r>
              <w:t>。</w:t>
            </w:r>
          </w:p>
          <w:p w14:paraId="792FC572">
            <w:pPr>
              <w:pStyle w:val="96"/>
              <w:ind w:firstLine="480"/>
            </w:pPr>
            <w:r>
              <w:rPr>
                <w:rFonts w:hint="eastAsia"/>
              </w:rPr>
              <w:t>废棉纱</w:t>
            </w:r>
            <w:r>
              <w:t>、废手套：</w:t>
            </w:r>
            <w:r>
              <w:rPr>
                <w:rFonts w:hint="eastAsia"/>
              </w:rPr>
              <w:t>含油棉纱、手套主要来源于对机械保养、清洗擦拭等过程，一般都带有油污。根据建设单位提供的</w:t>
            </w:r>
            <w:r>
              <w:t>资料</w:t>
            </w:r>
            <w:r>
              <w:rPr>
                <w:rFonts w:hint="eastAsia"/>
              </w:rPr>
              <w:t>，单井的含油棉纱手套及其他劳保用品的产生量约为1kg，</w:t>
            </w:r>
            <w:r>
              <w:t>则本项目</w:t>
            </w:r>
            <w:r>
              <w:rPr>
                <w:rFonts w:hint="eastAsia"/>
              </w:rPr>
              <w:t>废棉纱</w:t>
            </w:r>
            <w:r>
              <w:t>、废手套产生量约0.0</w:t>
            </w:r>
            <w:r>
              <w:rPr>
                <w:rFonts w:hint="eastAsia"/>
              </w:rPr>
              <w:t>76</w:t>
            </w:r>
            <w:r>
              <w:t>t。</w:t>
            </w:r>
          </w:p>
          <w:p w14:paraId="38B6AE1C">
            <w:pPr>
              <w:pStyle w:val="96"/>
              <w:ind w:firstLine="480"/>
            </w:pPr>
            <w:r>
              <w:rPr>
                <w:rFonts w:hint="eastAsia"/>
              </w:rPr>
              <w:t>（2）危废类别</w:t>
            </w:r>
          </w:p>
          <w:p w14:paraId="53424036">
            <w:pPr>
              <w:pStyle w:val="96"/>
              <w:ind w:firstLine="480"/>
            </w:pPr>
            <w:r>
              <w:rPr>
                <w:rFonts w:hint="eastAsia"/>
              </w:rPr>
              <w:t>根据《国家危险废物名录》，废矿物油危废类别为HW08，废物代码为900-214-08。</w:t>
            </w:r>
          </w:p>
          <w:p w14:paraId="2FA641DE">
            <w:pPr>
              <w:pStyle w:val="96"/>
              <w:ind w:firstLine="480"/>
            </w:pPr>
            <w:r>
              <w:rPr>
                <w:rFonts w:hint="eastAsia"/>
              </w:rPr>
              <w:t>废油桶危废类别为HW</w:t>
            </w:r>
            <w:r>
              <w:t>49</w:t>
            </w:r>
            <w:r>
              <w:rPr>
                <w:rFonts w:hint="eastAsia"/>
              </w:rPr>
              <w:t>，废物代码为</w:t>
            </w:r>
            <w:r>
              <w:t>900-</w:t>
            </w:r>
            <w:r>
              <w:rPr>
                <w:rFonts w:hint="eastAsia"/>
              </w:rPr>
              <w:t>041</w:t>
            </w:r>
            <w:r>
              <w:t>-</w:t>
            </w:r>
            <w:r>
              <w:rPr>
                <w:rFonts w:hint="eastAsia"/>
              </w:rPr>
              <w:t>49。</w:t>
            </w:r>
          </w:p>
          <w:p w14:paraId="1839AADB">
            <w:pPr>
              <w:pStyle w:val="96"/>
              <w:ind w:firstLine="480"/>
            </w:pPr>
            <w:r>
              <w:rPr>
                <w:rFonts w:hint="eastAsia"/>
              </w:rPr>
              <w:t>废棉纱</w:t>
            </w:r>
            <w:r>
              <w:t>、废手套</w:t>
            </w:r>
            <w:r>
              <w:rPr>
                <w:rFonts w:hint="eastAsia"/>
              </w:rPr>
              <w:t>危废类别为HW</w:t>
            </w:r>
            <w:r>
              <w:t>49</w:t>
            </w:r>
            <w:r>
              <w:rPr>
                <w:rFonts w:hint="eastAsia"/>
              </w:rPr>
              <w:t>，废物代码为</w:t>
            </w:r>
            <w:r>
              <w:t>900-041-49</w:t>
            </w:r>
            <w:r>
              <w:rPr>
                <w:rFonts w:hint="eastAsia"/>
              </w:rPr>
              <w:t>。</w:t>
            </w:r>
          </w:p>
          <w:p w14:paraId="775C58CA">
            <w:pPr>
              <w:pStyle w:val="19"/>
              <w:keepNext/>
            </w:pPr>
            <w:r>
              <w:t xml:space="preserve">表 </w:t>
            </w:r>
            <w:r>
              <w:fldChar w:fldCharType="begin"/>
            </w:r>
            <w:r>
              <w:instrText xml:space="preserve"> SEQ 表 \* ARABIC </w:instrText>
            </w:r>
            <w:r>
              <w:fldChar w:fldCharType="separate"/>
            </w:r>
            <w:r>
              <w:t>34</w:t>
            </w:r>
            <w:r>
              <w:fldChar w:fldCharType="end"/>
            </w:r>
            <w:r>
              <w:rPr>
                <w:rFonts w:hint="eastAsia"/>
              </w:rPr>
              <w:t>危险废物产生情况一览表</w:t>
            </w:r>
          </w:p>
          <w:tbl>
            <w:tblPr>
              <w:tblStyle w:val="72"/>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
            <w:tblGrid>
              <w:gridCol w:w="527"/>
              <w:gridCol w:w="866"/>
              <w:gridCol w:w="776"/>
              <w:gridCol w:w="1304"/>
              <w:gridCol w:w="835"/>
              <w:gridCol w:w="937"/>
              <w:gridCol w:w="545"/>
              <w:gridCol w:w="784"/>
              <w:gridCol w:w="665"/>
              <w:gridCol w:w="613"/>
              <w:gridCol w:w="676"/>
            </w:tblGrid>
            <w:tr w14:paraId="16272E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527" w:type="dxa"/>
                  <w:vAlign w:val="center"/>
                </w:tcPr>
                <w:p w14:paraId="2CC7374B">
                  <w:pPr>
                    <w:pStyle w:val="94"/>
                    <w:rPr>
                      <w:color w:val="auto"/>
                    </w:rPr>
                  </w:pPr>
                  <w:r>
                    <w:rPr>
                      <w:rFonts w:hint="eastAsia"/>
                      <w:color w:val="auto"/>
                    </w:rPr>
                    <w:t>序号</w:t>
                  </w:r>
                </w:p>
              </w:tc>
              <w:tc>
                <w:tcPr>
                  <w:tcW w:w="866" w:type="dxa"/>
                  <w:vAlign w:val="center"/>
                </w:tcPr>
                <w:p w14:paraId="71A1001A">
                  <w:pPr>
                    <w:pStyle w:val="94"/>
                    <w:rPr>
                      <w:color w:val="auto"/>
                    </w:rPr>
                  </w:pPr>
                  <w:r>
                    <w:rPr>
                      <w:rFonts w:hint="eastAsia"/>
                      <w:color w:val="auto"/>
                    </w:rPr>
                    <w:t>危险</w:t>
                  </w:r>
                  <w:r>
                    <w:rPr>
                      <w:color w:val="auto"/>
                    </w:rPr>
                    <w:t>废物名称</w:t>
                  </w:r>
                </w:p>
              </w:tc>
              <w:tc>
                <w:tcPr>
                  <w:tcW w:w="776" w:type="dxa"/>
                  <w:vAlign w:val="center"/>
                </w:tcPr>
                <w:p w14:paraId="488DC6B4">
                  <w:pPr>
                    <w:pStyle w:val="94"/>
                    <w:rPr>
                      <w:color w:val="auto"/>
                    </w:rPr>
                  </w:pPr>
                  <w:r>
                    <w:rPr>
                      <w:rFonts w:hint="eastAsia"/>
                      <w:color w:val="auto"/>
                    </w:rPr>
                    <w:t>危险</w:t>
                  </w:r>
                  <w:r>
                    <w:rPr>
                      <w:color w:val="auto"/>
                    </w:rPr>
                    <w:t>废物</w:t>
                  </w:r>
                  <w:r>
                    <w:rPr>
                      <w:rFonts w:hint="eastAsia"/>
                      <w:color w:val="auto"/>
                    </w:rPr>
                    <w:t>类别</w:t>
                  </w:r>
                </w:p>
              </w:tc>
              <w:tc>
                <w:tcPr>
                  <w:tcW w:w="1304" w:type="dxa"/>
                  <w:vAlign w:val="center"/>
                </w:tcPr>
                <w:p w14:paraId="020CB88B">
                  <w:pPr>
                    <w:pStyle w:val="94"/>
                    <w:rPr>
                      <w:color w:val="auto"/>
                    </w:rPr>
                  </w:pPr>
                  <w:r>
                    <w:rPr>
                      <w:rFonts w:hint="eastAsia"/>
                      <w:color w:val="auto"/>
                    </w:rPr>
                    <w:t>危险</w:t>
                  </w:r>
                  <w:r>
                    <w:rPr>
                      <w:color w:val="auto"/>
                    </w:rPr>
                    <w:t>废物代码</w:t>
                  </w:r>
                </w:p>
              </w:tc>
              <w:tc>
                <w:tcPr>
                  <w:tcW w:w="835" w:type="dxa"/>
                  <w:vAlign w:val="center"/>
                </w:tcPr>
                <w:p w14:paraId="3D10551C">
                  <w:pPr>
                    <w:pStyle w:val="94"/>
                    <w:rPr>
                      <w:color w:val="auto"/>
                    </w:rPr>
                  </w:pPr>
                  <w:r>
                    <w:rPr>
                      <w:rFonts w:hint="eastAsia"/>
                      <w:color w:val="auto"/>
                    </w:rPr>
                    <w:t>产生量</w:t>
                  </w:r>
                </w:p>
              </w:tc>
              <w:tc>
                <w:tcPr>
                  <w:tcW w:w="937" w:type="dxa"/>
                  <w:vAlign w:val="center"/>
                </w:tcPr>
                <w:p w14:paraId="369DD7E2">
                  <w:pPr>
                    <w:pStyle w:val="94"/>
                    <w:rPr>
                      <w:color w:val="auto"/>
                    </w:rPr>
                  </w:pPr>
                  <w:r>
                    <w:rPr>
                      <w:rFonts w:hint="eastAsia"/>
                      <w:color w:val="auto"/>
                    </w:rPr>
                    <w:t>产生</w:t>
                  </w:r>
                  <w:r>
                    <w:rPr>
                      <w:color w:val="auto"/>
                    </w:rPr>
                    <w:t>工序及装置</w:t>
                  </w:r>
                </w:p>
              </w:tc>
              <w:tc>
                <w:tcPr>
                  <w:tcW w:w="545" w:type="dxa"/>
                  <w:vAlign w:val="center"/>
                </w:tcPr>
                <w:p w14:paraId="606FD93C">
                  <w:pPr>
                    <w:pStyle w:val="94"/>
                    <w:rPr>
                      <w:color w:val="auto"/>
                    </w:rPr>
                  </w:pPr>
                  <w:r>
                    <w:rPr>
                      <w:rFonts w:hint="eastAsia"/>
                      <w:color w:val="auto"/>
                    </w:rPr>
                    <w:t>形态</w:t>
                  </w:r>
                </w:p>
              </w:tc>
              <w:tc>
                <w:tcPr>
                  <w:tcW w:w="784" w:type="dxa"/>
                  <w:vAlign w:val="center"/>
                </w:tcPr>
                <w:p w14:paraId="3DEDAE5C">
                  <w:pPr>
                    <w:pStyle w:val="94"/>
                    <w:rPr>
                      <w:color w:val="auto"/>
                    </w:rPr>
                  </w:pPr>
                  <w:r>
                    <w:rPr>
                      <w:rFonts w:hint="eastAsia"/>
                      <w:color w:val="auto"/>
                    </w:rPr>
                    <w:t>主要</w:t>
                  </w:r>
                  <w:r>
                    <w:rPr>
                      <w:color w:val="auto"/>
                    </w:rPr>
                    <w:t>成分</w:t>
                  </w:r>
                </w:p>
              </w:tc>
              <w:tc>
                <w:tcPr>
                  <w:tcW w:w="665" w:type="dxa"/>
                  <w:vAlign w:val="center"/>
                </w:tcPr>
                <w:p w14:paraId="6246D7E9">
                  <w:pPr>
                    <w:pStyle w:val="94"/>
                    <w:rPr>
                      <w:color w:val="auto"/>
                    </w:rPr>
                  </w:pPr>
                  <w:r>
                    <w:rPr>
                      <w:rFonts w:hint="eastAsia"/>
                      <w:color w:val="auto"/>
                    </w:rPr>
                    <w:t>有害</w:t>
                  </w:r>
                  <w:r>
                    <w:rPr>
                      <w:color w:val="auto"/>
                    </w:rPr>
                    <w:t>成分</w:t>
                  </w:r>
                </w:p>
              </w:tc>
              <w:tc>
                <w:tcPr>
                  <w:tcW w:w="613" w:type="dxa"/>
                  <w:vAlign w:val="center"/>
                </w:tcPr>
                <w:p w14:paraId="52D5F357">
                  <w:pPr>
                    <w:pStyle w:val="94"/>
                    <w:rPr>
                      <w:color w:val="auto"/>
                    </w:rPr>
                  </w:pPr>
                  <w:r>
                    <w:rPr>
                      <w:rFonts w:hint="eastAsia"/>
                      <w:color w:val="auto"/>
                    </w:rPr>
                    <w:t>危险</w:t>
                  </w:r>
                  <w:r>
                    <w:rPr>
                      <w:color w:val="auto"/>
                    </w:rPr>
                    <w:t>特性</w:t>
                  </w:r>
                </w:p>
              </w:tc>
              <w:tc>
                <w:tcPr>
                  <w:tcW w:w="676" w:type="dxa"/>
                  <w:vAlign w:val="center"/>
                </w:tcPr>
                <w:p w14:paraId="74E52772">
                  <w:pPr>
                    <w:pStyle w:val="94"/>
                    <w:rPr>
                      <w:color w:val="auto"/>
                    </w:rPr>
                  </w:pPr>
                  <w:r>
                    <w:rPr>
                      <w:rFonts w:hint="eastAsia"/>
                      <w:color w:val="auto"/>
                    </w:rPr>
                    <w:t>污染</w:t>
                  </w:r>
                  <w:r>
                    <w:rPr>
                      <w:color w:val="auto"/>
                    </w:rPr>
                    <w:t>防治措施</w:t>
                  </w:r>
                </w:p>
              </w:tc>
            </w:tr>
            <w:tr w14:paraId="0A7059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527" w:type="dxa"/>
                  <w:vAlign w:val="center"/>
                </w:tcPr>
                <w:p w14:paraId="78267EE7">
                  <w:pPr>
                    <w:pStyle w:val="94"/>
                    <w:rPr>
                      <w:color w:val="auto"/>
                    </w:rPr>
                  </w:pPr>
                  <w:r>
                    <w:rPr>
                      <w:rFonts w:hint="eastAsia"/>
                      <w:color w:val="auto"/>
                    </w:rPr>
                    <w:t>1</w:t>
                  </w:r>
                </w:p>
              </w:tc>
              <w:tc>
                <w:tcPr>
                  <w:tcW w:w="866" w:type="dxa"/>
                  <w:vAlign w:val="center"/>
                </w:tcPr>
                <w:p w14:paraId="77DF5774">
                  <w:pPr>
                    <w:pStyle w:val="94"/>
                    <w:rPr>
                      <w:color w:val="auto"/>
                    </w:rPr>
                  </w:pPr>
                  <w:r>
                    <w:rPr>
                      <w:rFonts w:hint="eastAsia"/>
                      <w:color w:val="auto"/>
                    </w:rPr>
                    <w:t>废矿物油</w:t>
                  </w:r>
                </w:p>
              </w:tc>
              <w:tc>
                <w:tcPr>
                  <w:tcW w:w="776" w:type="dxa"/>
                  <w:vAlign w:val="center"/>
                </w:tcPr>
                <w:p w14:paraId="4E2B00F0">
                  <w:pPr>
                    <w:pStyle w:val="94"/>
                    <w:rPr>
                      <w:color w:val="auto"/>
                    </w:rPr>
                  </w:pPr>
                  <w:r>
                    <w:rPr>
                      <w:rFonts w:hint="eastAsia"/>
                      <w:color w:val="auto"/>
                    </w:rPr>
                    <w:t>HW08</w:t>
                  </w:r>
                </w:p>
              </w:tc>
              <w:tc>
                <w:tcPr>
                  <w:tcW w:w="1304" w:type="dxa"/>
                  <w:vAlign w:val="center"/>
                </w:tcPr>
                <w:p w14:paraId="62CFE482">
                  <w:pPr>
                    <w:pStyle w:val="94"/>
                    <w:rPr>
                      <w:color w:val="auto"/>
                    </w:rPr>
                  </w:pPr>
                  <w:r>
                    <w:rPr>
                      <w:rFonts w:hint="eastAsia"/>
                      <w:color w:val="auto"/>
                    </w:rPr>
                    <w:t>900-214-08</w:t>
                  </w:r>
                </w:p>
              </w:tc>
              <w:tc>
                <w:tcPr>
                  <w:tcW w:w="835" w:type="dxa"/>
                  <w:vAlign w:val="center"/>
                </w:tcPr>
                <w:p w14:paraId="5C7E2997">
                  <w:pPr>
                    <w:pStyle w:val="94"/>
                    <w:rPr>
                      <w:color w:val="auto"/>
                    </w:rPr>
                  </w:pPr>
                  <w:r>
                    <w:rPr>
                      <w:rFonts w:hint="eastAsia"/>
                      <w:color w:val="auto"/>
                    </w:rPr>
                    <w:t>3.15</w:t>
                  </w:r>
                  <w:r>
                    <w:rPr>
                      <w:color w:val="auto"/>
                    </w:rPr>
                    <w:t>t</w:t>
                  </w:r>
                </w:p>
              </w:tc>
              <w:tc>
                <w:tcPr>
                  <w:tcW w:w="937" w:type="dxa"/>
                  <w:vMerge w:val="restart"/>
                  <w:vAlign w:val="center"/>
                </w:tcPr>
                <w:p w14:paraId="6F0E61F1">
                  <w:pPr>
                    <w:pStyle w:val="94"/>
                    <w:rPr>
                      <w:color w:val="auto"/>
                    </w:rPr>
                  </w:pPr>
                  <w:r>
                    <w:rPr>
                      <w:rFonts w:hint="eastAsia"/>
                      <w:color w:val="auto"/>
                    </w:rPr>
                    <w:t>钻机</w:t>
                  </w:r>
                  <w:r>
                    <w:rPr>
                      <w:color w:val="auto"/>
                    </w:rPr>
                    <w:t>、柴油机设备保养</w:t>
                  </w:r>
                </w:p>
              </w:tc>
              <w:tc>
                <w:tcPr>
                  <w:tcW w:w="545" w:type="dxa"/>
                  <w:vAlign w:val="center"/>
                </w:tcPr>
                <w:p w14:paraId="15D03D76">
                  <w:pPr>
                    <w:pStyle w:val="94"/>
                    <w:rPr>
                      <w:color w:val="auto"/>
                    </w:rPr>
                  </w:pPr>
                  <w:r>
                    <w:rPr>
                      <w:rFonts w:hint="eastAsia"/>
                      <w:color w:val="auto"/>
                    </w:rPr>
                    <w:t>液态</w:t>
                  </w:r>
                </w:p>
              </w:tc>
              <w:tc>
                <w:tcPr>
                  <w:tcW w:w="784" w:type="dxa"/>
                  <w:vAlign w:val="center"/>
                </w:tcPr>
                <w:p w14:paraId="70D28259">
                  <w:pPr>
                    <w:pStyle w:val="94"/>
                    <w:rPr>
                      <w:color w:val="auto"/>
                    </w:rPr>
                  </w:pPr>
                  <w:r>
                    <w:rPr>
                      <w:rFonts w:hint="eastAsia"/>
                      <w:color w:val="auto"/>
                    </w:rPr>
                    <w:t>矿物油</w:t>
                  </w:r>
                </w:p>
              </w:tc>
              <w:tc>
                <w:tcPr>
                  <w:tcW w:w="665" w:type="dxa"/>
                  <w:vAlign w:val="center"/>
                </w:tcPr>
                <w:p w14:paraId="56DF9029">
                  <w:pPr>
                    <w:pStyle w:val="94"/>
                    <w:rPr>
                      <w:color w:val="auto"/>
                    </w:rPr>
                  </w:pPr>
                  <w:r>
                    <w:rPr>
                      <w:rFonts w:hint="eastAsia"/>
                      <w:color w:val="auto"/>
                    </w:rPr>
                    <w:t>废矿物油</w:t>
                  </w:r>
                </w:p>
              </w:tc>
              <w:tc>
                <w:tcPr>
                  <w:tcW w:w="613" w:type="dxa"/>
                  <w:vAlign w:val="center"/>
                </w:tcPr>
                <w:p w14:paraId="59AA4A3D">
                  <w:pPr>
                    <w:pStyle w:val="94"/>
                    <w:rPr>
                      <w:color w:val="auto"/>
                    </w:rPr>
                  </w:pPr>
                  <w:r>
                    <w:rPr>
                      <w:color w:val="auto"/>
                    </w:rPr>
                    <w:t>T，I</w:t>
                  </w:r>
                </w:p>
              </w:tc>
              <w:tc>
                <w:tcPr>
                  <w:tcW w:w="676" w:type="dxa"/>
                  <w:vMerge w:val="restart"/>
                  <w:vAlign w:val="center"/>
                </w:tcPr>
                <w:p w14:paraId="74EEDBBA">
                  <w:pPr>
                    <w:pStyle w:val="94"/>
                    <w:rPr>
                      <w:color w:val="auto"/>
                    </w:rPr>
                  </w:pPr>
                  <w:r>
                    <w:rPr>
                      <w:color w:val="auto"/>
                    </w:rPr>
                    <w:t>定期交由有资质单位处置</w:t>
                  </w:r>
                </w:p>
              </w:tc>
            </w:tr>
            <w:tr w14:paraId="519964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527" w:type="dxa"/>
                  <w:vAlign w:val="center"/>
                </w:tcPr>
                <w:p w14:paraId="1314D92F">
                  <w:pPr>
                    <w:pStyle w:val="94"/>
                    <w:rPr>
                      <w:color w:val="auto"/>
                    </w:rPr>
                  </w:pPr>
                  <w:r>
                    <w:rPr>
                      <w:rFonts w:hint="eastAsia"/>
                      <w:color w:val="auto"/>
                    </w:rPr>
                    <w:t>2</w:t>
                  </w:r>
                </w:p>
              </w:tc>
              <w:tc>
                <w:tcPr>
                  <w:tcW w:w="866" w:type="dxa"/>
                  <w:vAlign w:val="center"/>
                </w:tcPr>
                <w:p w14:paraId="21DC9FEA">
                  <w:pPr>
                    <w:pStyle w:val="94"/>
                    <w:rPr>
                      <w:color w:val="auto"/>
                    </w:rPr>
                  </w:pPr>
                  <w:r>
                    <w:rPr>
                      <w:rFonts w:hint="eastAsia"/>
                      <w:color w:val="auto"/>
                    </w:rPr>
                    <w:t>废油桶</w:t>
                  </w:r>
                </w:p>
              </w:tc>
              <w:tc>
                <w:tcPr>
                  <w:tcW w:w="776" w:type="dxa"/>
                  <w:vAlign w:val="center"/>
                </w:tcPr>
                <w:p w14:paraId="27EFA48F">
                  <w:pPr>
                    <w:pStyle w:val="94"/>
                    <w:rPr>
                      <w:color w:val="auto"/>
                    </w:rPr>
                  </w:pPr>
                  <w:r>
                    <w:rPr>
                      <w:rFonts w:hint="eastAsia"/>
                      <w:color w:val="auto"/>
                    </w:rPr>
                    <w:t>HW</w:t>
                  </w:r>
                  <w:r>
                    <w:rPr>
                      <w:color w:val="auto"/>
                    </w:rPr>
                    <w:t>49</w:t>
                  </w:r>
                </w:p>
              </w:tc>
              <w:tc>
                <w:tcPr>
                  <w:tcW w:w="1304" w:type="dxa"/>
                  <w:vAlign w:val="center"/>
                </w:tcPr>
                <w:p w14:paraId="2F88BF8B">
                  <w:pPr>
                    <w:pStyle w:val="94"/>
                    <w:rPr>
                      <w:color w:val="auto"/>
                    </w:rPr>
                  </w:pPr>
                  <w:r>
                    <w:rPr>
                      <w:color w:val="auto"/>
                    </w:rPr>
                    <w:t>900-041-49</w:t>
                  </w:r>
                </w:p>
              </w:tc>
              <w:tc>
                <w:tcPr>
                  <w:tcW w:w="835" w:type="dxa"/>
                  <w:vAlign w:val="center"/>
                </w:tcPr>
                <w:p w14:paraId="2C28F6D0">
                  <w:pPr>
                    <w:pStyle w:val="94"/>
                    <w:rPr>
                      <w:color w:val="auto"/>
                    </w:rPr>
                  </w:pPr>
                  <w:r>
                    <w:rPr>
                      <w:rFonts w:hint="eastAsia"/>
                      <w:color w:val="auto"/>
                    </w:rPr>
                    <w:t>105个</w:t>
                  </w:r>
                </w:p>
              </w:tc>
              <w:tc>
                <w:tcPr>
                  <w:tcW w:w="937" w:type="dxa"/>
                  <w:vMerge w:val="continue"/>
                  <w:vAlign w:val="center"/>
                </w:tcPr>
                <w:p w14:paraId="3A914FB2">
                  <w:pPr>
                    <w:pStyle w:val="94"/>
                    <w:rPr>
                      <w:color w:val="auto"/>
                    </w:rPr>
                  </w:pPr>
                </w:p>
              </w:tc>
              <w:tc>
                <w:tcPr>
                  <w:tcW w:w="545" w:type="dxa"/>
                  <w:vAlign w:val="center"/>
                </w:tcPr>
                <w:p w14:paraId="73AB3A1A">
                  <w:pPr>
                    <w:pStyle w:val="94"/>
                    <w:rPr>
                      <w:color w:val="auto"/>
                    </w:rPr>
                  </w:pPr>
                  <w:r>
                    <w:rPr>
                      <w:rFonts w:hint="eastAsia"/>
                      <w:color w:val="auto"/>
                    </w:rPr>
                    <w:t>固态</w:t>
                  </w:r>
                </w:p>
              </w:tc>
              <w:tc>
                <w:tcPr>
                  <w:tcW w:w="784" w:type="dxa"/>
                  <w:vAlign w:val="center"/>
                </w:tcPr>
                <w:p w14:paraId="0AE0DA81">
                  <w:pPr>
                    <w:pStyle w:val="94"/>
                    <w:rPr>
                      <w:color w:val="auto"/>
                    </w:rPr>
                  </w:pPr>
                  <w:r>
                    <w:rPr>
                      <w:rFonts w:hint="eastAsia"/>
                      <w:color w:val="auto"/>
                    </w:rPr>
                    <w:t>矿物油</w:t>
                  </w:r>
                </w:p>
              </w:tc>
              <w:tc>
                <w:tcPr>
                  <w:tcW w:w="665" w:type="dxa"/>
                  <w:vAlign w:val="center"/>
                </w:tcPr>
                <w:p w14:paraId="6F2B3F6E">
                  <w:pPr>
                    <w:pStyle w:val="94"/>
                    <w:rPr>
                      <w:color w:val="auto"/>
                    </w:rPr>
                  </w:pPr>
                  <w:r>
                    <w:rPr>
                      <w:rFonts w:hint="eastAsia"/>
                      <w:color w:val="auto"/>
                    </w:rPr>
                    <w:t>废矿物油</w:t>
                  </w:r>
                </w:p>
              </w:tc>
              <w:tc>
                <w:tcPr>
                  <w:tcW w:w="613" w:type="dxa"/>
                  <w:vAlign w:val="center"/>
                </w:tcPr>
                <w:p w14:paraId="692D647B">
                  <w:pPr>
                    <w:pStyle w:val="94"/>
                    <w:rPr>
                      <w:color w:val="auto"/>
                    </w:rPr>
                  </w:pPr>
                  <w:r>
                    <w:rPr>
                      <w:color w:val="auto"/>
                    </w:rPr>
                    <w:t>T/In</w:t>
                  </w:r>
                </w:p>
              </w:tc>
              <w:tc>
                <w:tcPr>
                  <w:tcW w:w="676" w:type="dxa"/>
                  <w:vMerge w:val="continue"/>
                  <w:vAlign w:val="center"/>
                </w:tcPr>
                <w:p w14:paraId="0D74B6E7">
                  <w:pPr>
                    <w:pStyle w:val="94"/>
                    <w:rPr>
                      <w:color w:val="auto"/>
                    </w:rPr>
                  </w:pPr>
                </w:p>
              </w:tc>
            </w:tr>
            <w:tr w14:paraId="2B53A4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527" w:type="dxa"/>
                  <w:vAlign w:val="center"/>
                </w:tcPr>
                <w:p w14:paraId="04BDF99A">
                  <w:pPr>
                    <w:pStyle w:val="94"/>
                    <w:rPr>
                      <w:color w:val="auto"/>
                    </w:rPr>
                  </w:pPr>
                  <w:r>
                    <w:rPr>
                      <w:rFonts w:hint="eastAsia"/>
                      <w:color w:val="auto"/>
                    </w:rPr>
                    <w:t>3</w:t>
                  </w:r>
                </w:p>
              </w:tc>
              <w:tc>
                <w:tcPr>
                  <w:tcW w:w="866" w:type="dxa"/>
                  <w:vAlign w:val="center"/>
                </w:tcPr>
                <w:p w14:paraId="071D4198">
                  <w:pPr>
                    <w:pStyle w:val="94"/>
                    <w:rPr>
                      <w:color w:val="auto"/>
                    </w:rPr>
                  </w:pPr>
                  <w:r>
                    <w:rPr>
                      <w:rFonts w:hint="eastAsia"/>
                      <w:color w:val="auto"/>
                    </w:rPr>
                    <w:t>废棉纱</w:t>
                  </w:r>
                  <w:r>
                    <w:rPr>
                      <w:color w:val="auto"/>
                    </w:rPr>
                    <w:t>、废手套</w:t>
                  </w:r>
                </w:p>
              </w:tc>
              <w:tc>
                <w:tcPr>
                  <w:tcW w:w="776" w:type="dxa"/>
                  <w:vAlign w:val="center"/>
                </w:tcPr>
                <w:p w14:paraId="086A23FD">
                  <w:pPr>
                    <w:pStyle w:val="94"/>
                    <w:rPr>
                      <w:color w:val="auto"/>
                    </w:rPr>
                  </w:pPr>
                  <w:r>
                    <w:rPr>
                      <w:rFonts w:hint="eastAsia"/>
                      <w:color w:val="auto"/>
                    </w:rPr>
                    <w:t>HW</w:t>
                  </w:r>
                  <w:r>
                    <w:rPr>
                      <w:color w:val="auto"/>
                    </w:rPr>
                    <w:t>49</w:t>
                  </w:r>
                </w:p>
              </w:tc>
              <w:tc>
                <w:tcPr>
                  <w:tcW w:w="1304" w:type="dxa"/>
                  <w:vAlign w:val="center"/>
                </w:tcPr>
                <w:p w14:paraId="6AF34420">
                  <w:pPr>
                    <w:pStyle w:val="94"/>
                    <w:rPr>
                      <w:color w:val="auto"/>
                    </w:rPr>
                  </w:pPr>
                  <w:r>
                    <w:rPr>
                      <w:color w:val="auto"/>
                    </w:rPr>
                    <w:t>900-041-49</w:t>
                  </w:r>
                </w:p>
              </w:tc>
              <w:tc>
                <w:tcPr>
                  <w:tcW w:w="835" w:type="dxa"/>
                  <w:vAlign w:val="center"/>
                </w:tcPr>
                <w:p w14:paraId="118967B4">
                  <w:pPr>
                    <w:pStyle w:val="94"/>
                    <w:rPr>
                      <w:color w:val="auto"/>
                    </w:rPr>
                  </w:pPr>
                  <w:r>
                    <w:rPr>
                      <w:rFonts w:hint="eastAsia"/>
                      <w:color w:val="auto"/>
                    </w:rPr>
                    <w:t>0.076</w:t>
                  </w:r>
                  <w:r>
                    <w:rPr>
                      <w:color w:val="auto"/>
                    </w:rPr>
                    <w:t>t</w:t>
                  </w:r>
                </w:p>
              </w:tc>
              <w:tc>
                <w:tcPr>
                  <w:tcW w:w="937" w:type="dxa"/>
                  <w:vAlign w:val="center"/>
                </w:tcPr>
                <w:p w14:paraId="5F5C2367">
                  <w:pPr>
                    <w:pStyle w:val="94"/>
                    <w:rPr>
                      <w:color w:val="auto"/>
                    </w:rPr>
                  </w:pPr>
                  <w:r>
                    <w:rPr>
                      <w:rFonts w:hint="eastAsia"/>
                      <w:color w:val="auto"/>
                    </w:rPr>
                    <w:t>设备</w:t>
                  </w:r>
                  <w:r>
                    <w:rPr>
                      <w:color w:val="auto"/>
                    </w:rPr>
                    <w:t>保养</w:t>
                  </w:r>
                </w:p>
              </w:tc>
              <w:tc>
                <w:tcPr>
                  <w:tcW w:w="545" w:type="dxa"/>
                  <w:vAlign w:val="center"/>
                </w:tcPr>
                <w:p w14:paraId="6CC71D67">
                  <w:pPr>
                    <w:pStyle w:val="94"/>
                    <w:rPr>
                      <w:color w:val="auto"/>
                    </w:rPr>
                  </w:pPr>
                  <w:r>
                    <w:rPr>
                      <w:rFonts w:hint="eastAsia"/>
                      <w:color w:val="auto"/>
                    </w:rPr>
                    <w:t>固态</w:t>
                  </w:r>
                </w:p>
              </w:tc>
              <w:tc>
                <w:tcPr>
                  <w:tcW w:w="784" w:type="dxa"/>
                  <w:vAlign w:val="center"/>
                </w:tcPr>
                <w:p w14:paraId="2DBFE358">
                  <w:pPr>
                    <w:pStyle w:val="94"/>
                    <w:rPr>
                      <w:color w:val="auto"/>
                    </w:rPr>
                  </w:pPr>
                  <w:r>
                    <w:rPr>
                      <w:rFonts w:hint="eastAsia"/>
                      <w:color w:val="auto"/>
                    </w:rPr>
                    <w:t>矿物油</w:t>
                  </w:r>
                </w:p>
              </w:tc>
              <w:tc>
                <w:tcPr>
                  <w:tcW w:w="665" w:type="dxa"/>
                  <w:vAlign w:val="center"/>
                </w:tcPr>
                <w:p w14:paraId="3581623D">
                  <w:pPr>
                    <w:pStyle w:val="94"/>
                    <w:rPr>
                      <w:color w:val="auto"/>
                    </w:rPr>
                  </w:pPr>
                  <w:r>
                    <w:rPr>
                      <w:rFonts w:hint="eastAsia"/>
                      <w:color w:val="auto"/>
                    </w:rPr>
                    <w:t>废矿物油</w:t>
                  </w:r>
                </w:p>
              </w:tc>
              <w:tc>
                <w:tcPr>
                  <w:tcW w:w="613" w:type="dxa"/>
                  <w:vAlign w:val="center"/>
                </w:tcPr>
                <w:p w14:paraId="3FA28BA3">
                  <w:pPr>
                    <w:pStyle w:val="94"/>
                    <w:rPr>
                      <w:color w:val="auto"/>
                    </w:rPr>
                  </w:pPr>
                  <w:r>
                    <w:rPr>
                      <w:color w:val="auto"/>
                    </w:rPr>
                    <w:t>T/In</w:t>
                  </w:r>
                </w:p>
              </w:tc>
              <w:tc>
                <w:tcPr>
                  <w:tcW w:w="676" w:type="dxa"/>
                  <w:vMerge w:val="continue"/>
                  <w:vAlign w:val="center"/>
                </w:tcPr>
                <w:p w14:paraId="59D3BF02">
                  <w:pPr>
                    <w:pStyle w:val="94"/>
                    <w:rPr>
                      <w:color w:val="auto"/>
                    </w:rPr>
                  </w:pPr>
                </w:p>
              </w:tc>
            </w:tr>
          </w:tbl>
          <w:p w14:paraId="42EA8225">
            <w:pPr>
              <w:pStyle w:val="96"/>
              <w:ind w:firstLine="480"/>
            </w:pPr>
            <w:r>
              <w:rPr>
                <w:rFonts w:hint="eastAsia"/>
              </w:rPr>
              <w:t>（5）生活垃圾</w:t>
            </w:r>
          </w:p>
          <w:p w14:paraId="398F96D0">
            <w:pPr>
              <w:pStyle w:val="96"/>
              <w:ind w:firstLine="480"/>
            </w:pPr>
            <w:r>
              <w:rPr>
                <w:rFonts w:hint="eastAsia"/>
              </w:rPr>
              <w:t>勘探周期内单个井场劳动定员20人，生活垃圾产生量按每天0.5kg/人计算，则勘探周期内每个井场生活垃圾产生量为10kg/d，单个井场井场的勘探周期为1</w:t>
            </w:r>
            <w:r>
              <w:t>05</w:t>
            </w:r>
            <w:r>
              <w:rPr>
                <w:rFonts w:hint="eastAsia"/>
              </w:rPr>
              <w:t>天</w:t>
            </w:r>
            <w:r>
              <w:t>，</w:t>
            </w:r>
            <w:r>
              <w:rPr>
                <w:rFonts w:hint="eastAsia"/>
              </w:rPr>
              <w:t>则</w:t>
            </w:r>
            <w:r>
              <w:t>本项目</w:t>
            </w:r>
            <w:r>
              <w:rPr>
                <w:rFonts w:hint="eastAsia"/>
              </w:rPr>
              <w:t>勘探周期内生活垃圾产生量为</w:t>
            </w:r>
            <w:r>
              <w:t>22.05t</w:t>
            </w:r>
            <w:r>
              <w:rPr>
                <w:rFonts w:hint="eastAsia"/>
              </w:rPr>
              <w:t>。</w:t>
            </w:r>
          </w:p>
          <w:p w14:paraId="21D406C3">
            <w:pPr>
              <w:pStyle w:val="96"/>
              <w:ind w:firstLine="480"/>
            </w:pPr>
            <w:r>
              <w:rPr>
                <w:rFonts w:hint="eastAsia"/>
              </w:rPr>
              <w:t>各井场设生活垃圾桶，对生活垃圾进行统一收集，定期送当地环卫部门指定地点，由当地环卫部门统一处理。因此生活经集中收集、环卫部门统一处理后对环境影响较小。</w:t>
            </w:r>
          </w:p>
          <w:p w14:paraId="5E143118">
            <w:pPr>
              <w:pStyle w:val="96"/>
              <w:ind w:firstLine="482"/>
              <w:rPr>
                <w:b/>
                <w:bCs/>
              </w:rPr>
            </w:pPr>
            <w:r>
              <w:rPr>
                <w:rFonts w:hint="eastAsia"/>
                <w:b/>
                <w:bCs/>
              </w:rPr>
              <w:t>6、生态环境</w:t>
            </w:r>
            <w:r>
              <w:rPr>
                <w:b/>
                <w:bCs/>
              </w:rPr>
              <w:t>影响分析</w:t>
            </w:r>
          </w:p>
          <w:p w14:paraId="47AC3FC8">
            <w:pPr>
              <w:pStyle w:val="96"/>
              <w:ind w:firstLine="480"/>
            </w:pPr>
            <w:r>
              <w:rPr>
                <w:rFonts w:hint="eastAsia"/>
              </w:rPr>
              <w:t>本项目主要建设内容为各井场施工便道、井场的建设（井场平整、泥浆池和蓄液池的建设及营房的安装等）、钻井的施工等。</w:t>
            </w:r>
          </w:p>
          <w:p w14:paraId="3617C23C">
            <w:pPr>
              <w:pStyle w:val="96"/>
              <w:ind w:firstLine="480"/>
            </w:pPr>
            <w:r>
              <w:rPr>
                <w:rFonts w:hint="eastAsia"/>
              </w:rPr>
              <w:t>项目施工过程中平整场地、开挖地表，造成直接施工区域内地表植被、</w:t>
            </w:r>
            <w:r>
              <w:t>农作物</w:t>
            </w:r>
            <w:r>
              <w:rPr>
                <w:rFonts w:hint="eastAsia"/>
              </w:rPr>
              <w:t>完全破坏，以及施工区和施工便道一定范围内植被、农作物不同程度的破坏和水土流失。项目建设期对生态环境带来的不利影响主要体现在项目井场、施工便道占地以及破坏植被引发水土流失两个方面。</w:t>
            </w:r>
          </w:p>
          <w:p w14:paraId="488344D3">
            <w:pPr>
              <w:pStyle w:val="96"/>
              <w:ind w:firstLine="480"/>
            </w:pPr>
            <w:r>
              <w:rPr>
                <w:rFonts w:hint="eastAsia"/>
              </w:rPr>
              <w:t>本次生态影响主要是井场占地范围、施工便道占地破坏了占地范围内原有地貌和植被、扰动表土结构，造成土壤抗蚀能力降低。同时施工结束前后一段时间内地表绿化工作尚未完成时，都将造成土壤裸露。遇暴雨会造成水土流失。但由于项目所在区域原生态系统较简单，主要以旱地（不占基本农田）、裸岩砾石地、其他林地（不占国家一二级公益林）为主，地面系统扰动有限，所以对生态环境的影响并不明显。</w:t>
            </w:r>
          </w:p>
          <w:p w14:paraId="6EF42200">
            <w:pPr>
              <w:pStyle w:val="96"/>
              <w:ind w:firstLine="480"/>
            </w:pPr>
            <w:r>
              <w:rPr>
                <w:rFonts w:hint="eastAsia"/>
              </w:rPr>
              <w:t>（1）工程建设占用土地影响分析</w:t>
            </w:r>
          </w:p>
          <w:p w14:paraId="26C9418E">
            <w:pPr>
              <w:pStyle w:val="96"/>
              <w:ind w:firstLine="480"/>
            </w:pPr>
            <w:r>
              <w:rPr>
                <w:rFonts w:hint="eastAsia"/>
              </w:rPr>
              <w:t>本项目施工过程中占地为临时占地，占地类型为旱地（不占基本农田）、裸岩砾石地、其他林地（不占国家一二级公益林）为主，临时破坏了地表植被。工程施工建设占地属临时征用，临时占地在占用完毕后都可在较短时间内恢复。根据现场调查，项目的井场选址占地在当地现有土地类型中所占比例很小，不会导致区域土地利用格局的变化，对区域土地利用格局产生的影响甚微。</w:t>
            </w:r>
          </w:p>
          <w:p w14:paraId="11E49943">
            <w:pPr>
              <w:pStyle w:val="96"/>
              <w:ind w:firstLine="480"/>
            </w:pPr>
            <w:r>
              <w:rPr>
                <w:rFonts w:hint="eastAsia"/>
              </w:rPr>
              <w:t>但由于项目施工开挖填埋、机械与车辆碾压，人员践踏等影响，将会破坏地表植被、</w:t>
            </w:r>
            <w:r>
              <w:t>农作物</w:t>
            </w:r>
            <w:r>
              <w:rPr>
                <w:rFonts w:hint="eastAsia"/>
              </w:rPr>
              <w:t>。本项目单口井勘探期为105天，勘探期满后井场进行生态恢复，旱地将重新交由占地农户作为耕地使用，园地、草地也将恢复原有土地使用功能。因此井场复耕及生态恢复、水土保持措施的实施及项目占地补偿，可以弥补这部分农作物减产和生物生产力的损失。</w:t>
            </w:r>
          </w:p>
          <w:p w14:paraId="09D86D6B">
            <w:pPr>
              <w:pStyle w:val="96"/>
              <w:ind w:firstLine="480"/>
            </w:pPr>
            <w:r>
              <w:rPr>
                <w:rFonts w:hint="eastAsia"/>
              </w:rPr>
              <w:t>（2）对土壤环境的破坏分析</w:t>
            </w:r>
          </w:p>
          <w:p w14:paraId="4EEA5FB0">
            <w:pPr>
              <w:pStyle w:val="96"/>
              <w:ind w:firstLine="480"/>
            </w:pPr>
            <w:r>
              <w:rPr>
                <w:rFonts w:hint="eastAsia"/>
              </w:rPr>
              <w:t>本项目施工区域的泥浆池、临时施工便道修建等将在较大面积范围内的不同土壤类型上进行开挖和填埋，但由于项目井场分布在21处，为此项目对区内土壤环境不会造成大面积的破坏，项目对土壤和生态的破坏呈斑状破坏。本项目对土壤环境的影响主要变现在：</w:t>
            </w:r>
          </w:p>
          <w:p w14:paraId="1065B729">
            <w:pPr>
              <w:pStyle w:val="96"/>
              <w:ind w:firstLine="480"/>
            </w:pPr>
            <w:r>
              <w:rPr>
                <w:rFonts w:hint="eastAsia"/>
              </w:rPr>
              <w:t>①破坏土壤结构：土壤结构的形成需要漫长的时间，土壤结构是土壤质量好坏的重要指标，特别是团粒结构是土壤质量的重要指标，团粒结构占的比例越高，表明土壤质量越好，团粒结构一旦破坏，恢复需要较长时间，而且比较困难。施工现场在开挖和填埋时，不仅很容易破坏团粒结构，而且干扰了团粒结构的自然形成过程。施工过程中的机械碾压、人员践踏等活动都会对土壤结构产生不良影响。</w:t>
            </w:r>
          </w:p>
          <w:p w14:paraId="293059AA">
            <w:pPr>
              <w:pStyle w:val="96"/>
              <w:ind w:firstLine="480"/>
            </w:pPr>
            <w:r>
              <w:rPr>
                <w:rFonts w:hint="eastAsia"/>
              </w:rPr>
              <w:t>②破坏土壤层次改变土壤质地：土壤在形成过程中具有一定的分层特性，土壤表层为腐殖质层，中层为淋溶淀积层，底层为成土母质层。项目</w:t>
            </w:r>
            <w:r>
              <w:t>在</w:t>
            </w:r>
            <w:r>
              <w:rPr>
                <w:rFonts w:hint="eastAsia"/>
              </w:rPr>
              <w:t>开挖和回填过程中，必然会对土壤原有层次产生扰动和破坏，使不同层次、不同质地的土体产生混合，特别是表层土壤被混合后，直接影响地表植被的生长。</w:t>
            </w:r>
          </w:p>
          <w:p w14:paraId="3EECAA52">
            <w:pPr>
              <w:pStyle w:val="96"/>
              <w:ind w:firstLine="480"/>
            </w:pPr>
            <w:r>
              <w:rPr>
                <w:rFonts w:hint="eastAsia"/>
              </w:rPr>
              <w:t>③影响土壤的紧实度：紧实度是表征土壤物理性质的指标之一。在施工机械作业中，机械设备的碾压，施工人员的践踏都会对土壤紧实度产生影响，机械碾压的结果是使土壤紧密度增高，地表水入渗减少，土体过于紧密不利于植物生长。</w:t>
            </w:r>
          </w:p>
          <w:p w14:paraId="184EE448">
            <w:pPr>
              <w:pStyle w:val="96"/>
              <w:ind w:firstLine="480"/>
            </w:pPr>
            <w:r>
              <w:rPr>
                <w:rFonts w:hint="eastAsia"/>
              </w:rPr>
              <w:t>④土壤养分流失：在土壤各个土层中，就养分状况而言，表土层（腐殖质层、耕作层）远较心土层好，其有机质、全氮、全磷均较其它层次高。施工作业对原有的土体构型产生扰动，使土壤性质发生变化，土壤养分状况受到影响，从而影响农作物、植被生长。</w:t>
            </w:r>
          </w:p>
          <w:p w14:paraId="2598657D">
            <w:pPr>
              <w:pStyle w:val="96"/>
              <w:ind w:firstLine="480"/>
            </w:pPr>
            <w:r>
              <w:rPr>
                <w:rFonts w:hint="eastAsia"/>
              </w:rPr>
              <w:t>（3）植被</w:t>
            </w:r>
          </w:p>
          <w:p w14:paraId="627A4340">
            <w:pPr>
              <w:pStyle w:val="96"/>
              <w:ind w:firstLine="480"/>
            </w:pPr>
            <w:r>
              <w:rPr>
                <w:rFonts w:hint="eastAsia"/>
              </w:rPr>
              <w:t>项目所在区域内未发现珍稀保护植物。井场占地以旱地（不占基本农田）、裸岩砾石地、其他林地（不占国家一二级公益林）为主，零星分布灌木林地，植被</w:t>
            </w:r>
            <w:r>
              <w:t>主要是</w:t>
            </w:r>
            <w:r>
              <w:rPr>
                <w:rFonts w:hint="eastAsia"/>
              </w:rPr>
              <w:t>柠条锦鸡儿等常见植被，本项目的建设将会对占地内植被造成一定的影响。钻井作业对地层有一定的破坏作用，但由于钻孔直径较小，影响很小。完井后，井眼永久占地面积小，生态恢复后不影响原有地貌，不影响原有植被</w:t>
            </w:r>
            <w:r>
              <w:t>生长</w:t>
            </w:r>
            <w:r>
              <w:rPr>
                <w:rFonts w:hint="eastAsia"/>
              </w:rPr>
              <w:t>。废弃井封口在地面以下3-5米，并有12mm厚的圆盘焊接在套管上，生态恢复后可完全恢复地貌。</w:t>
            </w:r>
          </w:p>
          <w:p w14:paraId="0772DC19">
            <w:pPr>
              <w:pStyle w:val="96"/>
              <w:ind w:firstLine="480"/>
            </w:pPr>
            <w:r>
              <w:rPr>
                <w:rFonts w:hint="eastAsia"/>
              </w:rPr>
              <w:t>（4）动物</w:t>
            </w:r>
          </w:p>
          <w:p w14:paraId="5C72697F">
            <w:pPr>
              <w:pStyle w:val="96"/>
              <w:ind w:firstLine="480"/>
            </w:pPr>
            <w:r>
              <w:rPr>
                <w:rFonts w:hint="eastAsia"/>
              </w:rPr>
              <w:t>施工期对井场内动物的影响主要是对野生动物生境破坏。预计在施工期，本区的野生动物都将产生规避反应，远离这一地区，特别是鸟类，其栖息环境需要相对安静，因此本区的鸟类将受较大影响，而本区内无大型野生动物，主要有雉鸡、草兔、鼠类等小型动物，施工期间，动物受施工影响，将迁往附近同类环境，动物迁徙能力强，且同类生境易于在附近找寻，故物种种群与数量不会受明显影响。且施工临建区相对于该区域建设基地面积较小，项目的建设只是在小范围内暂时改变了部分动物的栖息环境，不会引起物种消失和生物多样性的减少，可见，施工期对野生动物的影响较小。</w:t>
            </w:r>
          </w:p>
          <w:p w14:paraId="2C4612BE">
            <w:pPr>
              <w:pStyle w:val="96"/>
              <w:ind w:firstLine="480"/>
            </w:pPr>
            <w:r>
              <w:rPr>
                <w:rFonts w:hint="eastAsia"/>
              </w:rPr>
              <w:t>施工期施工机械噪声和人员活动噪声也是对野生动物影响的主要影响因素。各种施工机械，如运输车辆、推土机、挖掘机、工程钻机等均可产生较强烈的噪声，虽然这些施工噪声属非连续排放，但由于噪声源相对集中，多为裸露声源，故其噪声影响范围及影响相对较大。</w:t>
            </w:r>
          </w:p>
          <w:p w14:paraId="1749C231">
            <w:pPr>
              <w:pStyle w:val="96"/>
              <w:ind w:firstLine="480"/>
            </w:pPr>
            <w:r>
              <w:rPr>
                <w:rFonts w:hint="eastAsia"/>
              </w:rPr>
              <w:t>（5）水土流失</w:t>
            </w:r>
          </w:p>
          <w:p w14:paraId="03AB8A00">
            <w:pPr>
              <w:pStyle w:val="96"/>
              <w:ind w:firstLine="480"/>
            </w:pPr>
            <w:r>
              <w:rPr>
                <w:rFonts w:hint="eastAsia"/>
              </w:rPr>
              <w:t>钻前工程建设需开挖土石方、拓宽道路，将对地表进行剥离、挖掘和堆积，使原来的土壤结构、土地利用类型、局部地貌发生变化。施工场地为自然地面和经过切坡、开挖后的地面，单位面积的悬浮物冲刷量和流失量较大。遇到雨天，因地表水流会带走泥沙，水土流失加剧。开挖土石方的临时堆放也会产生一定的水土流失。本项目开挖面积小，施工期短，土石方就近占地进行临时堆放，无转运丢弃，实际新增水土流失量小。钻前工程土石方最终可做到挖填平衡。本项目土石方临时堆放场设置挡土墙，可有效减少水土流失。同时应利用土工布或塑料膜遮盖或采用水泥砂浆抹面的方法来减少水土流失。完钻后用于回填泥浆池等池体，并作表层的覆土复植用，对临时堆放场地进行复垦。通过该措施，本项目大大减小了土石方开挖引起的水土流失量。</w:t>
            </w:r>
          </w:p>
          <w:p w14:paraId="66D9DE51">
            <w:pPr>
              <w:pStyle w:val="96"/>
              <w:ind w:firstLine="480"/>
              <w:rPr>
                <w:bCs/>
              </w:rPr>
            </w:pPr>
            <w:r>
              <w:rPr>
                <w:rFonts w:hint="eastAsia"/>
              </w:rPr>
              <w:t>本项目由于施工期短，占地面积小，土石方可场内平衡，无外运量，工程实际新增的水土流失量小，在环境可接受范围内。</w:t>
            </w:r>
          </w:p>
        </w:tc>
      </w:tr>
      <w:tr w14:paraId="3D1580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4098" w:hRule="atLeast"/>
          <w:jc w:val="center"/>
        </w:trPr>
        <w:tc>
          <w:tcPr>
            <w:tcW w:w="468" w:type="dxa"/>
            <w:tcMar>
              <w:left w:w="28" w:type="dxa"/>
              <w:right w:w="28" w:type="dxa"/>
            </w:tcMar>
            <w:vAlign w:val="center"/>
          </w:tcPr>
          <w:p w14:paraId="65F30AC2">
            <w:pPr>
              <w:adjustRightInd w:val="0"/>
              <w:snapToGrid w:val="0"/>
              <w:jc w:val="center"/>
              <w:rPr>
                <w:rFonts w:ascii="宋体" w:hAnsi="宋体" w:eastAsia="宋体"/>
                <w:bCs/>
              </w:rPr>
            </w:pPr>
            <w:r>
              <w:rPr>
                <w:rFonts w:ascii="宋体" w:hAnsi="宋体" w:eastAsia="宋体"/>
                <w:bCs/>
                <w:spacing w:val="10"/>
              </w:rPr>
              <w:t>运营期生态环境影响分析</w:t>
            </w:r>
          </w:p>
        </w:tc>
        <w:tc>
          <w:tcPr>
            <w:tcW w:w="8774" w:type="dxa"/>
          </w:tcPr>
          <w:p w14:paraId="37F0AEE9">
            <w:pPr>
              <w:pStyle w:val="96"/>
              <w:ind w:left="-2" w:leftChars="-1" w:firstLine="0" w:firstLineChars="0"/>
              <w:rPr>
                <w:b/>
                <w:bCs/>
              </w:rPr>
            </w:pPr>
            <w:r>
              <w:rPr>
                <w:b/>
                <w:bCs/>
              </w:rPr>
              <w:t>1</w:t>
            </w:r>
            <w:r>
              <w:rPr>
                <w:rFonts w:hint="eastAsia"/>
                <w:b/>
                <w:bCs/>
              </w:rPr>
              <w:t>、</w:t>
            </w:r>
            <w:r>
              <w:rPr>
                <w:rFonts w:hint="eastAsia"/>
              </w:rPr>
              <w:t>试气期</w:t>
            </w:r>
            <w:r>
              <w:rPr>
                <w:rFonts w:hint="eastAsia"/>
                <w:b/>
                <w:bCs/>
              </w:rPr>
              <w:t>环境</w:t>
            </w:r>
            <w:r>
              <w:rPr>
                <w:b/>
                <w:bCs/>
              </w:rPr>
              <w:t>影响分析</w:t>
            </w:r>
          </w:p>
          <w:p w14:paraId="2772F2D8">
            <w:pPr>
              <w:pStyle w:val="96"/>
              <w:ind w:firstLine="480"/>
            </w:pPr>
            <w:r>
              <w:rPr>
                <w:rFonts w:hint="eastAsia"/>
              </w:rPr>
              <w:t>（1）废气</w:t>
            </w:r>
          </w:p>
          <w:p w14:paraId="7FDB05E8">
            <w:pPr>
              <w:pStyle w:val="96"/>
              <w:ind w:firstLine="480"/>
            </w:pPr>
            <w:r>
              <w:rPr>
                <w:rFonts w:hint="eastAsia"/>
              </w:rPr>
              <w:t>本项目勘探井压裂结束进入试气期后，各井场使用备用发电机带动试采设备进行致密气试采。因此试气期大气污染物主要为致密气燃烧后废气及柴油发电机产生的废气。</w:t>
            </w:r>
          </w:p>
          <w:p w14:paraId="107E9364">
            <w:pPr>
              <w:pStyle w:val="96"/>
              <w:numPr>
                <w:ilvl w:val="0"/>
                <w:numId w:val="14"/>
              </w:numPr>
              <w:ind w:firstLineChars="0"/>
            </w:pPr>
            <w:r>
              <w:rPr>
                <w:rFonts w:hint="eastAsia"/>
              </w:rPr>
              <w:t>试采废气</w:t>
            </w:r>
          </w:p>
          <w:p w14:paraId="62E90B6A">
            <w:pPr>
              <w:pStyle w:val="96"/>
              <w:ind w:firstLine="480"/>
            </w:pPr>
            <w:r>
              <w:rPr>
                <w:rFonts w:hint="eastAsia"/>
              </w:rPr>
              <w:t>本项目单井试采约60天，在此阶段气量不稳定，直井、定向井的单井最高气量约</w:t>
            </w:r>
            <w:r>
              <w:t>1000</w:t>
            </w:r>
            <w:r>
              <w:rPr>
                <w:rFonts w:hint="eastAsia"/>
              </w:rPr>
              <w:t>m</w:t>
            </w:r>
            <w:r>
              <w:rPr>
                <w:rFonts w:hint="eastAsia"/>
                <w:vertAlign w:val="superscript"/>
              </w:rPr>
              <w:t>3</w:t>
            </w:r>
            <w:r>
              <w:rPr>
                <w:rFonts w:hint="eastAsia"/>
              </w:rPr>
              <w:t>/d。本项目各井场均建有点火方箱，试气期将致密气通过点火方箱点火排空。</w:t>
            </w:r>
          </w:p>
          <w:p w14:paraId="2167C22B">
            <w:pPr>
              <w:pStyle w:val="96"/>
              <w:ind w:firstLine="480"/>
            </w:pPr>
            <w:r>
              <w:rPr>
                <w:rFonts w:hint="eastAsia"/>
              </w:rPr>
              <w:t>本项目各井场并非同时试采，且相距较远。排采废气经大气扩散后对敏感目标影响较小，因此不会对周边环境空气敏感目标产生不利影响。</w:t>
            </w:r>
          </w:p>
          <w:p w14:paraId="23D18AE3">
            <w:pPr>
              <w:pStyle w:val="96"/>
              <w:ind w:firstLine="480"/>
            </w:pPr>
            <w:r>
              <w:rPr>
                <w:rFonts w:hint="eastAsia"/>
              </w:rPr>
              <w:t>（</w:t>
            </w:r>
            <w:r>
              <w:t>2</w:t>
            </w:r>
            <w:r>
              <w:rPr>
                <w:rFonts w:hint="eastAsia"/>
              </w:rPr>
              <w:t>）废水</w:t>
            </w:r>
          </w:p>
          <w:p w14:paraId="38C9F211">
            <w:pPr>
              <w:pStyle w:val="96"/>
              <w:ind w:firstLine="480"/>
            </w:pPr>
            <w:r>
              <w:rPr>
                <w:rFonts w:hint="eastAsia"/>
              </w:rPr>
              <w:t>本项目试气期</w:t>
            </w:r>
            <w:r>
              <w:rPr>
                <w:lang w:eastAsia="ja-JP"/>
              </w:rPr>
              <w:t>各井场</w:t>
            </w:r>
            <w:r>
              <w:rPr>
                <w:rFonts w:hint="eastAsia"/>
              </w:rPr>
              <w:t>工作</w:t>
            </w:r>
            <w:r>
              <w:t>人员食宿都在井场内集装箱式房内，现场施工人员生活用水量70L/人·d</w:t>
            </w:r>
            <w:r>
              <w:rPr>
                <w:rFonts w:hint="eastAsia"/>
              </w:rPr>
              <w:t>，</w:t>
            </w:r>
            <w:r>
              <w:t>则</w:t>
            </w:r>
            <w:r>
              <w:rPr>
                <w:rFonts w:hint="eastAsia"/>
              </w:rPr>
              <w:t>单个井场</w:t>
            </w:r>
            <w:r>
              <w:t>用水量为1.4</w:t>
            </w:r>
            <w:r>
              <w:rPr>
                <w:rFonts w:hint="eastAsia"/>
              </w:rPr>
              <w:t>m</w:t>
            </w:r>
            <w:r>
              <w:rPr>
                <w:rFonts w:hint="eastAsia"/>
                <w:vertAlign w:val="superscript"/>
              </w:rPr>
              <w:t>3</w:t>
            </w:r>
            <w:r>
              <w:rPr>
                <w:rFonts w:hint="eastAsia"/>
              </w:rPr>
              <w:t>/d，按用水量80%计算，生活污水量为1.12m</w:t>
            </w:r>
            <w:r>
              <w:rPr>
                <w:rFonts w:hint="eastAsia"/>
                <w:vertAlign w:val="superscript"/>
              </w:rPr>
              <w:t>3</w:t>
            </w:r>
            <w:r>
              <w:rPr>
                <w:rFonts w:hint="eastAsia"/>
              </w:rPr>
              <w:t>/d，产生量较少，井场设临时简易沉淀池，生活污水经沉淀后用于周边道路洒水</w:t>
            </w:r>
            <w:r>
              <w:rPr>
                <w:lang w:eastAsia="ja-JP"/>
              </w:rPr>
              <w:t>。</w:t>
            </w:r>
          </w:p>
          <w:p w14:paraId="36585A95">
            <w:pPr>
              <w:pStyle w:val="96"/>
              <w:ind w:firstLine="480"/>
            </w:pPr>
            <w:r>
              <w:rPr>
                <w:rFonts w:hint="eastAsia"/>
              </w:rPr>
              <w:t>本项目气井属于致密砂岩气井，属于游离气藏，储层一般不含水。试气期生产废水主要为含压裂液的采出水，与致密气一同排出，经气相分离器分离后，排入软体罐中暂存。</w:t>
            </w:r>
            <w:r>
              <w:rPr>
                <w:rFonts w:hint="eastAsia"/>
                <w:bCs/>
              </w:rPr>
              <w:t>拉运至</w:t>
            </w:r>
            <w:r>
              <w:rPr>
                <w:rFonts w:hint="eastAsia"/>
              </w:rPr>
              <w:t>中联煤层气有限责任公司临兴西区</w:t>
            </w:r>
            <w:r>
              <w:t>(山西区块)开发项目</w:t>
            </w:r>
            <w:r>
              <w:rPr>
                <w:rFonts w:hint="eastAsia"/>
                <w:bCs/>
              </w:rPr>
              <w:t>排采水处理</w:t>
            </w:r>
            <w:r>
              <w:rPr>
                <w:bCs/>
              </w:rPr>
              <w:t>2站处理后回用</w:t>
            </w:r>
            <w:r>
              <w:rPr>
                <w:rFonts w:hint="eastAsia"/>
              </w:rPr>
              <w:t>。根据建设单位提供的资料，预计试气期采出水单口井产水量为</w:t>
            </w:r>
            <w:r>
              <w:t>200m</w:t>
            </w:r>
            <w:r>
              <w:rPr>
                <w:vertAlign w:val="superscript"/>
              </w:rPr>
              <w:t>3</w:t>
            </w:r>
            <w:r>
              <w:rPr>
                <w:rFonts w:hint="eastAsia"/>
              </w:rPr>
              <w:t>。</w:t>
            </w:r>
          </w:p>
          <w:p w14:paraId="7697C8E3">
            <w:pPr>
              <w:pStyle w:val="96"/>
              <w:ind w:firstLine="480"/>
            </w:pPr>
            <w:r>
              <w:rPr>
                <w:rFonts w:hint="eastAsia"/>
              </w:rPr>
              <w:t>（3）噪声</w:t>
            </w:r>
          </w:p>
          <w:p w14:paraId="3802A699">
            <w:pPr>
              <w:pStyle w:val="96"/>
              <w:ind w:firstLine="480"/>
            </w:pPr>
            <w:r>
              <w:rPr>
                <w:rFonts w:hint="eastAsia"/>
              </w:rPr>
              <w:t>本项目试气期噪声主要为柴油发电机，试采设备噪声较小，</w:t>
            </w:r>
            <w:r>
              <w:rPr>
                <w:rFonts w:hint="eastAsia"/>
                <w:spacing w:val="10"/>
              </w:rPr>
              <w:t>柴油发电机</w:t>
            </w:r>
            <w:r>
              <w:rPr>
                <w:spacing w:val="10"/>
              </w:rPr>
              <w:t>经</w:t>
            </w:r>
            <w:r>
              <w:rPr>
                <w:rFonts w:hint="eastAsia"/>
                <w:spacing w:val="10"/>
              </w:rPr>
              <w:t>封闭</w:t>
            </w:r>
            <w:r>
              <w:rPr>
                <w:spacing w:val="10"/>
              </w:rPr>
              <w:t>隔声、基础减振</w:t>
            </w:r>
            <w:r>
              <w:rPr>
                <w:rFonts w:hint="eastAsia"/>
              </w:rPr>
              <w:t>，对周边环境影响较小。</w:t>
            </w:r>
          </w:p>
          <w:p w14:paraId="58BE186B">
            <w:pPr>
              <w:pStyle w:val="96"/>
              <w:ind w:firstLine="480"/>
            </w:pPr>
            <w:r>
              <w:rPr>
                <w:rFonts w:hint="eastAsia"/>
              </w:rPr>
              <w:t>（4）固体</w:t>
            </w:r>
            <w:r>
              <w:t>废物</w:t>
            </w:r>
          </w:p>
          <w:p w14:paraId="0FBB9CBD">
            <w:pPr>
              <w:pStyle w:val="96"/>
              <w:ind w:firstLine="480"/>
            </w:pPr>
            <w:r>
              <w:rPr>
                <w:rFonts w:hint="eastAsia"/>
              </w:rPr>
              <w:t>试气期工作人员生活垃圾定期送当地环卫部门指定地点，由当地环卫部门统一处理。备用发电机会产生少量废机油，用专用容器收集后在井场撬装式危废贮存点内暂存，然后交由具有危废经营、处理资质的单位进行合理处置。</w:t>
            </w:r>
          </w:p>
          <w:p w14:paraId="2B78A64C">
            <w:pPr>
              <w:pStyle w:val="96"/>
              <w:ind w:firstLine="480"/>
            </w:pPr>
            <w:r>
              <w:rPr>
                <w:rFonts w:hint="eastAsia"/>
              </w:rPr>
              <w:t>（5）生态</w:t>
            </w:r>
            <w:r>
              <w:t>环境</w:t>
            </w:r>
          </w:p>
          <w:p w14:paraId="4E908ED2">
            <w:pPr>
              <w:pStyle w:val="96"/>
              <w:ind w:firstLine="480"/>
            </w:pPr>
            <w:r>
              <w:rPr>
                <w:rFonts w:hint="eastAsia"/>
              </w:rPr>
              <w:t>试采阶段运行过程中虽然没有高噪声污染源，但随着人为因素的干扰，将会造成场站附近动物的干扰，由于场站附近没有濒危动物物种，且场站在区域分布面积相对较小，区内常见野生动物的迁徙能力较强且周边分布广泛，不会危及其种群数量。本项目各井场对区内动物影响较小。</w:t>
            </w:r>
          </w:p>
          <w:p w14:paraId="1AC3E6A2">
            <w:pPr>
              <w:pStyle w:val="96"/>
              <w:ind w:firstLine="480"/>
            </w:pPr>
            <w:r>
              <w:rPr>
                <w:rFonts w:hint="eastAsia"/>
              </w:rPr>
              <w:t>本项目占地为旱地（不占基本农田）、裸岩砾石地、其他林地（不占国家一二级公益林）为主，临时占地将破坏占地范围</w:t>
            </w:r>
            <w:r>
              <w:t>内地表植被</w:t>
            </w:r>
            <w:r>
              <w:rPr>
                <w:rFonts w:hint="eastAsia"/>
              </w:rPr>
              <w:t>。但从整体范围来看，因项目占地及施工占地而造成的地表植被减少或平均生物生产力变化很小，随着试气期结束，井场生态恢复、水土保持措施的实施，可以弥补这部分植被减少和生物生产力的损失。因此，项目临时占地和建设对区域生态体系生产能力的影响是自然体系可以承受的。</w:t>
            </w:r>
          </w:p>
          <w:p w14:paraId="68738E3F">
            <w:pPr>
              <w:pStyle w:val="96"/>
              <w:ind w:firstLine="0" w:firstLineChars="0"/>
              <w:rPr>
                <w:b/>
                <w:bCs/>
              </w:rPr>
            </w:pPr>
            <w:r>
              <w:rPr>
                <w:b/>
                <w:bCs/>
              </w:rPr>
              <w:t>2</w:t>
            </w:r>
            <w:r>
              <w:rPr>
                <w:rFonts w:hint="eastAsia"/>
                <w:b/>
                <w:bCs/>
              </w:rPr>
              <w:t>、关井期环境</w:t>
            </w:r>
            <w:r>
              <w:rPr>
                <w:b/>
                <w:bCs/>
              </w:rPr>
              <w:t>影响分析</w:t>
            </w:r>
          </w:p>
          <w:p w14:paraId="3424E5F9">
            <w:pPr>
              <w:pStyle w:val="96"/>
              <w:ind w:firstLine="480"/>
            </w:pPr>
            <w:r>
              <w:rPr>
                <w:rFonts w:hint="eastAsia"/>
              </w:rPr>
              <w:t>勘探期结束后，经过评价作为开发井使用的按照环保要求完善开发阶段的环保手续后，进行下一步的开发；无开发利用价值的进行关井。</w:t>
            </w:r>
          </w:p>
          <w:p w14:paraId="06974831">
            <w:pPr>
              <w:pStyle w:val="96"/>
              <w:ind w:firstLine="480"/>
            </w:pPr>
            <w:r>
              <w:rPr>
                <w:rFonts w:hint="eastAsia"/>
              </w:rPr>
              <w:t>关井后，其余设施将拆除、搬迁。钻井液材料将全部进行回收。当气井勘探接近尾声时，各种机械设备将停止使用，进驻其中的工作人员将陆续撤离井场区域，由此带来的大气污染物、生产废水、生活污水、噪声及固体废物等对环境的影响将会消失。</w:t>
            </w:r>
          </w:p>
          <w:p w14:paraId="74B94542">
            <w:pPr>
              <w:pStyle w:val="96"/>
              <w:ind w:firstLine="480"/>
            </w:pPr>
            <w:r>
              <w:rPr>
                <w:rFonts w:hint="eastAsia"/>
              </w:rPr>
              <w:t>关井期以生态环境的恢复为主，同时关井和井场清理也会产生少量扬尘和建筑垃圾，会对周围的环境造成一定影响。关井期井场进行一系列清理工作，包括地面设施拆除、关井、井场清理等。在这期间，将会产生少量扬尘和固体废物。在关井施工操作中应注意采取降尘措施，文明施工，防止散装物料的洒落与飘散，同时在清理井场时控制扬尘的产生，尽可能降低对周边大气环境的影响。</w:t>
            </w:r>
          </w:p>
          <w:p w14:paraId="02A2DD6E">
            <w:pPr>
              <w:pStyle w:val="96"/>
              <w:ind w:firstLine="480"/>
            </w:pPr>
            <w:r>
              <w:rPr>
                <w:rFonts w:hint="eastAsia"/>
              </w:rPr>
              <w:t>另外，井场清理等工作还会产生部分废弃管线、废弃建筑残渣等固体废物，对这些废弃管线、残渣等进行集中清理收集，管线经清洗后可回收再利用，废弃建筑残渣外运至指定处理场填埋处理。固体废物的妥善处理，可以有效控制对区域环境的影响。</w:t>
            </w:r>
          </w:p>
        </w:tc>
      </w:tr>
      <w:tr w14:paraId="233BDF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3931" w:hRule="atLeast"/>
          <w:jc w:val="center"/>
        </w:trPr>
        <w:tc>
          <w:tcPr>
            <w:tcW w:w="468" w:type="dxa"/>
            <w:vAlign w:val="center"/>
          </w:tcPr>
          <w:p w14:paraId="7CF0A464">
            <w:pPr>
              <w:adjustRightInd w:val="0"/>
              <w:snapToGrid w:val="0"/>
              <w:jc w:val="center"/>
              <w:rPr>
                <w:rFonts w:ascii="宋体" w:hAnsi="宋体" w:eastAsia="宋体"/>
                <w:bCs/>
              </w:rPr>
            </w:pPr>
            <w:r>
              <w:rPr>
                <w:rFonts w:ascii="宋体" w:hAnsi="宋体" w:eastAsia="宋体"/>
                <w:bCs/>
              </w:rPr>
              <w:t>选址选线环境合理性分析</w:t>
            </w:r>
          </w:p>
        </w:tc>
        <w:tc>
          <w:tcPr>
            <w:tcW w:w="8774" w:type="dxa"/>
          </w:tcPr>
          <w:p w14:paraId="36DF9002">
            <w:pPr>
              <w:pStyle w:val="96"/>
              <w:ind w:firstLine="480"/>
            </w:pPr>
            <w:r>
              <w:rPr>
                <w:rFonts w:hint="eastAsia"/>
              </w:rPr>
              <w:t>本次新建21座井场位于兴县罗峪口镇、孟家坪乡、高家村镇、赵家坪乡，距离拟建井场最近敏感点为</w:t>
            </w:r>
            <w:r>
              <w:t>LXDG-15</w:t>
            </w:r>
            <w:r>
              <w:rPr>
                <w:rFonts w:hint="eastAsia"/>
              </w:rPr>
              <w:t>西南侧</w:t>
            </w:r>
            <w:r>
              <w:t>137</w:t>
            </w:r>
            <w:r>
              <w:rPr>
                <w:rFonts w:hint="eastAsia"/>
              </w:rPr>
              <w:t>m处的白家畔村。五部门对临兴东区进行了核查，根据核查结果，调查评价范围环境敏感区包括县城及乡镇集中供水水源地、区块内基本农田、生态红线、国家一、二级公益林、Ⅰ、Ⅱ</w:t>
            </w:r>
            <w:r>
              <w:t>级保护林地、山西省永久性生态公益林</w:t>
            </w:r>
            <w:r>
              <w:rPr>
                <w:rFonts w:hint="eastAsia"/>
              </w:rPr>
              <w:t>、区块内河道保护范围及区块内</w:t>
            </w:r>
            <w:r>
              <w:t>152处文物保护单位，各部门核查结果见下表。本项目符合各部门核查结果，同时，施工前建设单位需按各部门建议办理相关手续</w:t>
            </w:r>
            <w:r>
              <w:rPr>
                <w:rFonts w:hint="eastAsia"/>
              </w:rPr>
              <w:t>。</w:t>
            </w:r>
          </w:p>
          <w:p w14:paraId="39A463FC">
            <w:pPr>
              <w:pStyle w:val="19"/>
              <w:keepNext/>
            </w:pPr>
            <w:r>
              <w:t xml:space="preserve">表 </w:t>
            </w:r>
            <w:r>
              <w:fldChar w:fldCharType="begin"/>
            </w:r>
            <w:r>
              <w:instrText xml:space="preserve"> SEQ 表 \* ARABIC </w:instrText>
            </w:r>
            <w:r>
              <w:fldChar w:fldCharType="separate"/>
            </w:r>
            <w:r>
              <w:t>35</w:t>
            </w:r>
            <w:r>
              <w:fldChar w:fldCharType="end"/>
            </w:r>
            <w:r>
              <w:rPr>
                <w:rFonts w:hint="eastAsia"/>
              </w:rPr>
              <w:t>各部门核查结果汇总表</w:t>
            </w:r>
          </w:p>
          <w:tbl>
            <w:tblPr>
              <w:tblStyle w:val="73"/>
              <w:tblW w:w="4996"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60"/>
              <w:gridCol w:w="4099"/>
              <w:gridCol w:w="1665"/>
              <w:gridCol w:w="1393"/>
            </w:tblGrid>
            <w:tr w14:paraId="233EFB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95" w:type="pct"/>
                  <w:vAlign w:val="center"/>
                </w:tcPr>
                <w:p w14:paraId="4D382F34">
                  <w:pPr>
                    <w:pStyle w:val="94"/>
                    <w:rPr>
                      <w:color w:val="auto"/>
                    </w:rPr>
                  </w:pPr>
                  <w:r>
                    <w:rPr>
                      <w:rFonts w:hint="eastAsia"/>
                      <w:color w:val="auto"/>
                    </w:rPr>
                    <w:t>部门</w:t>
                  </w:r>
                </w:p>
              </w:tc>
              <w:tc>
                <w:tcPr>
                  <w:tcW w:w="2351" w:type="pct"/>
                  <w:vAlign w:val="center"/>
                </w:tcPr>
                <w:p w14:paraId="7F77BE05">
                  <w:pPr>
                    <w:pStyle w:val="94"/>
                    <w:rPr>
                      <w:color w:val="auto"/>
                    </w:rPr>
                  </w:pPr>
                  <w:r>
                    <w:rPr>
                      <w:rFonts w:hint="eastAsia"/>
                      <w:color w:val="auto"/>
                    </w:rPr>
                    <w:t>核查结果</w:t>
                  </w:r>
                </w:p>
              </w:tc>
              <w:tc>
                <w:tcPr>
                  <w:tcW w:w="955" w:type="pct"/>
                  <w:vAlign w:val="center"/>
                </w:tcPr>
                <w:p w14:paraId="2FC1C7BE">
                  <w:pPr>
                    <w:pStyle w:val="94"/>
                    <w:rPr>
                      <w:color w:val="auto"/>
                    </w:rPr>
                  </w:pPr>
                  <w:r>
                    <w:rPr>
                      <w:rFonts w:hint="eastAsia"/>
                      <w:color w:val="auto"/>
                    </w:rPr>
                    <w:t>核查文号及时间</w:t>
                  </w:r>
                </w:p>
              </w:tc>
              <w:tc>
                <w:tcPr>
                  <w:tcW w:w="800" w:type="pct"/>
                  <w:vAlign w:val="center"/>
                </w:tcPr>
                <w:p w14:paraId="38189CAA">
                  <w:pPr>
                    <w:pStyle w:val="94"/>
                    <w:rPr>
                      <w:color w:val="auto"/>
                    </w:rPr>
                  </w:pPr>
                  <w:r>
                    <w:rPr>
                      <w:rFonts w:hint="eastAsia"/>
                      <w:color w:val="auto"/>
                    </w:rPr>
                    <w:t>与项目位置关系</w:t>
                  </w:r>
                </w:p>
              </w:tc>
            </w:tr>
            <w:tr w14:paraId="1505E0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95" w:type="pct"/>
                  <w:vAlign w:val="center"/>
                </w:tcPr>
                <w:p w14:paraId="42310A25">
                  <w:pPr>
                    <w:pStyle w:val="94"/>
                    <w:rPr>
                      <w:color w:val="auto"/>
                    </w:rPr>
                  </w:pPr>
                  <w:r>
                    <w:rPr>
                      <w:rFonts w:hint="eastAsia"/>
                      <w:color w:val="auto"/>
                    </w:rPr>
                    <w:t>兴县林业局</w:t>
                  </w:r>
                </w:p>
              </w:tc>
              <w:tc>
                <w:tcPr>
                  <w:tcW w:w="2351" w:type="pct"/>
                  <w:vAlign w:val="center"/>
                </w:tcPr>
                <w:p w14:paraId="6E5EF5AB">
                  <w:pPr>
                    <w:pStyle w:val="94"/>
                    <w:rPr>
                      <w:color w:val="auto"/>
                    </w:rPr>
                  </w:pPr>
                  <w:r>
                    <w:rPr>
                      <w:rFonts w:hint="eastAsia"/>
                      <w:color w:val="auto"/>
                    </w:rPr>
                    <w:t>临兴东区块煤层气勘查项目范围与县属山西蔚汾河省级自然保护区、森林公园、湿地公园、地质公园、一级国家公益林、</w:t>
                  </w:r>
                  <w:r>
                    <w:rPr>
                      <w:rFonts w:hint="eastAsia"/>
                      <w:color w:val="auto"/>
                    </w:rPr>
                    <w:fldChar w:fldCharType="begin"/>
                  </w:r>
                  <w:r>
                    <w:rPr>
                      <w:rFonts w:hint="eastAsia"/>
                      <w:color w:val="auto"/>
                    </w:rPr>
                    <w:instrText xml:space="preserve"> = 1 \* ROMAN \* MERGEFORMAT </w:instrText>
                  </w:r>
                  <w:r>
                    <w:rPr>
                      <w:rFonts w:hint="eastAsia"/>
                      <w:color w:val="auto"/>
                    </w:rPr>
                    <w:fldChar w:fldCharType="separate"/>
                  </w:r>
                  <w:r>
                    <w:rPr>
                      <w:color w:val="auto"/>
                    </w:rPr>
                    <w:t>I</w:t>
                  </w:r>
                  <w:r>
                    <w:rPr>
                      <w:rFonts w:hint="eastAsia"/>
                      <w:color w:val="auto"/>
                    </w:rPr>
                    <w:fldChar w:fldCharType="end"/>
                  </w:r>
                  <w:r>
                    <w:rPr>
                      <w:rFonts w:hint="eastAsia"/>
                      <w:color w:val="auto"/>
                    </w:rPr>
                    <w:t>级保护林地、风景名胜区规划范围不重叠，与二级国家公益林、</w:t>
                  </w:r>
                  <w:r>
                    <w:rPr>
                      <w:rFonts w:hint="eastAsia"/>
                      <w:color w:val="auto"/>
                    </w:rPr>
                    <w:fldChar w:fldCharType="begin"/>
                  </w:r>
                  <w:r>
                    <w:rPr>
                      <w:rFonts w:hint="eastAsia"/>
                      <w:color w:val="auto"/>
                    </w:rPr>
                    <w:instrText xml:space="preserve"> = 2 \* ROMAN \* MERGEFORMAT </w:instrText>
                  </w:r>
                  <w:r>
                    <w:rPr>
                      <w:rFonts w:hint="eastAsia"/>
                      <w:color w:val="auto"/>
                    </w:rPr>
                    <w:fldChar w:fldCharType="separate"/>
                  </w:r>
                  <w:r>
                    <w:rPr>
                      <w:color w:val="auto"/>
                    </w:rPr>
                    <w:t>II</w:t>
                  </w:r>
                  <w:r>
                    <w:rPr>
                      <w:rFonts w:hint="eastAsia"/>
                      <w:color w:val="auto"/>
                    </w:rPr>
                    <w:fldChar w:fldCharType="end"/>
                  </w:r>
                  <w:r>
                    <w:rPr>
                      <w:rFonts w:hint="eastAsia"/>
                      <w:color w:val="auto"/>
                    </w:rPr>
                    <w:t>级保护林地、山西省永久性生态公益林重叠</w:t>
                  </w:r>
                </w:p>
              </w:tc>
              <w:tc>
                <w:tcPr>
                  <w:tcW w:w="955" w:type="pct"/>
                  <w:vAlign w:val="center"/>
                </w:tcPr>
                <w:p w14:paraId="4C03A538">
                  <w:pPr>
                    <w:pStyle w:val="94"/>
                    <w:rPr>
                      <w:color w:val="auto"/>
                    </w:rPr>
                  </w:pPr>
                  <w:r>
                    <w:rPr>
                      <w:rFonts w:hint="eastAsia"/>
                      <w:color w:val="auto"/>
                    </w:rPr>
                    <w:t>兴林函[2022]164号；2022年12月23日</w:t>
                  </w:r>
                </w:p>
              </w:tc>
              <w:tc>
                <w:tcPr>
                  <w:tcW w:w="800" w:type="pct"/>
                  <w:vAlign w:val="center"/>
                </w:tcPr>
                <w:p w14:paraId="42E6382D">
                  <w:pPr>
                    <w:pStyle w:val="94"/>
                    <w:rPr>
                      <w:color w:val="auto"/>
                    </w:rPr>
                  </w:pPr>
                  <w:r>
                    <w:rPr>
                      <w:rFonts w:hint="eastAsia"/>
                      <w:color w:val="auto"/>
                    </w:rPr>
                    <w:t>井场占地不涉及二级国家公益林、</w:t>
                  </w:r>
                  <w:r>
                    <w:rPr>
                      <w:rFonts w:hint="eastAsia"/>
                      <w:color w:val="auto"/>
                    </w:rPr>
                    <w:fldChar w:fldCharType="begin"/>
                  </w:r>
                  <w:r>
                    <w:rPr>
                      <w:rFonts w:hint="eastAsia"/>
                      <w:color w:val="auto"/>
                    </w:rPr>
                    <w:instrText xml:space="preserve"> = 2 \* ROMAN \* MERGEFORMAT </w:instrText>
                  </w:r>
                  <w:r>
                    <w:rPr>
                      <w:rFonts w:hint="eastAsia"/>
                      <w:color w:val="auto"/>
                    </w:rPr>
                    <w:fldChar w:fldCharType="separate"/>
                  </w:r>
                  <w:r>
                    <w:rPr>
                      <w:color w:val="auto"/>
                    </w:rPr>
                    <w:t>II</w:t>
                  </w:r>
                  <w:r>
                    <w:rPr>
                      <w:rFonts w:hint="eastAsia"/>
                      <w:color w:val="auto"/>
                    </w:rPr>
                    <w:fldChar w:fldCharType="end"/>
                  </w:r>
                  <w:r>
                    <w:rPr>
                      <w:rFonts w:hint="eastAsia"/>
                      <w:color w:val="auto"/>
                    </w:rPr>
                    <w:t>级保护林地、山西省永久性生态公益林</w:t>
                  </w:r>
                </w:p>
              </w:tc>
            </w:tr>
            <w:tr w14:paraId="63C8E6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31" w:hRule="atLeast"/>
              </w:trPr>
              <w:tc>
                <w:tcPr>
                  <w:tcW w:w="895" w:type="pct"/>
                  <w:vAlign w:val="center"/>
                </w:tcPr>
                <w:p w14:paraId="1D77EEA8">
                  <w:pPr>
                    <w:pStyle w:val="94"/>
                    <w:rPr>
                      <w:color w:val="auto"/>
                    </w:rPr>
                  </w:pPr>
                  <w:r>
                    <w:rPr>
                      <w:rFonts w:hint="eastAsia"/>
                      <w:color w:val="auto"/>
                    </w:rPr>
                    <w:t>吕梁市生态环境局兴县分局</w:t>
                  </w:r>
                </w:p>
              </w:tc>
              <w:tc>
                <w:tcPr>
                  <w:tcW w:w="2351" w:type="pct"/>
                  <w:vAlign w:val="center"/>
                </w:tcPr>
                <w:p w14:paraId="1D0B77DA">
                  <w:pPr>
                    <w:pStyle w:val="94"/>
                    <w:rPr>
                      <w:color w:val="auto"/>
                    </w:rPr>
                  </w:pPr>
                  <w:r>
                    <w:rPr>
                      <w:rFonts w:hint="eastAsia"/>
                      <w:color w:val="auto"/>
                    </w:rPr>
                    <w:t>临兴东区块勘查项目范围与我县县城原家坪、乔家沟、河校集中式饮用水源地保护区，与高家村镇、康宁镇、固贤乡、瓦塘镇、蔡家崖乡乡镇集中式饮用水水源地保护区重叠</w:t>
                  </w:r>
                </w:p>
              </w:tc>
              <w:tc>
                <w:tcPr>
                  <w:tcW w:w="955" w:type="pct"/>
                  <w:vAlign w:val="center"/>
                </w:tcPr>
                <w:p w14:paraId="5C01B159">
                  <w:pPr>
                    <w:pStyle w:val="94"/>
                    <w:rPr>
                      <w:color w:val="auto"/>
                    </w:rPr>
                  </w:pPr>
                  <w:r>
                    <w:rPr>
                      <w:rFonts w:hint="eastAsia"/>
                      <w:color w:val="auto"/>
                    </w:rPr>
                    <w:t>兴环函[2022]78号；2022年12月16日</w:t>
                  </w:r>
                </w:p>
              </w:tc>
              <w:tc>
                <w:tcPr>
                  <w:tcW w:w="800" w:type="pct"/>
                  <w:vAlign w:val="center"/>
                </w:tcPr>
                <w:p w14:paraId="47FD844A">
                  <w:pPr>
                    <w:pStyle w:val="94"/>
                    <w:rPr>
                      <w:color w:val="auto"/>
                    </w:rPr>
                  </w:pPr>
                  <w:r>
                    <w:rPr>
                      <w:rFonts w:hint="eastAsia"/>
                      <w:color w:val="auto"/>
                    </w:rPr>
                    <w:t>临兴东尚义区无集中供水水源地分布</w:t>
                  </w:r>
                </w:p>
              </w:tc>
            </w:tr>
            <w:tr w14:paraId="6DD750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95" w:type="pct"/>
                  <w:vAlign w:val="center"/>
                </w:tcPr>
                <w:p w14:paraId="2D3A9C09">
                  <w:pPr>
                    <w:pStyle w:val="94"/>
                    <w:rPr>
                      <w:color w:val="auto"/>
                    </w:rPr>
                  </w:pPr>
                  <w:r>
                    <w:rPr>
                      <w:rFonts w:hint="eastAsia"/>
                      <w:color w:val="auto"/>
                    </w:rPr>
                    <w:t>兴县水利局</w:t>
                  </w:r>
                </w:p>
              </w:tc>
              <w:tc>
                <w:tcPr>
                  <w:tcW w:w="2351" w:type="pct"/>
                  <w:vAlign w:val="center"/>
                </w:tcPr>
                <w:p w14:paraId="3C80D0B9">
                  <w:pPr>
                    <w:pStyle w:val="94"/>
                    <w:rPr>
                      <w:color w:val="auto"/>
                    </w:rPr>
                  </w:pPr>
                  <w:r>
                    <w:rPr>
                      <w:rFonts w:hint="eastAsia"/>
                      <w:color w:val="auto"/>
                    </w:rPr>
                    <w:t>临兴东区块煤层气勘查项目范围不属于泉域重点保护区；与汾河、沁河、桑干河保护区等保护范围不重叠</w:t>
                  </w:r>
                </w:p>
              </w:tc>
              <w:tc>
                <w:tcPr>
                  <w:tcW w:w="955" w:type="pct"/>
                  <w:vAlign w:val="center"/>
                </w:tcPr>
                <w:p w14:paraId="34D41FAD">
                  <w:pPr>
                    <w:pStyle w:val="94"/>
                    <w:rPr>
                      <w:color w:val="auto"/>
                    </w:rPr>
                  </w:pPr>
                  <w:r>
                    <w:rPr>
                      <w:rFonts w:hint="eastAsia"/>
                      <w:color w:val="auto"/>
                    </w:rPr>
                    <w:t>兴水函[2022]116号；2022年12月21日</w:t>
                  </w:r>
                </w:p>
              </w:tc>
              <w:tc>
                <w:tcPr>
                  <w:tcW w:w="800" w:type="pct"/>
                  <w:vAlign w:val="center"/>
                </w:tcPr>
                <w:p w14:paraId="48CFFADA">
                  <w:pPr>
                    <w:pStyle w:val="94"/>
                    <w:rPr>
                      <w:color w:val="auto"/>
                    </w:rPr>
                  </w:pPr>
                  <w:r>
                    <w:rPr>
                      <w:rFonts w:hint="eastAsia"/>
                      <w:color w:val="auto"/>
                    </w:rPr>
                    <w:t>临兴东尚义区范围与泉域范围不重叠</w:t>
                  </w:r>
                </w:p>
              </w:tc>
            </w:tr>
            <w:tr w14:paraId="57FBF5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95" w:type="pct"/>
                  <w:vAlign w:val="center"/>
                </w:tcPr>
                <w:p w14:paraId="782D31B5">
                  <w:pPr>
                    <w:pStyle w:val="94"/>
                    <w:rPr>
                      <w:color w:val="auto"/>
                    </w:rPr>
                  </w:pPr>
                  <w:r>
                    <w:rPr>
                      <w:rFonts w:hint="eastAsia"/>
                      <w:color w:val="auto"/>
                    </w:rPr>
                    <w:t>兴县文物局</w:t>
                  </w:r>
                </w:p>
              </w:tc>
              <w:tc>
                <w:tcPr>
                  <w:tcW w:w="2351" w:type="pct"/>
                  <w:vAlign w:val="center"/>
                </w:tcPr>
                <w:p w14:paraId="78D8E3F6">
                  <w:pPr>
                    <w:pStyle w:val="94"/>
                    <w:rPr>
                      <w:color w:val="auto"/>
                    </w:rPr>
                  </w:pPr>
                  <w:r>
                    <w:rPr>
                      <w:rFonts w:hint="eastAsia"/>
                      <w:color w:val="auto"/>
                    </w:rPr>
                    <w:t>临兴东区用地范围内与152处各类文物保护单位有重叠，其中国家级重点文物保护单位5处，省级重点文物保护单位2处，市级重点保护单位1处，县级重点文物保护单位144处</w:t>
                  </w:r>
                </w:p>
              </w:tc>
              <w:tc>
                <w:tcPr>
                  <w:tcW w:w="955" w:type="pct"/>
                  <w:vAlign w:val="center"/>
                </w:tcPr>
                <w:p w14:paraId="33AE5445">
                  <w:pPr>
                    <w:pStyle w:val="94"/>
                    <w:rPr>
                      <w:color w:val="auto"/>
                    </w:rPr>
                  </w:pPr>
                  <w:r>
                    <w:rPr>
                      <w:rFonts w:hint="eastAsia"/>
                      <w:color w:val="auto"/>
                    </w:rPr>
                    <w:t>兴文物函[2022]83号；2022年12月27日</w:t>
                  </w:r>
                </w:p>
              </w:tc>
              <w:tc>
                <w:tcPr>
                  <w:tcW w:w="800" w:type="pct"/>
                  <w:vAlign w:val="center"/>
                </w:tcPr>
                <w:p w14:paraId="41E3B74E">
                  <w:pPr>
                    <w:pStyle w:val="94"/>
                    <w:rPr>
                      <w:color w:val="auto"/>
                    </w:rPr>
                  </w:pPr>
                  <w:r>
                    <w:rPr>
                      <w:rFonts w:hint="eastAsia"/>
                      <w:color w:val="auto"/>
                    </w:rPr>
                    <w:t>临兴东尚义区内分布有6处县级重点文物保护单位，本项目井场均对文物单位进行了避让</w:t>
                  </w:r>
                </w:p>
              </w:tc>
            </w:tr>
            <w:tr w14:paraId="5D2C37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95" w:type="pct"/>
                  <w:vAlign w:val="center"/>
                </w:tcPr>
                <w:p w14:paraId="78121B87">
                  <w:pPr>
                    <w:pStyle w:val="94"/>
                    <w:rPr>
                      <w:color w:val="auto"/>
                    </w:rPr>
                  </w:pPr>
                  <w:r>
                    <w:rPr>
                      <w:rFonts w:hint="eastAsia"/>
                      <w:color w:val="auto"/>
                    </w:rPr>
                    <w:t>兴县自然资源局</w:t>
                  </w:r>
                </w:p>
              </w:tc>
              <w:tc>
                <w:tcPr>
                  <w:tcW w:w="2351" w:type="pct"/>
                  <w:vAlign w:val="center"/>
                </w:tcPr>
                <w:p w14:paraId="69B70A9E">
                  <w:pPr>
                    <w:pStyle w:val="94"/>
                    <w:rPr>
                      <w:color w:val="auto"/>
                    </w:rPr>
                  </w:pPr>
                  <w:r>
                    <w:rPr>
                      <w:rFonts w:hint="eastAsia"/>
                      <w:color w:val="auto"/>
                    </w:rPr>
                    <w:t>临兴东区与我县地质遗迹保护范围不重叠</w:t>
                  </w:r>
                </w:p>
              </w:tc>
              <w:tc>
                <w:tcPr>
                  <w:tcW w:w="955" w:type="pct"/>
                  <w:vAlign w:val="center"/>
                </w:tcPr>
                <w:p w14:paraId="2E1F43EA">
                  <w:pPr>
                    <w:pStyle w:val="94"/>
                    <w:rPr>
                      <w:color w:val="auto"/>
                    </w:rPr>
                  </w:pPr>
                  <w:r>
                    <w:rPr>
                      <w:rFonts w:hint="eastAsia"/>
                      <w:color w:val="auto"/>
                    </w:rPr>
                    <w:t>兴自然资函[2023]5号；2023年1月8日</w:t>
                  </w:r>
                </w:p>
              </w:tc>
              <w:tc>
                <w:tcPr>
                  <w:tcW w:w="800" w:type="pct"/>
                  <w:vAlign w:val="center"/>
                </w:tcPr>
                <w:p w14:paraId="007D2CCC">
                  <w:pPr>
                    <w:pStyle w:val="94"/>
                    <w:rPr>
                      <w:color w:val="auto"/>
                    </w:rPr>
                  </w:pPr>
                  <w:r>
                    <w:rPr>
                      <w:rFonts w:hint="eastAsia"/>
                      <w:color w:val="auto"/>
                    </w:rPr>
                    <w:t>临兴东尚义区无地质遗迹保护区分布</w:t>
                  </w:r>
                </w:p>
              </w:tc>
            </w:tr>
            <w:tr w14:paraId="7E20CA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95" w:type="pct"/>
                  <w:vAlign w:val="center"/>
                </w:tcPr>
                <w:p w14:paraId="046739FB">
                  <w:pPr>
                    <w:pStyle w:val="94"/>
                    <w:rPr>
                      <w:color w:val="auto"/>
                    </w:rPr>
                  </w:pPr>
                  <w:r>
                    <w:rPr>
                      <w:rFonts w:hint="eastAsia"/>
                      <w:color w:val="auto"/>
                    </w:rPr>
                    <w:t>兴县自然资源局</w:t>
                  </w:r>
                </w:p>
              </w:tc>
              <w:tc>
                <w:tcPr>
                  <w:tcW w:w="2351" w:type="pct"/>
                  <w:vAlign w:val="center"/>
                </w:tcPr>
                <w:p w14:paraId="07280F54">
                  <w:pPr>
                    <w:pStyle w:val="94"/>
                    <w:rPr>
                      <w:color w:val="auto"/>
                    </w:rPr>
                  </w:pPr>
                  <w:r>
                    <w:rPr>
                      <w:rFonts w:hint="eastAsia"/>
                      <w:color w:val="auto"/>
                    </w:rPr>
                    <w:t>临兴东区与城镇开发边界重叠面积1670.545公顷，与基本农田保护区重叠面积为14139.57268公顷，与生态保护红线重叠面积为13654.4397公顷</w:t>
                  </w:r>
                </w:p>
              </w:tc>
              <w:tc>
                <w:tcPr>
                  <w:tcW w:w="955" w:type="pct"/>
                  <w:vAlign w:val="center"/>
                </w:tcPr>
                <w:p w14:paraId="26E0C563">
                  <w:pPr>
                    <w:pStyle w:val="94"/>
                    <w:rPr>
                      <w:color w:val="auto"/>
                    </w:rPr>
                  </w:pPr>
                  <w:r>
                    <w:rPr>
                      <w:rFonts w:hint="eastAsia"/>
                      <w:color w:val="auto"/>
                    </w:rPr>
                    <w:t>兴自然资字[2023]9号</w:t>
                  </w:r>
                </w:p>
              </w:tc>
              <w:tc>
                <w:tcPr>
                  <w:tcW w:w="800" w:type="pct"/>
                  <w:vAlign w:val="center"/>
                </w:tcPr>
                <w:p w14:paraId="18011F77">
                  <w:pPr>
                    <w:pStyle w:val="94"/>
                    <w:rPr>
                      <w:color w:val="auto"/>
                    </w:rPr>
                  </w:pPr>
                  <w:r>
                    <w:rPr>
                      <w:rFonts w:hint="eastAsia"/>
                      <w:color w:val="auto"/>
                    </w:rPr>
                    <w:t>临兴东尚义区井场及井场道路占地范围内不涉及基本农田及生态保护红线</w:t>
                  </w:r>
                </w:p>
              </w:tc>
            </w:tr>
          </w:tbl>
          <w:p w14:paraId="23BBA480">
            <w:pPr>
              <w:pStyle w:val="96"/>
              <w:ind w:firstLine="480"/>
            </w:pPr>
            <w:r>
              <w:rPr>
                <w:rFonts w:hint="eastAsia"/>
              </w:rPr>
              <w:t>项目井场外</w:t>
            </w:r>
            <w:r>
              <w:t>2000米范围内不存在地下水集中式饮用水水源和热水、矿泉水、温泉等特殊地下水资源。</w:t>
            </w:r>
          </w:p>
          <w:p w14:paraId="70A28003">
            <w:pPr>
              <w:pStyle w:val="96"/>
              <w:ind w:firstLine="480"/>
            </w:pPr>
            <w:r>
              <w:rPr>
                <w:rFonts w:hint="eastAsia"/>
              </w:rPr>
              <w:t>本项目占地为临时占地，占地类型以旱地（不占基本农田）、裸岩砾石地、其他林地（不占国家一二级公益林、Ⅰ、Ⅱ</w:t>
            </w:r>
            <w:r>
              <w:t>级保护林地</w:t>
            </w:r>
            <w:r>
              <w:rPr>
                <w:rFonts w:hint="eastAsia"/>
              </w:rPr>
              <w:t>）为主。评价要求项目开工前需</w:t>
            </w:r>
            <w:r>
              <w:t>办理临时使用土地</w:t>
            </w:r>
            <w:r>
              <w:rPr>
                <w:rFonts w:hint="eastAsia"/>
              </w:rPr>
              <w:t>手续。</w:t>
            </w:r>
          </w:p>
          <w:p w14:paraId="2515F82A">
            <w:pPr>
              <w:pStyle w:val="96"/>
              <w:ind w:firstLine="480"/>
            </w:pPr>
            <w:r>
              <w:rPr>
                <w:rFonts w:hint="eastAsia"/>
              </w:rPr>
              <w:t>本项目不在自然保护区、风景名胜区、森林公园、地质公园等重要生态功能区、生态敏感区和脆弱区以及其他要求禁止建设的环境敏感区内。</w:t>
            </w:r>
          </w:p>
          <w:p w14:paraId="56DE2D83">
            <w:pPr>
              <w:pStyle w:val="96"/>
              <w:ind w:firstLine="480"/>
            </w:pPr>
            <w:r>
              <w:rPr>
                <w:rFonts w:hint="eastAsia"/>
              </w:rPr>
              <w:t>综上分析，项目选址的具有环境可行性。</w:t>
            </w:r>
          </w:p>
          <w:p w14:paraId="2484D4A8">
            <w:pPr>
              <w:adjustRightInd w:val="0"/>
              <w:snapToGrid w:val="0"/>
              <w:spacing w:line="360" w:lineRule="auto"/>
              <w:ind w:firstLine="480" w:firstLineChars="200"/>
              <w:rPr>
                <w:bCs/>
                <w:sz w:val="24"/>
              </w:rPr>
            </w:pPr>
          </w:p>
          <w:p w14:paraId="0AE0849E">
            <w:pPr>
              <w:adjustRightInd w:val="0"/>
              <w:snapToGrid w:val="0"/>
              <w:spacing w:line="360" w:lineRule="auto"/>
              <w:ind w:firstLine="480" w:firstLineChars="200"/>
              <w:rPr>
                <w:bCs/>
                <w:sz w:val="24"/>
              </w:rPr>
            </w:pPr>
          </w:p>
          <w:p w14:paraId="624C4690">
            <w:pPr>
              <w:adjustRightInd w:val="0"/>
              <w:snapToGrid w:val="0"/>
              <w:spacing w:line="360" w:lineRule="auto"/>
              <w:ind w:firstLine="480" w:firstLineChars="200"/>
              <w:rPr>
                <w:bCs/>
                <w:sz w:val="24"/>
              </w:rPr>
            </w:pPr>
          </w:p>
        </w:tc>
      </w:tr>
    </w:tbl>
    <w:p w14:paraId="39C31604">
      <w:pPr>
        <w:jc w:val="center"/>
        <w:rPr>
          <w:rFonts w:ascii="Times New Roman" w:hAnsi="Times New Roman" w:eastAsia="黑体"/>
          <w:snapToGrid w:val="0"/>
          <w:sz w:val="36"/>
          <w:szCs w:val="36"/>
        </w:rPr>
        <w:sectPr>
          <w:pgSz w:w="11906" w:h="16838"/>
          <w:pgMar w:top="1440" w:right="1800" w:bottom="1440" w:left="1800" w:header="851" w:footer="1077" w:gutter="0"/>
          <w:cols w:space="425" w:num="1"/>
          <w:docGrid w:linePitch="312" w:charSpace="0"/>
        </w:sectPr>
      </w:pPr>
    </w:p>
    <w:p w14:paraId="62AA0D3F">
      <w:pPr>
        <w:jc w:val="center"/>
        <w:outlineLvl w:val="0"/>
        <w:rPr>
          <w:rStyle w:val="404"/>
        </w:rPr>
      </w:pPr>
      <w:bookmarkStart w:id="50" w:name="_Toc165209995"/>
      <w:bookmarkStart w:id="51" w:name="_Toc169765990"/>
      <w:bookmarkStart w:id="52" w:name="_Toc164890571"/>
      <w:bookmarkStart w:id="53" w:name="_Toc165211509"/>
      <w:bookmarkStart w:id="54" w:name="_Toc171579801"/>
      <w:bookmarkStart w:id="55" w:name="_Toc168031008"/>
      <w:r>
        <w:rPr>
          <w:rStyle w:val="404"/>
        </w:rPr>
        <w:t>五、主要生态环境保护措施</w:t>
      </w:r>
      <w:bookmarkEnd w:id="50"/>
      <w:bookmarkEnd w:id="51"/>
      <w:bookmarkEnd w:id="52"/>
      <w:bookmarkEnd w:id="53"/>
      <w:bookmarkEnd w:id="54"/>
      <w:bookmarkEnd w:id="55"/>
    </w:p>
    <w:tbl>
      <w:tblPr>
        <w:tblStyle w:val="72"/>
        <w:tblW w:w="92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 w:type="dxa"/>
          <w:bottom w:w="0" w:type="dxa"/>
          <w:right w:w="10" w:type="dxa"/>
        </w:tblCellMar>
      </w:tblPr>
      <w:tblGrid>
        <w:gridCol w:w="307"/>
        <w:gridCol w:w="8903"/>
      </w:tblGrid>
      <w:tr w14:paraId="772EF2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3782" w:hRule="atLeast"/>
          <w:jc w:val="center"/>
        </w:trPr>
        <w:tc>
          <w:tcPr>
            <w:tcW w:w="307" w:type="dxa"/>
            <w:tcMar>
              <w:left w:w="28" w:type="dxa"/>
              <w:right w:w="28" w:type="dxa"/>
            </w:tcMar>
            <w:vAlign w:val="center"/>
          </w:tcPr>
          <w:p w14:paraId="30CB0A19">
            <w:pPr>
              <w:adjustRightInd w:val="0"/>
              <w:snapToGrid w:val="0"/>
              <w:jc w:val="center"/>
              <w:rPr>
                <w:rFonts w:ascii="宋体" w:hAnsi="宋体" w:eastAsia="宋体"/>
                <w:bCs/>
                <w:sz w:val="24"/>
              </w:rPr>
            </w:pPr>
            <w:r>
              <w:rPr>
                <w:rFonts w:ascii="宋体" w:hAnsi="宋体" w:eastAsia="宋体"/>
                <w:bCs/>
                <w:spacing w:val="10"/>
                <w:sz w:val="24"/>
              </w:rPr>
              <w:t>施工期生态环境保护措施</w:t>
            </w:r>
          </w:p>
        </w:tc>
        <w:tc>
          <w:tcPr>
            <w:tcW w:w="8903" w:type="dxa"/>
          </w:tcPr>
          <w:p w14:paraId="784F1D3F">
            <w:pPr>
              <w:pStyle w:val="96"/>
              <w:ind w:firstLine="0" w:firstLineChars="0"/>
              <w:rPr>
                <w:b/>
                <w:bCs/>
              </w:rPr>
            </w:pPr>
            <w:r>
              <w:rPr>
                <w:rFonts w:hint="eastAsia"/>
                <w:b/>
                <w:bCs/>
              </w:rPr>
              <w:t>一、生态环境保护措施</w:t>
            </w:r>
          </w:p>
          <w:p w14:paraId="0E21F49F">
            <w:pPr>
              <w:pStyle w:val="96"/>
              <w:ind w:firstLine="0" w:firstLineChars="0"/>
              <w:rPr>
                <w:b/>
                <w:bCs/>
              </w:rPr>
            </w:pPr>
            <w:r>
              <w:rPr>
                <w:b/>
                <w:bCs/>
              </w:rPr>
              <w:t>1</w:t>
            </w:r>
            <w:r>
              <w:rPr>
                <w:rFonts w:hint="eastAsia"/>
                <w:b/>
                <w:bCs/>
              </w:rPr>
              <w:t>、避让</w:t>
            </w:r>
          </w:p>
          <w:p w14:paraId="47B23F9E">
            <w:pPr>
              <w:pStyle w:val="96"/>
              <w:ind w:firstLine="500"/>
              <w:rPr>
                <w:spacing w:val="10"/>
              </w:rPr>
            </w:pPr>
            <w:r>
              <w:rPr>
                <w:rFonts w:hint="eastAsia"/>
                <w:spacing w:val="10"/>
              </w:rPr>
              <w:t>本项目在施工过程中采取以下避让措施：</w:t>
            </w:r>
          </w:p>
          <w:p w14:paraId="1C3F71A8">
            <w:pPr>
              <w:pStyle w:val="96"/>
              <w:ind w:firstLine="500"/>
              <w:rPr>
                <w:spacing w:val="10"/>
              </w:rPr>
            </w:pPr>
            <w:r>
              <w:rPr>
                <w:rFonts w:hint="eastAsia"/>
                <w:spacing w:val="10"/>
              </w:rPr>
              <w:t>（1）钻井过程中应该严格控制钻井作业面积，减少工程占地及建设的影响范围。</w:t>
            </w:r>
          </w:p>
          <w:p w14:paraId="48F80B07">
            <w:pPr>
              <w:pStyle w:val="96"/>
              <w:ind w:firstLine="500"/>
              <w:rPr>
                <w:spacing w:val="10"/>
              </w:rPr>
            </w:pPr>
            <w:r>
              <w:rPr>
                <w:rFonts w:hint="eastAsia"/>
                <w:spacing w:val="10"/>
              </w:rPr>
              <w:t>（2）井场点火方箱及与周围林木之间的距离应满足林草地防火要求。</w:t>
            </w:r>
          </w:p>
          <w:p w14:paraId="6ECBF2F1">
            <w:pPr>
              <w:pStyle w:val="96"/>
              <w:ind w:firstLine="500"/>
              <w:rPr>
                <w:spacing w:val="10"/>
              </w:rPr>
            </w:pPr>
            <w:r>
              <w:rPr>
                <w:rFonts w:hint="eastAsia"/>
                <w:spacing w:val="10"/>
              </w:rPr>
              <w:t>（3）道路选线尽量利用现有道路，减少施工井场道路临时用地。</w:t>
            </w:r>
          </w:p>
          <w:p w14:paraId="2133FADE">
            <w:pPr>
              <w:pStyle w:val="96"/>
              <w:ind w:firstLine="500"/>
              <w:rPr>
                <w:spacing w:val="10"/>
              </w:rPr>
            </w:pPr>
            <w:r>
              <w:rPr>
                <w:rFonts w:hint="eastAsia"/>
                <w:spacing w:val="10"/>
              </w:rPr>
              <w:t>（4）施工中尽量缩小影响范围，合理布置井场，挖好井场四周的界沟，选择合适的设备搬迁路线，合理布置钻井设备，减少井场占地面积。提高工程施工效率，减少工程在空间上、时间上对生态环境的影响。</w:t>
            </w:r>
          </w:p>
          <w:p w14:paraId="622BDF1A">
            <w:pPr>
              <w:pStyle w:val="96"/>
              <w:ind w:firstLine="0" w:firstLineChars="0"/>
              <w:rPr>
                <w:b/>
                <w:bCs/>
                <w:spacing w:val="10"/>
              </w:rPr>
            </w:pPr>
            <w:r>
              <w:rPr>
                <w:rFonts w:hint="eastAsia"/>
                <w:b/>
                <w:bCs/>
              </w:rPr>
              <w:t>2、生态保护措施</w:t>
            </w:r>
          </w:p>
          <w:p w14:paraId="481ADB16">
            <w:pPr>
              <w:pStyle w:val="96"/>
              <w:ind w:firstLine="500"/>
              <w:rPr>
                <w:spacing w:val="10"/>
              </w:rPr>
            </w:pPr>
            <w:r>
              <w:rPr>
                <w:rFonts w:hint="eastAsia"/>
                <w:spacing w:val="10"/>
              </w:rPr>
              <w:t>（1）本项目无弃土方产生，不设弃渣场、取土场。工程临时弃渣用于临近井场、道路等的填方，严禁随地堆放。</w:t>
            </w:r>
          </w:p>
          <w:p w14:paraId="4953B162">
            <w:pPr>
              <w:pStyle w:val="96"/>
              <w:ind w:firstLine="500"/>
              <w:rPr>
                <w:spacing w:val="10"/>
              </w:rPr>
            </w:pPr>
            <w:r>
              <w:rPr>
                <w:rFonts w:hint="eastAsia"/>
                <w:spacing w:val="10"/>
              </w:rPr>
              <w:t>（2）严格执行钻井生产环境保护管理规定，钻井污水、废弃泥浆全部进泥浆池。加强对泥浆池的管理，防止因暴雨造成泥浆外溢污染植被；做好泥浆池的防漏防渗处理，以防污染土壤和地下水环境；对泥浆池中的废弃钻井泥浆和钻井岩屑进行无害化</w:t>
            </w:r>
            <w:r>
              <w:rPr>
                <w:spacing w:val="10"/>
              </w:rPr>
              <w:t>固化处理</w:t>
            </w:r>
            <w:r>
              <w:rPr>
                <w:rFonts w:hint="eastAsia"/>
                <w:spacing w:val="10"/>
              </w:rPr>
              <w:t>。泥浆池覆土厚度大于50cm，以保证植被生长需要。</w:t>
            </w:r>
          </w:p>
          <w:p w14:paraId="2AC8E700">
            <w:pPr>
              <w:pStyle w:val="96"/>
              <w:ind w:firstLine="500"/>
              <w:rPr>
                <w:spacing w:val="10"/>
              </w:rPr>
            </w:pPr>
            <w:r>
              <w:rPr>
                <w:rFonts w:hint="eastAsia"/>
                <w:spacing w:val="10"/>
              </w:rPr>
              <w:t>（3）勘探完成后，在井场地周围及道路两侧施工影响临时用地进行植被恢复，原则上种植占地前植物种类，并维护至土地肥力恢复。</w:t>
            </w:r>
          </w:p>
          <w:p w14:paraId="7852C223">
            <w:pPr>
              <w:pStyle w:val="96"/>
              <w:ind w:firstLine="500"/>
              <w:rPr>
                <w:spacing w:val="10"/>
              </w:rPr>
            </w:pPr>
            <w:r>
              <w:rPr>
                <w:rFonts w:hint="eastAsia"/>
                <w:spacing w:val="10"/>
              </w:rPr>
              <w:t>（4）恢复土地生产能力，提高土壤肥力。施工过程中要尽量保护土地资源，不要打乱土层，要先挖表土层单独堆放，然后挖心，底土层另外堆放。复原时要先填心、底土，然后平复表土，以尽快恢复土地原貌。</w:t>
            </w:r>
          </w:p>
          <w:p w14:paraId="19EEC270">
            <w:pPr>
              <w:pStyle w:val="96"/>
              <w:ind w:firstLine="0" w:firstLineChars="0"/>
              <w:rPr>
                <w:b/>
                <w:bCs/>
                <w:spacing w:val="10"/>
              </w:rPr>
            </w:pPr>
            <w:r>
              <w:rPr>
                <w:b/>
                <w:bCs/>
              </w:rPr>
              <w:t>3</w:t>
            </w:r>
            <w:r>
              <w:rPr>
                <w:rFonts w:hint="eastAsia"/>
                <w:b/>
                <w:bCs/>
              </w:rPr>
              <w:t>、生态恢复措施</w:t>
            </w:r>
          </w:p>
          <w:p w14:paraId="77A5F0C4">
            <w:pPr>
              <w:pStyle w:val="96"/>
              <w:ind w:firstLine="500"/>
              <w:rPr>
                <w:spacing w:val="10"/>
              </w:rPr>
            </w:pPr>
            <w:r>
              <w:rPr>
                <w:rFonts w:hint="eastAsia"/>
                <w:spacing w:val="10"/>
              </w:rPr>
              <w:t>（1）井场的生态恢复措施</w:t>
            </w:r>
          </w:p>
          <w:p w14:paraId="3412843E">
            <w:pPr>
              <w:pStyle w:val="96"/>
              <w:ind w:firstLine="500"/>
              <w:rPr>
                <w:spacing w:val="10"/>
              </w:rPr>
            </w:pPr>
            <w:r>
              <w:rPr>
                <w:rFonts w:hint="eastAsia"/>
                <w:spacing w:val="10"/>
              </w:rPr>
              <w:t>本项目井场占地为</w:t>
            </w:r>
            <w:r>
              <w:rPr>
                <w:rFonts w:hint="eastAsia"/>
              </w:rPr>
              <w:t>旱地（不占基本农田）、裸岩砾石地、其他林地（不占国家一二级公益林）为主</w:t>
            </w:r>
            <w:r>
              <w:rPr>
                <w:rFonts w:hint="eastAsia"/>
                <w:spacing w:val="10"/>
              </w:rPr>
              <w:t>，钻井完成后实施生态保护工程。</w:t>
            </w:r>
          </w:p>
          <w:p w14:paraId="45680DDF">
            <w:pPr>
              <w:pStyle w:val="96"/>
              <w:ind w:firstLine="500"/>
              <w:rPr>
                <w:spacing w:val="10"/>
              </w:rPr>
            </w:pPr>
            <w:r>
              <w:rPr>
                <w:rFonts w:hint="eastAsia"/>
                <w:spacing w:val="10"/>
              </w:rPr>
              <w:t>施工前对表土进行剥离，剥离的表土可堆放于井场占地的空闲处；井场四周做好边坡防护，修排水沟渠，避免施工过程遇到降雨发生水土流失；施工结束后，将剥离的表土及时回填需要进行恢复的临时占地区；施工结束后进行全面整地，按照原有土地利用类型进行生态恢复。</w:t>
            </w:r>
          </w:p>
          <w:p w14:paraId="43E90B90">
            <w:pPr>
              <w:pStyle w:val="96"/>
              <w:ind w:firstLine="480"/>
            </w:pPr>
            <w:r>
              <w:rPr>
                <w:rFonts w:hint="eastAsia"/>
              </w:rPr>
              <w:t>建设项目井场、泥浆池等施工时要将表层土按要求堆存，施工结束后进行分层回填，将表层耕作土置于最上层，最大限度的减少施工时土壤的影响，项目施工对土壤环境的影响在经过几年的自然沉降和爬犁将恢复原状。不会影响将来地表植被的生长。</w:t>
            </w:r>
          </w:p>
          <w:p w14:paraId="5E6D6E33">
            <w:pPr>
              <w:pStyle w:val="96"/>
              <w:ind w:firstLine="480"/>
            </w:pPr>
            <w:r>
              <w:rPr>
                <w:rFonts w:hint="eastAsia"/>
              </w:rPr>
              <w:t>（2）道路的生态恢复措施</w:t>
            </w:r>
          </w:p>
          <w:p w14:paraId="27298108">
            <w:pPr>
              <w:pStyle w:val="96"/>
              <w:ind w:firstLine="480"/>
            </w:pPr>
            <w:r>
              <w:rPr>
                <w:rFonts w:hint="eastAsia"/>
              </w:rPr>
              <w:t>施工道路后期将利用为巡检道路和乡村道路供当地居民使用，根据所处不同位置选用不同生态保护和恢复措施：①梁峁道路两侧种植油松、侧柏等当地乔木；②坡面道路上坡方向、下坡方向栽植柠条锦鸡儿等当地灌木树种，并撒播紫花苜蓿和披碱草等当地草种；③沟台道路两侧栽植侧柏、油松，并撒播披紫花苜蓿和披碱草等当地草种。</w:t>
            </w:r>
          </w:p>
          <w:p w14:paraId="7E47D5F6">
            <w:pPr>
              <w:pStyle w:val="96"/>
              <w:ind w:firstLine="480"/>
            </w:pPr>
            <w:r>
              <w:rPr>
                <w:rFonts w:hint="eastAsia"/>
              </w:rPr>
              <w:t>在进井场道路两侧修建排水沟，道路两侧绿化。道路两侧有削坡垫土形成的裸露面，应及时采取水土保持与植被恢复措施。</w:t>
            </w:r>
          </w:p>
          <w:p w14:paraId="24E83834">
            <w:pPr>
              <w:pStyle w:val="96"/>
              <w:ind w:firstLine="480"/>
            </w:pPr>
            <w:r>
              <w:rPr>
                <w:rFonts w:hint="eastAsia"/>
              </w:rPr>
              <w:t>（3）关井后生态恢复措施</w:t>
            </w:r>
          </w:p>
          <w:p w14:paraId="7BC0E3DA">
            <w:pPr>
              <w:pStyle w:val="96"/>
              <w:ind w:firstLine="480"/>
            </w:pPr>
            <w:r>
              <w:rPr>
                <w:rFonts w:hint="eastAsia"/>
              </w:rPr>
              <w:t>勘探期结束后，经过评价作为开发井使用的按照环保要求完善开发阶段的环保手续，用于下一步的开发；如果钻井没有经济利用价值，则进行关井，将试采设备进行拆卸和搬迁后，将建井初期推土机推出的表土回填场地，恢复原状或进行生态恢复。井口设置围栏保护。</w:t>
            </w:r>
          </w:p>
          <w:p w14:paraId="31F20E8B">
            <w:pPr>
              <w:pStyle w:val="96"/>
              <w:ind w:firstLine="0" w:firstLineChars="0"/>
              <w:rPr>
                <w:b/>
                <w:bCs/>
                <w:spacing w:val="10"/>
              </w:rPr>
            </w:pPr>
            <w:r>
              <w:rPr>
                <w:b/>
                <w:bCs/>
              </w:rPr>
              <w:t>4</w:t>
            </w:r>
            <w:r>
              <w:rPr>
                <w:rFonts w:hint="eastAsia"/>
                <w:b/>
                <w:bCs/>
              </w:rPr>
              <w:t>、水土保持措施</w:t>
            </w:r>
          </w:p>
          <w:p w14:paraId="2E24B726">
            <w:pPr>
              <w:pStyle w:val="96"/>
              <w:ind w:firstLine="500"/>
              <w:rPr>
                <w:spacing w:val="10"/>
              </w:rPr>
            </w:pPr>
            <w:r>
              <w:rPr>
                <w:rFonts w:hint="eastAsia"/>
                <w:spacing w:val="10"/>
              </w:rPr>
              <w:t>本项目在施工时不可避免的造成了土壤的扰动，改变了土壤层的结构，引起一定程度的水土流失。在施工期间，采取分层取土、分层开挖、分层回填的保护措施。</w:t>
            </w:r>
          </w:p>
          <w:p w14:paraId="5192FFAD">
            <w:pPr>
              <w:pStyle w:val="96"/>
              <w:ind w:firstLine="500"/>
              <w:rPr>
                <w:spacing w:val="10"/>
              </w:rPr>
            </w:pPr>
            <w:r>
              <w:rPr>
                <w:rFonts w:hint="eastAsia"/>
                <w:spacing w:val="10"/>
              </w:rPr>
              <w:t>①临时开挖面两侧设临时拦挡措施，遇暴雨时及时用草帘等覆盖开挖断面，防止暴雨冲刷。</w:t>
            </w:r>
          </w:p>
          <w:p w14:paraId="0F6765A5">
            <w:pPr>
              <w:pStyle w:val="96"/>
              <w:ind w:firstLine="480"/>
            </w:pPr>
            <w:r>
              <w:rPr>
                <w:rFonts w:hint="eastAsia"/>
              </w:rPr>
              <w:t>②为了保持该区域的生物多样性，需对临时</w:t>
            </w:r>
            <w:r>
              <w:t>占地的</w:t>
            </w:r>
            <w:r>
              <w:rPr>
                <w:rFonts w:hint="eastAsia"/>
              </w:rPr>
              <w:t>表层土壤进行单独剥离、临时单独堆放处理。</w:t>
            </w:r>
          </w:p>
          <w:p w14:paraId="0CB31D99">
            <w:pPr>
              <w:pStyle w:val="96"/>
              <w:ind w:firstLine="500"/>
              <w:rPr>
                <w:spacing w:val="10"/>
              </w:rPr>
            </w:pPr>
            <w:r>
              <w:rPr>
                <w:rFonts w:hint="eastAsia"/>
                <w:spacing w:val="10"/>
              </w:rPr>
              <w:t>③对开挖临时堆积物及建筑材料堆积物周边采用装土编织袋围堰防护，在大风、暴雨时其表面采用草帘掩盖，防止水土流失。</w:t>
            </w:r>
          </w:p>
          <w:p w14:paraId="4E8321F7">
            <w:pPr>
              <w:pStyle w:val="96"/>
              <w:ind w:firstLine="500"/>
              <w:rPr>
                <w:spacing w:val="10"/>
              </w:rPr>
            </w:pPr>
            <w:r>
              <w:rPr>
                <w:rFonts w:hint="eastAsia"/>
                <w:spacing w:val="10"/>
              </w:rPr>
              <w:t>④在施工期间，施工单位应与当地气象部门和水文部门取得联系，获取灾害性天气（暴雨和大风）预报资料，及时调整施工时序，采取各种防护措施，将水土流失控制在最小程度。</w:t>
            </w:r>
          </w:p>
          <w:p w14:paraId="17BAE117">
            <w:pPr>
              <w:pStyle w:val="96"/>
              <w:ind w:firstLine="480"/>
            </w:pPr>
            <w:r>
              <w:rPr>
                <w:rFonts w:hint="eastAsia"/>
              </w:rPr>
              <w:t>⑤严格按照本方案制定的水土保持防护体系施工。同时，加强对施工人员的水土保持法律、法规的宣传教育，使施工人员了解水土流失的危害和水土保护的重要性，在施工中自觉执行有关规定。</w:t>
            </w:r>
          </w:p>
          <w:p w14:paraId="7759F975">
            <w:pPr>
              <w:pStyle w:val="96"/>
              <w:ind w:firstLine="0" w:firstLineChars="0"/>
              <w:rPr>
                <w:b/>
                <w:bCs/>
              </w:rPr>
            </w:pPr>
            <w:r>
              <w:rPr>
                <w:rFonts w:hint="eastAsia"/>
                <w:b/>
                <w:bCs/>
              </w:rPr>
              <w:t>二、污染防治措施</w:t>
            </w:r>
          </w:p>
          <w:p w14:paraId="51C3EFFE">
            <w:pPr>
              <w:pStyle w:val="96"/>
              <w:ind w:firstLine="0" w:firstLineChars="0"/>
              <w:rPr>
                <w:b/>
                <w:bCs/>
              </w:rPr>
            </w:pPr>
            <w:r>
              <w:rPr>
                <w:b/>
                <w:bCs/>
              </w:rPr>
              <w:t>1、环境空气影响分析</w:t>
            </w:r>
          </w:p>
          <w:p w14:paraId="64DAD217">
            <w:pPr>
              <w:pStyle w:val="96"/>
              <w:ind w:firstLine="480"/>
            </w:pPr>
            <w:r>
              <w:rPr>
                <w:rFonts w:hint="eastAsia"/>
              </w:rPr>
              <w:t>①</w:t>
            </w:r>
            <w:r>
              <w:t>建设工程施工方案中必须有防止泄漏遗撒污染环境的具体措施，编制防治扬尘的操作规范，其中包括施工现场合理布局，建筑材料堆存。施工现场建立洒水清扫制度，施工作业面保持良好的安全作业环境，余料及时清理、清扫，禁止随意丢弃，指定专人负责洒水和清扫工作。</w:t>
            </w:r>
          </w:p>
          <w:p w14:paraId="39BAAEFF">
            <w:pPr>
              <w:pStyle w:val="96"/>
              <w:ind w:firstLine="480"/>
            </w:pPr>
            <w:r>
              <w:rPr>
                <w:rFonts w:hint="eastAsia"/>
              </w:rPr>
              <w:t>②</w:t>
            </w:r>
            <w:r>
              <w:t>根据主导风向和工地的相对位置，对施工现场合理布局，建材堆场要远离环境保护目标。施工现场的各种设施、物料要当按照施工总平面图划定的区域存放，并设置标签。禁止混放或在施工现场外擅自占道堆放建筑材料、工程渣土和建筑垃圾；施工现场堆放砂、石等散体物料的，设置高度不低于0.5米的堆放池，并对物料裸露部分实施苫盖。易产生扬尘的水泥等物料应当在库房内或封闭容器内存放等。</w:t>
            </w:r>
          </w:p>
          <w:p w14:paraId="49D84307">
            <w:pPr>
              <w:pStyle w:val="96"/>
              <w:ind w:firstLine="480"/>
            </w:pPr>
            <w:r>
              <w:rPr>
                <w:rFonts w:hint="eastAsia"/>
              </w:rPr>
              <w:t>③</w:t>
            </w:r>
            <w:r>
              <w:t>注意气象条件变化，土方施工要避开风速大、湿度小的气象条件。当出现4级及以上风力天气情况时，禁止进行土方施工，并做好遮掩工作。</w:t>
            </w:r>
          </w:p>
          <w:p w14:paraId="08904DF2">
            <w:pPr>
              <w:pStyle w:val="96"/>
              <w:ind w:firstLine="480"/>
            </w:pPr>
            <w:r>
              <w:rPr>
                <w:rFonts w:hint="eastAsia"/>
              </w:rPr>
              <w:t>④</w:t>
            </w:r>
            <w:r>
              <w:t>施工单位运输砂、石等散体建筑材料，要采用密闭运输车辆，并按指定路线行驶。暂存的表土应当集中堆放并全部苫盖。禁止粉状物料露天存放。</w:t>
            </w:r>
          </w:p>
          <w:p w14:paraId="230AEDB2">
            <w:pPr>
              <w:pStyle w:val="96"/>
              <w:ind w:firstLine="480"/>
            </w:pPr>
            <w:r>
              <w:rPr>
                <w:rFonts w:hint="eastAsia"/>
              </w:rPr>
              <w:t>⑤</w:t>
            </w:r>
            <w:r>
              <w:t>工地出入口要设于远离环境敏感目标的位置。</w:t>
            </w:r>
          </w:p>
          <w:p w14:paraId="754D82A7">
            <w:pPr>
              <w:pStyle w:val="96"/>
              <w:ind w:firstLine="480"/>
            </w:pPr>
            <w:r>
              <w:rPr>
                <w:rFonts w:hint="eastAsia"/>
              </w:rPr>
              <w:t>⑥</w:t>
            </w:r>
            <w:r>
              <w:t>施工场地设立环境保护措施标牌，加强施工现场管理，防治施工过程产生的扬尘污染，施工单位应将有关环境污染控制列入承包内容，在施工期有专人负责。</w:t>
            </w:r>
          </w:p>
          <w:p w14:paraId="399A3B54">
            <w:pPr>
              <w:pStyle w:val="96"/>
              <w:ind w:firstLine="480"/>
            </w:pPr>
            <w:r>
              <w:rPr>
                <w:rFonts w:hint="eastAsia"/>
              </w:rPr>
              <w:t>⑦</w:t>
            </w:r>
            <w:r>
              <w:t>使用高效节能环保型柴油动力机组和优质燃油，定期对柴油机、柴油发电机等设备进行维护。对柴油动力机组燃烧烟气排气筒设置也采取相应的环保措施，如排气筒的排放口朝向远离人群处并增加水平烟气通道，使得污染物尽快落入地面，减少空气中污染物的浓度。施工期柴油发电机排气烟度满足《非道路移动柴油机械排气烟度限值及测量方法》中相关要求，其余污染物需满足《非道路移动机械用柴油机排气污染物排放限值及测量方法（中国第三、四阶段）》（GB20891-2014）中第四阶段排放限值要求。</w:t>
            </w:r>
          </w:p>
          <w:p w14:paraId="6CE2C654">
            <w:pPr>
              <w:pStyle w:val="96"/>
              <w:ind w:firstLine="480"/>
            </w:pPr>
            <w:r>
              <w:rPr>
                <w:rFonts w:hint="eastAsia"/>
              </w:rPr>
              <w:t>⑧</w:t>
            </w:r>
            <w:r>
              <w:t>鼓励使用清洁能源车辆运输，采用柴油车辆运输必须使用国V以上标准车辆，新购柴油车辆必须为车VI标准的车辆，国III和国IV标准的柴油车辆必须实施改造，加装尿素装置，OBD车载自动诊断系统和颗粒物捕集器等尾气治理装置。</w:t>
            </w:r>
            <w:r>
              <w:rPr>
                <w:rFonts w:hint="eastAsia"/>
              </w:rPr>
              <w:t>井场</w:t>
            </w:r>
            <w:r>
              <w:t>内必须使用国III及以上标准的工程机械，国I标准的工程机械全部清退，国II标准的机械必须实施改造，加装尿素装置，OBD车载自动诊断系统和颗粒物捕集器等尾气治理装置。</w:t>
            </w:r>
          </w:p>
          <w:p w14:paraId="52DF62ED">
            <w:pPr>
              <w:pStyle w:val="96"/>
              <w:ind w:firstLine="480"/>
            </w:pPr>
            <w:r>
              <w:rPr>
                <w:rFonts w:hint="eastAsia"/>
              </w:rPr>
              <w:t>⑨致密气</w:t>
            </w:r>
            <w:r>
              <w:t>放空均需进入</w:t>
            </w:r>
            <w:r>
              <w:rPr>
                <w:rFonts w:hint="eastAsia"/>
              </w:rPr>
              <w:t>点火方箱</w:t>
            </w:r>
            <w:r>
              <w:t>，禁止就地直接放空排入大气。钻井中发现地层有可燃气体或有毒气体产出，立即采取有效措施防止气涌，并把可能产出的气体引入燃烧装置燃烧后排放。</w:t>
            </w:r>
          </w:p>
          <w:p w14:paraId="5EE2F2D7">
            <w:pPr>
              <w:pStyle w:val="96"/>
              <w:ind w:firstLine="0" w:firstLineChars="0"/>
              <w:rPr>
                <w:b/>
                <w:bCs/>
              </w:rPr>
            </w:pPr>
            <w:r>
              <w:rPr>
                <w:b/>
                <w:bCs/>
              </w:rPr>
              <w:t>2、水环境污染防治措施</w:t>
            </w:r>
          </w:p>
          <w:p w14:paraId="438B0CA7">
            <w:pPr>
              <w:pStyle w:val="96"/>
              <w:ind w:firstLine="480"/>
            </w:pPr>
            <w:r>
              <w:rPr>
                <w:rFonts w:hint="eastAsia"/>
              </w:rPr>
              <w:t>①钻井泥浆水</w:t>
            </w:r>
          </w:p>
          <w:p w14:paraId="487147BF">
            <w:pPr>
              <w:pStyle w:val="96"/>
              <w:ind w:firstLine="480"/>
            </w:pPr>
            <w:r>
              <w:rPr>
                <w:rFonts w:hint="eastAsia"/>
              </w:rPr>
              <w:t>钻井期间泥浆返出地面后首先通过振动筛和除砂除泥，可以除去大部分岩屑；之后泥浆进入泥浆罐重新参与循环，而少量含泥砂较高的泥浆再通过离心机进一步分离。本项目各钻井井场均设置泥浆池，所有钻井废水进入泥浆池，每座井场设置泥浆池用于泥浆暂存，泥浆池铺设防渗膜，渗透系数应小于</w:t>
            </w:r>
            <w:r>
              <w:t>1.0×10</w:t>
            </w:r>
            <w:r>
              <w:rPr>
                <w:vertAlign w:val="superscript"/>
              </w:rPr>
              <w:t>-7</w:t>
            </w:r>
            <w:r>
              <w:t>cm/s。钻井完毕后，经自然沉淀，泥浆池中上清液抽走运至下一井场循环使用，剩余废弃泥浆与钻井岩屑</w:t>
            </w:r>
            <w:r>
              <w:rPr>
                <w:rFonts w:hint="eastAsia"/>
              </w:rPr>
              <w:t>在钻井结束后与废弃泥浆、岩屑一起固化进行无害化处置</w:t>
            </w:r>
            <w:r>
              <w:t>。单井配套1座</w:t>
            </w:r>
            <w:r>
              <w:rPr>
                <w:rFonts w:hint="eastAsia"/>
              </w:rPr>
              <w:t>400</w:t>
            </w:r>
            <w:r>
              <w:t>立方泥浆池。</w:t>
            </w:r>
          </w:p>
          <w:p w14:paraId="3CDA4580">
            <w:pPr>
              <w:pStyle w:val="96"/>
              <w:numPr>
                <w:ilvl w:val="0"/>
                <w:numId w:val="14"/>
              </w:numPr>
              <w:ind w:firstLineChars="0"/>
            </w:pPr>
            <w:r>
              <w:t>压裂废液</w:t>
            </w:r>
          </w:p>
          <w:p w14:paraId="1D85F88E">
            <w:pPr>
              <w:pStyle w:val="96"/>
              <w:ind w:firstLine="480"/>
            </w:pPr>
            <w:r>
              <w:rPr>
                <w:rFonts w:hint="eastAsia"/>
                <w:color w:val="FF0000"/>
              </w:rPr>
              <w:t>本项目压裂液中的污染物主要为COD、石油类、氯离子、悬浮物等，</w:t>
            </w:r>
            <w:r>
              <w:rPr>
                <w:rFonts w:hint="eastAsia"/>
              </w:rPr>
              <w:t>压裂后，砂子留在储层中，压裂液用逐渐排出，排出的压裂废水排入井场的压裂液返排罐，经处理后回用于下一口气井压裂。</w:t>
            </w:r>
            <w:r>
              <w:t>初期返排量约为30%，后期随排采水逐步排出，</w:t>
            </w:r>
            <w:r>
              <w:rPr>
                <w:rFonts w:hint="eastAsia"/>
              </w:rPr>
              <w:t>本项目勘探井</w:t>
            </w:r>
            <w:r>
              <w:t>是分期滚动施工，因此钻井压裂后排出的压裂液贮存于井场压裂液返排罐</w:t>
            </w:r>
            <w:r>
              <w:rPr>
                <w:rFonts w:hint="eastAsia"/>
              </w:rPr>
              <w:t>储存</w:t>
            </w:r>
            <w:r>
              <w:t>，</w:t>
            </w:r>
            <w:r>
              <w:rPr>
                <w:rFonts w:hint="eastAsia"/>
              </w:rPr>
              <w:t>定期</w:t>
            </w:r>
            <w:r>
              <w:rPr>
                <w:rFonts w:hint="eastAsia"/>
                <w:bCs/>
              </w:rPr>
              <w:t>拉运至</w:t>
            </w:r>
            <w:r>
              <w:rPr>
                <w:rFonts w:hint="eastAsia"/>
              </w:rPr>
              <w:t>中联煤层气有限责任公司临兴西区</w:t>
            </w:r>
            <w:r>
              <w:t>(山西区块)开发项目</w:t>
            </w:r>
            <w:r>
              <w:rPr>
                <w:rFonts w:hint="eastAsia"/>
                <w:bCs/>
              </w:rPr>
              <w:t>排采水处理</w:t>
            </w:r>
            <w:r>
              <w:rPr>
                <w:bCs/>
              </w:rPr>
              <w:t>2站处理后回用</w:t>
            </w:r>
            <w:r>
              <w:rPr>
                <w:rFonts w:hint="eastAsia"/>
              </w:rPr>
              <w:t>于下一口气井压裂</w:t>
            </w:r>
            <w:r>
              <w:t>。</w:t>
            </w:r>
          </w:p>
          <w:p w14:paraId="379D342E">
            <w:pPr>
              <w:pStyle w:val="96"/>
              <w:ind w:firstLine="480"/>
            </w:pPr>
            <w:r>
              <w:rPr>
                <w:rFonts w:hint="eastAsia"/>
              </w:rPr>
              <w:t>（</w:t>
            </w:r>
            <w:r>
              <w:t>2）生活污水：工程建设期应设置生活污水临时集中收集池，经过除沉淀等简易处理后用于场地洒水抑尘，不得随地泼洒。施工人员集中居住地应设防渗旱厕，并经常喷洒灭蝇药剂，定期清掏回田。</w:t>
            </w:r>
          </w:p>
          <w:p w14:paraId="24E7A553">
            <w:pPr>
              <w:pStyle w:val="96"/>
              <w:ind w:firstLine="0" w:firstLineChars="0"/>
              <w:rPr>
                <w:b/>
                <w:bCs/>
              </w:rPr>
            </w:pPr>
            <w:r>
              <w:rPr>
                <w:b/>
                <w:bCs/>
              </w:rPr>
              <w:t>3、地下水污染环境防治措施</w:t>
            </w:r>
          </w:p>
          <w:p w14:paraId="65BE281C">
            <w:pPr>
              <w:pStyle w:val="96"/>
              <w:ind w:firstLine="480"/>
            </w:pPr>
            <w:r>
              <w:rPr>
                <w:rFonts w:hint="eastAsia"/>
              </w:rPr>
              <w:t>为了减少地下水环境的影响，本项目地下水污染防治措施按照“源头控制、分区防治、污染监控、应急响应”相结合的原则，从污染物的产生、入渗、扩散、应急响应进行控制。具体措施如下：</w:t>
            </w:r>
          </w:p>
          <w:p w14:paraId="4B159489">
            <w:pPr>
              <w:pStyle w:val="96"/>
              <w:ind w:firstLine="480"/>
            </w:pPr>
            <w:r>
              <w:rPr>
                <w:rFonts w:hint="eastAsia"/>
              </w:rPr>
              <w:t>（1）污染源控制措施</w:t>
            </w:r>
          </w:p>
          <w:p w14:paraId="15F027DC">
            <w:pPr>
              <w:pStyle w:val="96"/>
              <w:ind w:firstLine="480"/>
            </w:pPr>
            <w:r>
              <w:rPr>
                <w:rFonts w:hint="eastAsia"/>
              </w:rPr>
              <w:t>源头控制主要包括实施清洁生产及各类废物循环利用，减少污染物的排放量；在工艺、设备、污水储存及处理构筑物采取相应措施，防止和降低污染物跑、冒、滴、漏，将污染物泄漏的环境风险事故降到最低限度。本项目提出以下控制措施：</w:t>
            </w:r>
          </w:p>
          <w:p w14:paraId="3935DF77">
            <w:pPr>
              <w:pStyle w:val="96"/>
              <w:ind w:firstLine="480"/>
            </w:pPr>
            <w:r>
              <w:rPr>
                <w:rFonts w:hint="eastAsia"/>
              </w:rPr>
              <w:t>①在施工前充分研究地质设计资料等，优化钻井施工工艺、泥浆体系等，并且在钻井过程中应加强监控，防止泥浆的扩散污染等，对钻井过程中可能发生的泥浆漏失的情况，采用强钻方式快速钻穿漏失层达到固井层位。选用合理泥浆密度，实现近平衡压力钻井，降低泥浆环空压耗，从而降低井筒中泥浆动压力，减小泥浆漏失量。工程导管利用空气钻迅速钻进，在套管的保护下能有效地保护浅层地下水。</w:t>
            </w:r>
          </w:p>
          <w:p w14:paraId="62CAA914">
            <w:pPr>
              <w:pStyle w:val="96"/>
              <w:ind w:firstLine="480"/>
            </w:pPr>
            <w:r>
              <w:rPr>
                <w:rFonts w:hint="eastAsia"/>
              </w:rPr>
              <w:t>②钻井过程中保持平衡操作，并对钻井液进行实时监控。采用低毒和无毒的钻井液，配备足够量、高效的堵漏剂等，一旦发现漏失，立即采取堵漏措施，减少漏失量。堵漏剂的选取应考虑清洁、无毒、对人体无害，环境污染轻的种类。</w:t>
            </w:r>
          </w:p>
          <w:p w14:paraId="13C53DBC">
            <w:pPr>
              <w:pStyle w:val="96"/>
              <w:ind w:firstLine="480"/>
            </w:pPr>
            <w:r>
              <w:rPr>
                <w:rFonts w:hint="eastAsia"/>
              </w:rPr>
              <w:t>③每次钻井结束后的固井作业可有效封隔地层与套管之间的环空，防治污染地下水。固井作业应提高固井质量，可有效防止因为井漏事故造成的地下水环境影响。</w:t>
            </w:r>
          </w:p>
          <w:p w14:paraId="10DE0421">
            <w:pPr>
              <w:pStyle w:val="96"/>
              <w:ind w:firstLine="480"/>
            </w:pPr>
            <w:r>
              <w:rPr>
                <w:rFonts w:hint="eastAsia"/>
              </w:rPr>
              <w:t>④在钻井完井过程中严格控制新鲜水用量，实行清污分流，减少污水产生量。</w:t>
            </w:r>
          </w:p>
          <w:p w14:paraId="30512D9F">
            <w:pPr>
              <w:pStyle w:val="96"/>
              <w:ind w:firstLine="480"/>
            </w:pPr>
            <w:r>
              <w:rPr>
                <w:rFonts w:hint="eastAsia"/>
              </w:rPr>
              <w:t>⑤作业用材料集中放置在防渗漏地面，防治对地下水的污染。</w:t>
            </w:r>
          </w:p>
          <w:p w14:paraId="354FF91D">
            <w:pPr>
              <w:pStyle w:val="96"/>
              <w:ind w:firstLine="480"/>
            </w:pPr>
            <w:r>
              <w:rPr>
                <w:rFonts w:hint="eastAsia"/>
              </w:rPr>
              <w:t>⑥钻井过程中应加强钻井废水管理，防止出现废水渗漏、外溢等事故；钻井过程中产生的废水沉淀处理后作为钻井配液回用，钻井工程结束后，钻井液运至中联煤层气公司其他井场重复利用。</w:t>
            </w:r>
          </w:p>
          <w:p w14:paraId="5814AAE5">
            <w:pPr>
              <w:pStyle w:val="96"/>
              <w:ind w:firstLine="480"/>
            </w:pPr>
            <w:r>
              <w:rPr>
                <w:rFonts w:hint="eastAsia"/>
              </w:rPr>
              <w:t>⑦根据勘探项目的实际生产情况，保证钻孔固井质量是保护地下水的有效措施，确保安全封闭此深度内的潜水层和承压水层，同时封固地表疏松地层，为井口控制和后续完井采用预应力固井创造条件；表套固井禁止使用带毒性的水泥外加剂。钻井过程中的固井措施，一方面加固井壁，同时也有分隔地层的作用，使各个不相联通的地层分隔开来，保持其原有的循环运移道路。在最不利情况下，如泄漏发生在主要与气层相近的承压含水层以下，由于该含水层上下均有很厚的隔水层，起到良好的隔水作用，因此不会向上渗入含水层，对地下水不会造成污染；若泄漏发生在含水层，由于本区块勘探井所处含水层均在固井范围内，即使发生泄漏，也可固井加套管等防护措施。</w:t>
            </w:r>
          </w:p>
          <w:p w14:paraId="2BECF978">
            <w:pPr>
              <w:pStyle w:val="96"/>
              <w:ind w:firstLine="480"/>
            </w:pPr>
            <w:r>
              <w:rPr>
                <w:rFonts w:hint="eastAsia"/>
              </w:rPr>
              <w:t>⑧加强油料的管理和控制，特别应加强和完善废油的控制措施。加强岩屑、废泥浆及其他固体废弃物收集、运输及暂存、处置等过程的环境管理。</w:t>
            </w:r>
          </w:p>
          <w:p w14:paraId="3D2B481C">
            <w:pPr>
              <w:pStyle w:val="96"/>
              <w:ind w:firstLine="480"/>
            </w:pPr>
            <w:r>
              <w:rPr>
                <w:rFonts w:hint="eastAsia"/>
              </w:rPr>
              <w:t>⑨钻井液等应做到循环利用。采取节水措施，减少耗水量。鼓励采用先进的工艺、设备。</w:t>
            </w:r>
          </w:p>
          <w:p w14:paraId="407A3A01">
            <w:pPr>
              <w:pStyle w:val="96"/>
              <w:ind w:firstLine="480"/>
            </w:pPr>
            <w:r>
              <w:rPr>
                <w:rFonts w:hint="eastAsia"/>
              </w:rPr>
              <w:t>（2）防渗控制措施</w:t>
            </w:r>
          </w:p>
          <w:p w14:paraId="2C101E6B">
            <w:pPr>
              <w:pStyle w:val="96"/>
              <w:ind w:firstLine="480"/>
            </w:pPr>
            <w:r>
              <w:rPr>
                <w:rFonts w:hint="eastAsia"/>
              </w:rPr>
              <w:t>为防止污染地下水，针对井场钻井期间工程特点，参照《环境影响评价技术导则地下水环境》（HJ610-2016）和《石油化工工程防渗技术规范》（GB/T50934-2013）的相关要求，将钻井期井场进行分区防渗，主要分为重点防渗区、简单防渗区。其中钻井平台、泥浆池、压裂返排液罐、压裂液</w:t>
            </w:r>
            <w:r>
              <w:t>罐</w:t>
            </w:r>
            <w:r>
              <w:rPr>
                <w:rFonts w:hint="eastAsia"/>
              </w:rPr>
              <w:t>、钻井液和压裂液材料场、撬装式危废贮存点、柴油储罐区等划分为重点防渗区，其余办公室、值班室、井场道路区域划分为简单防渗区。防渗措施详见下表。</w:t>
            </w:r>
          </w:p>
          <w:p w14:paraId="016BB17D">
            <w:pPr>
              <w:pStyle w:val="19"/>
              <w:keepNext/>
            </w:pPr>
            <w:bookmarkStart w:id="56" w:name="_Ref169209615"/>
            <w:bookmarkStart w:id="57" w:name="_Ref169209593"/>
            <w:r>
              <w:t xml:space="preserve">表 </w:t>
            </w:r>
            <w:r>
              <w:fldChar w:fldCharType="begin"/>
            </w:r>
            <w:r>
              <w:instrText xml:space="preserve"> SEQ 表 \* ARABIC </w:instrText>
            </w:r>
            <w:r>
              <w:fldChar w:fldCharType="separate"/>
            </w:r>
            <w:r>
              <w:t>36</w:t>
            </w:r>
            <w:r>
              <w:fldChar w:fldCharType="end"/>
            </w:r>
            <w:bookmarkEnd w:id="56"/>
            <w:r>
              <w:rPr>
                <w:rFonts w:hint="eastAsia"/>
              </w:rPr>
              <w:t>项目分区防治管理要求一览表</w:t>
            </w:r>
            <w:bookmarkEnd w:id="57"/>
          </w:p>
          <w:tbl>
            <w:tblPr>
              <w:tblStyle w:val="72"/>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 w:type="dxa"/>
                <w:bottom w:w="0" w:type="dxa"/>
                <w:right w:w="10" w:type="dxa"/>
              </w:tblCellMar>
            </w:tblPr>
            <w:tblGrid>
              <w:gridCol w:w="1075"/>
              <w:gridCol w:w="3744"/>
              <w:gridCol w:w="3885"/>
            </w:tblGrid>
            <w:tr w14:paraId="23C8D5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blHeader/>
              </w:trPr>
              <w:tc>
                <w:tcPr>
                  <w:tcW w:w="0" w:type="auto"/>
                  <w:vAlign w:val="center"/>
                </w:tcPr>
                <w:p w14:paraId="1B84A7E2">
                  <w:pPr>
                    <w:pStyle w:val="94"/>
                    <w:rPr>
                      <w:color w:val="auto"/>
                    </w:rPr>
                  </w:pPr>
                  <w:r>
                    <w:rPr>
                      <w:color w:val="auto"/>
                    </w:rPr>
                    <w:t>防治区</w:t>
                  </w:r>
                </w:p>
              </w:tc>
              <w:tc>
                <w:tcPr>
                  <w:tcW w:w="3744" w:type="dxa"/>
                  <w:vAlign w:val="center"/>
                </w:tcPr>
                <w:p w14:paraId="4B2947AB">
                  <w:pPr>
                    <w:pStyle w:val="94"/>
                    <w:rPr>
                      <w:color w:val="auto"/>
                    </w:rPr>
                  </w:pPr>
                  <w:r>
                    <w:rPr>
                      <w:color w:val="auto"/>
                    </w:rPr>
                    <w:t>项目区域</w:t>
                  </w:r>
                </w:p>
              </w:tc>
              <w:tc>
                <w:tcPr>
                  <w:tcW w:w="3885" w:type="dxa"/>
                  <w:vAlign w:val="center"/>
                </w:tcPr>
                <w:p w14:paraId="09AF43CD">
                  <w:pPr>
                    <w:pStyle w:val="94"/>
                    <w:rPr>
                      <w:color w:val="auto"/>
                    </w:rPr>
                  </w:pPr>
                  <w:r>
                    <w:rPr>
                      <w:color w:val="auto"/>
                    </w:rPr>
                    <w:t>管理要求</w:t>
                  </w:r>
                </w:p>
              </w:tc>
            </w:tr>
            <w:tr w14:paraId="7AF5FC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0" w:type="auto"/>
                  <w:vMerge w:val="restart"/>
                  <w:vAlign w:val="center"/>
                </w:tcPr>
                <w:p w14:paraId="6AA076C8">
                  <w:pPr>
                    <w:pStyle w:val="94"/>
                    <w:rPr>
                      <w:color w:val="auto"/>
                    </w:rPr>
                  </w:pPr>
                  <w:r>
                    <w:rPr>
                      <w:color w:val="auto"/>
                    </w:rPr>
                    <w:t>重点防治区</w:t>
                  </w:r>
                </w:p>
              </w:tc>
              <w:tc>
                <w:tcPr>
                  <w:tcW w:w="3744" w:type="dxa"/>
                  <w:vAlign w:val="center"/>
                </w:tcPr>
                <w:p w14:paraId="28F9B451">
                  <w:pPr>
                    <w:pStyle w:val="94"/>
                    <w:rPr>
                      <w:color w:val="auto"/>
                    </w:rPr>
                  </w:pPr>
                  <w:r>
                    <w:rPr>
                      <w:rFonts w:hint="eastAsia"/>
                      <w:color w:val="auto"/>
                    </w:rPr>
                    <w:t>钻井平台、泥浆池、压裂返排液罐、压裂液</w:t>
                  </w:r>
                  <w:r>
                    <w:rPr>
                      <w:color w:val="auto"/>
                    </w:rPr>
                    <w:t>罐、</w:t>
                  </w:r>
                  <w:r>
                    <w:rPr>
                      <w:rFonts w:hint="eastAsia"/>
                      <w:color w:val="auto"/>
                    </w:rPr>
                    <w:t>钻井液和压裂液材料场、柴油储罐区</w:t>
                  </w:r>
                </w:p>
              </w:tc>
              <w:tc>
                <w:tcPr>
                  <w:tcW w:w="3885" w:type="dxa"/>
                  <w:vAlign w:val="center"/>
                </w:tcPr>
                <w:p w14:paraId="0E876337">
                  <w:pPr>
                    <w:pStyle w:val="94"/>
                    <w:rPr>
                      <w:color w:val="auto"/>
                    </w:rPr>
                  </w:pPr>
                  <w:r>
                    <w:rPr>
                      <w:rFonts w:hint="eastAsia"/>
                      <w:color w:val="auto"/>
                    </w:rPr>
                    <w:t>地面底部利用机械将衬层压实，铺设防渗材料（复合土工模，三层），等效黏土防渗层</w:t>
                  </w:r>
                  <w:r>
                    <w:rPr>
                      <w:color w:val="auto"/>
                    </w:rPr>
                    <w:t>Mb</w:t>
                  </w:r>
                  <w:r>
                    <w:rPr>
                      <w:rFonts w:hint="eastAsia"/>
                      <w:color w:val="auto"/>
                    </w:rPr>
                    <w:t>≥</w:t>
                  </w:r>
                  <w:r>
                    <w:rPr>
                      <w:color w:val="auto"/>
                    </w:rPr>
                    <w:t>6.0m</w:t>
                  </w:r>
                  <w:r>
                    <w:rPr>
                      <w:rFonts w:hint="eastAsia"/>
                      <w:color w:val="auto"/>
                    </w:rPr>
                    <w:t>，</w:t>
                  </w:r>
                  <w:r>
                    <w:rPr>
                      <w:color w:val="auto"/>
                    </w:rPr>
                    <w:t>K</w:t>
                  </w:r>
                  <w:r>
                    <w:rPr>
                      <w:rFonts w:hint="eastAsia"/>
                      <w:color w:val="auto"/>
                    </w:rPr>
                    <w:t>≤</w:t>
                  </w:r>
                  <w:r>
                    <w:rPr>
                      <w:color w:val="auto"/>
                    </w:rPr>
                    <w:t>1</w:t>
                  </w:r>
                  <w:r>
                    <w:rPr>
                      <w:rFonts w:hint="eastAsia"/>
                      <w:color w:val="auto"/>
                    </w:rPr>
                    <w:t>×</w:t>
                  </w:r>
                  <w:r>
                    <w:rPr>
                      <w:color w:val="auto"/>
                    </w:rPr>
                    <w:t>10</w:t>
                  </w:r>
                  <w:r>
                    <w:rPr>
                      <w:color w:val="auto"/>
                      <w:vertAlign w:val="superscript"/>
                    </w:rPr>
                    <w:t>-7</w:t>
                  </w:r>
                  <w:r>
                    <w:rPr>
                      <w:color w:val="auto"/>
                    </w:rPr>
                    <w:t>cm/s</w:t>
                  </w:r>
                </w:p>
              </w:tc>
            </w:tr>
            <w:tr w14:paraId="650026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0" w:type="auto"/>
                  <w:vMerge w:val="continue"/>
                  <w:vAlign w:val="center"/>
                </w:tcPr>
                <w:p w14:paraId="49D1E06C">
                  <w:pPr>
                    <w:pStyle w:val="94"/>
                    <w:rPr>
                      <w:color w:val="auto"/>
                    </w:rPr>
                  </w:pPr>
                </w:p>
              </w:tc>
              <w:tc>
                <w:tcPr>
                  <w:tcW w:w="3744" w:type="dxa"/>
                  <w:vAlign w:val="center"/>
                </w:tcPr>
                <w:p w14:paraId="139B6747">
                  <w:pPr>
                    <w:pStyle w:val="94"/>
                    <w:rPr>
                      <w:color w:val="auto"/>
                    </w:rPr>
                  </w:pPr>
                  <w:r>
                    <w:rPr>
                      <w:rFonts w:hint="eastAsia"/>
                      <w:color w:val="auto"/>
                    </w:rPr>
                    <w:t>撬装式危废贮存点地面</w:t>
                  </w:r>
                </w:p>
              </w:tc>
              <w:tc>
                <w:tcPr>
                  <w:tcW w:w="3885" w:type="dxa"/>
                  <w:vAlign w:val="center"/>
                </w:tcPr>
                <w:p w14:paraId="4BD5D2AD">
                  <w:pPr>
                    <w:pStyle w:val="94"/>
                    <w:rPr>
                      <w:color w:val="auto"/>
                    </w:rPr>
                  </w:pPr>
                  <w:r>
                    <w:rPr>
                      <w:rFonts w:hint="eastAsia"/>
                      <w:color w:val="auto"/>
                    </w:rPr>
                    <w:t>防渗层渗透系数小于1×10</w:t>
                  </w:r>
                  <w:r>
                    <w:rPr>
                      <w:rFonts w:hint="eastAsia"/>
                      <w:color w:val="auto"/>
                      <w:vertAlign w:val="superscript"/>
                    </w:rPr>
                    <w:t>-</w:t>
                  </w:r>
                  <w:r>
                    <w:rPr>
                      <w:color w:val="auto"/>
                      <w:vertAlign w:val="superscript"/>
                    </w:rPr>
                    <w:t>7</w:t>
                  </w:r>
                  <w:r>
                    <w:rPr>
                      <w:rFonts w:hint="eastAsia"/>
                      <w:color w:val="auto"/>
                    </w:rPr>
                    <w:t>cm/s</w:t>
                  </w:r>
                </w:p>
              </w:tc>
            </w:tr>
            <w:tr w14:paraId="0C4CB7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0" w:type="auto"/>
                  <w:vAlign w:val="center"/>
                </w:tcPr>
                <w:p w14:paraId="51CE9C1B">
                  <w:pPr>
                    <w:pStyle w:val="94"/>
                    <w:rPr>
                      <w:color w:val="auto"/>
                    </w:rPr>
                  </w:pPr>
                  <w:r>
                    <w:rPr>
                      <w:color w:val="auto"/>
                    </w:rPr>
                    <w:t>简单防治区</w:t>
                  </w:r>
                </w:p>
              </w:tc>
              <w:tc>
                <w:tcPr>
                  <w:tcW w:w="3744" w:type="dxa"/>
                  <w:vAlign w:val="center"/>
                </w:tcPr>
                <w:p w14:paraId="7E478B5A">
                  <w:pPr>
                    <w:pStyle w:val="94"/>
                    <w:rPr>
                      <w:color w:val="auto"/>
                    </w:rPr>
                  </w:pPr>
                  <w:r>
                    <w:rPr>
                      <w:rFonts w:hint="eastAsia"/>
                      <w:color w:val="auto"/>
                    </w:rPr>
                    <w:t>办公室、值班室、井场道路区域</w:t>
                  </w:r>
                </w:p>
              </w:tc>
              <w:tc>
                <w:tcPr>
                  <w:tcW w:w="3885" w:type="dxa"/>
                  <w:vAlign w:val="center"/>
                </w:tcPr>
                <w:p w14:paraId="19B9E9D8">
                  <w:pPr>
                    <w:pStyle w:val="94"/>
                    <w:rPr>
                      <w:color w:val="auto"/>
                    </w:rPr>
                  </w:pPr>
                  <w:r>
                    <w:rPr>
                      <w:rFonts w:hint="eastAsia"/>
                      <w:color w:val="auto"/>
                    </w:rPr>
                    <w:t>采用黏土碾压方式进行防渗</w:t>
                  </w:r>
                </w:p>
              </w:tc>
            </w:tr>
          </w:tbl>
          <w:p w14:paraId="762A328C">
            <w:pPr>
              <w:pStyle w:val="96"/>
              <w:keepNext/>
              <w:spacing w:line="240" w:lineRule="auto"/>
              <w:ind w:firstLine="0" w:firstLineChars="0"/>
              <w:jc w:val="center"/>
            </w:pPr>
            <w:r>
              <w:rPr>
                <w14:ligatures w14:val="none"/>
              </w:rPr>
              <w:drawing>
                <wp:inline distT="0" distB="0" distL="0" distR="0">
                  <wp:extent cx="5278755" cy="1577340"/>
                  <wp:effectExtent l="0" t="0" r="0" b="381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9"/>
                          <a:stretch>
                            <a:fillRect/>
                          </a:stretch>
                        </pic:blipFill>
                        <pic:spPr>
                          <a:xfrm>
                            <a:off x="0" y="0"/>
                            <a:ext cx="5278755" cy="1577340"/>
                          </a:xfrm>
                          <a:prstGeom prst="rect">
                            <a:avLst/>
                          </a:prstGeom>
                        </pic:spPr>
                      </pic:pic>
                    </a:graphicData>
                  </a:graphic>
                </wp:inline>
              </w:drawing>
            </w:r>
          </w:p>
          <w:p w14:paraId="4BE22A02">
            <w:pPr>
              <w:pStyle w:val="19"/>
            </w:pPr>
            <w:r>
              <w:t xml:space="preserve">图 </w:t>
            </w:r>
            <w:r>
              <w:fldChar w:fldCharType="begin"/>
            </w:r>
            <w:r>
              <w:instrText xml:space="preserve"> SEQ 图 \* ARABIC </w:instrText>
            </w:r>
            <w:r>
              <w:fldChar w:fldCharType="separate"/>
            </w:r>
            <w:r>
              <w:t>6</w:t>
            </w:r>
            <w:r>
              <w:fldChar w:fldCharType="end"/>
            </w:r>
            <w:r>
              <w:rPr>
                <w:rFonts w:hint="eastAsia"/>
              </w:rPr>
              <w:t>重点防渗剖面图</w:t>
            </w:r>
          </w:p>
          <w:p w14:paraId="3E726006">
            <w:pPr>
              <w:pStyle w:val="96"/>
              <w:ind w:firstLine="480"/>
            </w:pPr>
            <w:r>
              <w:rPr>
                <w:rFonts w:hint="eastAsia"/>
              </w:rPr>
              <w:t>（3）地下水污染监控</w:t>
            </w:r>
          </w:p>
          <w:p w14:paraId="44DAA317">
            <w:pPr>
              <w:pStyle w:val="96"/>
              <w:ind w:firstLine="480"/>
            </w:pPr>
            <w:r>
              <w:rPr>
                <w:rFonts w:hint="eastAsia"/>
              </w:rPr>
              <w:t>根据《石油天然气开采业污染防治技术政策》（公告2012年第18号），企业应加强油气井套管的检测和维护，防止油气泄漏污染地下水。因此本项目在勘探过程中应加强各勘探井套管的维护，定期监测、统计采出水水质及水量，做好水质分析工作，一旦出现水质与水量波动异常情况，及时排查井内相关设备，做好监控与防控工作。</w:t>
            </w:r>
          </w:p>
          <w:p w14:paraId="12AF8C30">
            <w:pPr>
              <w:pStyle w:val="96"/>
              <w:ind w:firstLine="0" w:firstLineChars="0"/>
              <w:rPr>
                <w:b/>
                <w:bCs/>
              </w:rPr>
            </w:pPr>
            <w:r>
              <w:rPr>
                <w:b/>
                <w:bCs/>
              </w:rPr>
              <w:t>4、声环境污染防治措施</w:t>
            </w:r>
          </w:p>
          <w:p w14:paraId="73A1D750">
            <w:pPr>
              <w:pStyle w:val="96"/>
              <w:ind w:firstLine="480"/>
            </w:pPr>
            <w:r>
              <w:rPr>
                <w:rFonts w:hint="eastAsia"/>
              </w:rPr>
              <w:t>（1）钻前施工噪声</w:t>
            </w:r>
          </w:p>
          <w:p w14:paraId="22CE1C03">
            <w:pPr>
              <w:pStyle w:val="96"/>
              <w:ind w:firstLine="480"/>
            </w:pPr>
            <w:r>
              <w:rPr>
                <w:rFonts w:hint="eastAsia"/>
              </w:rPr>
              <w:t>本项目钻前工程噪声源主要为施工场地使用的设备产生的噪声，噪声值在83~90dB（A）之间。本项目的钻前工程施工量少，而且施工时间短，所需设备数量有限。评价要求建设单位理安排施工时间；施工物料及设备运入、运出，车辆应尽可能避开夜间（22:00~6:00）运输，避免沿途出现扰民现象；严格操作流程，降低人为噪声。不合理的施工操作是产生人为噪声的主要原因，如各类金属碰撞声；运输车辆进入工地应减速，减少鸣笛等。钻前工程阶段施工噪声采取措施后，影响会大大减轻，并且影响是暂时的，随着施工的结束而结束。</w:t>
            </w:r>
          </w:p>
          <w:p w14:paraId="581573FC">
            <w:pPr>
              <w:pStyle w:val="96"/>
              <w:ind w:firstLine="480"/>
            </w:pPr>
            <w:r>
              <w:rPr>
                <w:rFonts w:hint="eastAsia"/>
              </w:rPr>
              <w:t>（2）钻井和压裂期间噪声</w:t>
            </w:r>
          </w:p>
          <w:p w14:paraId="4A0F5CAB">
            <w:pPr>
              <w:pStyle w:val="96"/>
              <w:ind w:firstLine="480"/>
            </w:pPr>
            <w:r>
              <w:rPr>
                <w:rFonts w:hint="eastAsia"/>
              </w:rPr>
              <w:t>钻井和压裂期间噪声源以固定噪声源钻机、各类机泵、柴油发电机等为主。井场周边50m范围内无村庄等敏感目标分布，故本项目勘探试气期产生的噪声不会对周围环境产生较大影响。</w:t>
            </w:r>
          </w:p>
          <w:p w14:paraId="4A62E8F5">
            <w:pPr>
              <w:pStyle w:val="96"/>
              <w:ind w:firstLine="480"/>
            </w:pPr>
            <w:r>
              <w:rPr>
                <w:rFonts w:hint="eastAsia"/>
              </w:rPr>
              <w:t>施工机械产生的噪声会对施工现场和附近的声环境有一定的干扰。目前钻井噪声处理难度大，要减轻钻井噪声影响，主要还是通过钻井过程中采取相应的降噪措施，主要为柴油发电机采取撬装式，排气筒加消声罩，在钻井过程中平稳操作，避免产生非正常的噪声。根据机械设备产生噪声的特点，合理安排施工时间，严禁在夜间使用高噪声设备，加之施工过程较短，故施工产生噪声不会对周围的声环境产生明显影响。</w:t>
            </w:r>
          </w:p>
          <w:p w14:paraId="4F8FDADE">
            <w:pPr>
              <w:pStyle w:val="96"/>
              <w:ind w:firstLine="0" w:firstLineChars="0"/>
              <w:rPr>
                <w:b/>
                <w:bCs/>
              </w:rPr>
            </w:pPr>
            <w:r>
              <w:rPr>
                <w:b/>
                <w:bCs/>
              </w:rPr>
              <w:t>5、固体废物污染防治措施</w:t>
            </w:r>
          </w:p>
          <w:p w14:paraId="5CCC44A6">
            <w:pPr>
              <w:pStyle w:val="96"/>
              <w:ind w:firstLine="480"/>
            </w:pPr>
            <w:r>
              <w:rPr>
                <w:rFonts w:hint="eastAsia"/>
              </w:rPr>
              <w:t>（</w:t>
            </w:r>
            <w:r>
              <w:t>1）场地平整开挖土方</w:t>
            </w:r>
          </w:p>
          <w:p w14:paraId="23727184">
            <w:pPr>
              <w:pStyle w:val="96"/>
              <w:ind w:firstLine="480"/>
            </w:pPr>
            <w:r>
              <w:rPr>
                <w:rFonts w:hint="eastAsia"/>
              </w:rPr>
              <w:t>根据土石方分析结果，本项目挖填平衡，不设取土场、弃渣场。评价要求井场选择合理施工季节，避开雨季减少水土流失的损失。</w:t>
            </w:r>
          </w:p>
          <w:p w14:paraId="7879AD4A">
            <w:pPr>
              <w:pStyle w:val="96"/>
              <w:ind w:firstLine="480"/>
            </w:pPr>
            <w:r>
              <w:rPr>
                <w:rFonts w:hint="eastAsia"/>
              </w:rPr>
              <w:t>（</w:t>
            </w:r>
            <w:r>
              <w:t>2）钻井岩屑</w:t>
            </w:r>
          </w:p>
          <w:p w14:paraId="6EF9F600">
            <w:pPr>
              <w:pStyle w:val="96"/>
              <w:ind w:firstLine="480"/>
            </w:pPr>
            <w:r>
              <w:rPr>
                <w:rFonts w:hint="eastAsia"/>
              </w:rPr>
              <w:t>在井场设一个泥浆池，井口返出的泥浆经地面的振动筛分离，泥浆进池中循环使用，岩屑部分用于填垫工业场地，其余暂时堆置于井场，待钻井结束后与废泥浆一并进行无害化固化处理。</w:t>
            </w:r>
          </w:p>
          <w:p w14:paraId="065F639A">
            <w:pPr>
              <w:pStyle w:val="96"/>
              <w:ind w:firstLine="480"/>
            </w:pPr>
            <w:r>
              <w:rPr>
                <w:rFonts w:hint="eastAsia"/>
              </w:rPr>
              <w:t>（</w:t>
            </w:r>
            <w:r>
              <w:t>3）泥浆</w:t>
            </w:r>
          </w:p>
          <w:p w14:paraId="147CB954">
            <w:pPr>
              <w:pStyle w:val="96"/>
              <w:ind w:firstLine="480"/>
            </w:pPr>
            <w:r>
              <w:rPr>
                <w:rFonts w:hint="eastAsia"/>
              </w:rPr>
              <w:t>本项目选用无毒无害的钻井泥浆，从源头控制；对废弃钻井泥浆、泥屑外委环保手续齐全的固废处置单位处置；井场设置</w:t>
            </w:r>
            <w:r>
              <w:t>1座约</w:t>
            </w:r>
            <w:r>
              <w:rPr>
                <w:rFonts w:hint="eastAsia"/>
              </w:rPr>
              <w:t>400</w:t>
            </w:r>
            <w:r>
              <w:t>m</w:t>
            </w:r>
            <w:r>
              <w:rPr>
                <w:vertAlign w:val="superscript"/>
              </w:rPr>
              <w:t>3</w:t>
            </w:r>
            <w:r>
              <w:t>的泥浆池（单口井岩屑</w:t>
            </w:r>
            <w:r>
              <w:rPr>
                <w:rFonts w:hint="eastAsia"/>
              </w:rPr>
              <w:t>86.68</w:t>
            </w:r>
            <w:r>
              <w:t>立方</w:t>
            </w:r>
            <w:r>
              <w:rPr>
                <w:rFonts w:hint="eastAsia"/>
              </w:rPr>
              <w:t>）</w:t>
            </w:r>
            <w:r>
              <w:t>，单口井</w:t>
            </w:r>
            <w:r>
              <w:rPr>
                <w:rFonts w:hint="eastAsia"/>
              </w:rPr>
              <w:t>最大</w:t>
            </w:r>
            <w:r>
              <w:t>泥浆</w:t>
            </w:r>
            <w:r>
              <w:rPr>
                <w:rFonts w:hint="eastAsia"/>
              </w:rPr>
              <w:t>产生量121.35</w:t>
            </w:r>
            <w:r>
              <w:t>立方（按照1.5g/cm</w:t>
            </w:r>
            <w:r>
              <w:rPr>
                <w:vertAlign w:val="superscript"/>
              </w:rPr>
              <w:t>3</w:t>
            </w:r>
            <w:r>
              <w:t>计），泥浆池容积可满足泥浆岩屑暂存需求），泥浆池采用粘土+</w:t>
            </w:r>
            <w:r>
              <w:rPr>
                <w:rFonts w:hint="eastAsia"/>
              </w:rPr>
              <w:t>三层</w:t>
            </w:r>
            <w:r>
              <w:t>2mm土工膜防渗基础，防渗系数应小于1.0×10</w:t>
            </w:r>
            <w:r>
              <w:rPr>
                <w:vertAlign w:val="superscript"/>
              </w:rPr>
              <w:t>-7</w:t>
            </w:r>
            <w:r>
              <w:t>cm/s，防止钻井泥浆对土壤和地下水的污染；本项目钻井泥浆池容积大于设计井深的排污容积，并能保证完井后废弃物面低于池表面50cm的要求，可以防止外溢污染环境。因泥浆池中大部分含水泥浆被抽走，池中剩</w:t>
            </w:r>
            <w:r>
              <w:rPr>
                <w:rFonts w:hint="eastAsia"/>
              </w:rPr>
              <w:t>余物以岩屑为主。剩余泥浆、岩屑待干化后和废泥浆进行无害化固化处理。</w:t>
            </w:r>
          </w:p>
          <w:p w14:paraId="0FDE8FB4">
            <w:pPr>
              <w:pStyle w:val="96"/>
              <w:ind w:firstLine="480"/>
            </w:pPr>
            <w:r>
              <w:rPr>
                <w:rFonts w:hint="eastAsia"/>
              </w:rPr>
              <w:t>（</w:t>
            </w:r>
            <w:r>
              <w:t>4）危险废物</w:t>
            </w:r>
          </w:p>
          <w:p w14:paraId="683BAB1A">
            <w:pPr>
              <w:pStyle w:val="96"/>
              <w:ind w:firstLine="480"/>
            </w:pPr>
            <w:r>
              <w:rPr>
                <w:rFonts w:hint="eastAsia"/>
              </w:rPr>
              <w:t>施工期的危废主要为设备维修保养产生的废矿物油、废油桶，施工期间每座井场设置撬装式危废贮存点</w:t>
            </w:r>
            <w:r>
              <w:t>1座，危废定期交由有资质单位清运处置，井场施工结束后，撬装危废</w:t>
            </w:r>
            <w:r>
              <w:rPr>
                <w:rFonts w:hint="eastAsia"/>
              </w:rPr>
              <w:t>贮存点</w:t>
            </w:r>
            <w:r>
              <w:t>随施工队转入下一井场继续使用。</w:t>
            </w:r>
          </w:p>
          <w:p w14:paraId="542005EC">
            <w:pPr>
              <w:pStyle w:val="19"/>
              <w:keepNext/>
            </w:pPr>
            <w:r>
              <w:t xml:space="preserve">表 </w:t>
            </w:r>
            <w:r>
              <w:fldChar w:fldCharType="begin"/>
            </w:r>
            <w:r>
              <w:instrText xml:space="preserve"> SEQ 表 \* ARABIC </w:instrText>
            </w:r>
            <w:r>
              <w:fldChar w:fldCharType="separate"/>
            </w:r>
            <w:r>
              <w:t>37</w:t>
            </w:r>
            <w:r>
              <w:fldChar w:fldCharType="end"/>
            </w:r>
            <w:r>
              <w:rPr>
                <w:rFonts w:hint="eastAsia"/>
              </w:rPr>
              <w:t>固废治理措施一览表</w:t>
            </w:r>
          </w:p>
          <w:tbl>
            <w:tblPr>
              <w:tblStyle w:val="73"/>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56"/>
              <w:gridCol w:w="1520"/>
              <w:gridCol w:w="1193"/>
              <w:gridCol w:w="883"/>
              <w:gridCol w:w="1786"/>
              <w:gridCol w:w="2711"/>
            </w:tblGrid>
            <w:tr w14:paraId="144BF3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27" w:type="pct"/>
                  <w:vAlign w:val="center"/>
                </w:tcPr>
                <w:p w14:paraId="6B9003C7">
                  <w:pPr>
                    <w:pStyle w:val="94"/>
                    <w:rPr>
                      <w:color w:val="auto"/>
                    </w:rPr>
                  </w:pPr>
                  <w:r>
                    <w:rPr>
                      <w:color w:val="auto"/>
                    </w:rPr>
                    <w:t>产生阶段</w:t>
                  </w:r>
                </w:p>
              </w:tc>
              <w:tc>
                <w:tcPr>
                  <w:tcW w:w="859" w:type="pct"/>
                  <w:vAlign w:val="center"/>
                </w:tcPr>
                <w:p w14:paraId="0EEDC95B">
                  <w:pPr>
                    <w:pStyle w:val="94"/>
                    <w:rPr>
                      <w:color w:val="auto"/>
                    </w:rPr>
                  </w:pPr>
                  <w:r>
                    <w:rPr>
                      <w:color w:val="auto"/>
                    </w:rPr>
                    <w:t>产污环节</w:t>
                  </w:r>
                </w:p>
              </w:tc>
              <w:tc>
                <w:tcPr>
                  <w:tcW w:w="674" w:type="pct"/>
                  <w:vAlign w:val="center"/>
                </w:tcPr>
                <w:p w14:paraId="53525670">
                  <w:pPr>
                    <w:pStyle w:val="94"/>
                    <w:rPr>
                      <w:color w:val="auto"/>
                    </w:rPr>
                  </w:pPr>
                  <w:r>
                    <w:rPr>
                      <w:color w:val="auto"/>
                    </w:rPr>
                    <w:t>废物名称</w:t>
                  </w:r>
                </w:p>
              </w:tc>
              <w:tc>
                <w:tcPr>
                  <w:tcW w:w="499" w:type="pct"/>
                  <w:vAlign w:val="center"/>
                </w:tcPr>
                <w:p w14:paraId="18CAF13D">
                  <w:pPr>
                    <w:pStyle w:val="94"/>
                    <w:rPr>
                      <w:rFonts w:cs="Times New Roman"/>
                      <w:color w:val="auto"/>
                    </w:rPr>
                  </w:pPr>
                  <w:r>
                    <w:rPr>
                      <w:rFonts w:cs="Times New Roman"/>
                      <w:color w:val="auto"/>
                    </w:rPr>
                    <w:t>形态</w:t>
                  </w:r>
                </w:p>
              </w:tc>
              <w:tc>
                <w:tcPr>
                  <w:tcW w:w="1009" w:type="pct"/>
                  <w:vAlign w:val="center"/>
                </w:tcPr>
                <w:p w14:paraId="3C956FE0">
                  <w:pPr>
                    <w:pStyle w:val="94"/>
                    <w:rPr>
                      <w:rFonts w:cs="Times New Roman"/>
                      <w:color w:val="auto"/>
                    </w:rPr>
                  </w:pPr>
                  <w:r>
                    <w:rPr>
                      <w:rFonts w:cs="Times New Roman"/>
                      <w:color w:val="auto"/>
                    </w:rPr>
                    <w:t>暂存措施</w:t>
                  </w:r>
                </w:p>
              </w:tc>
              <w:tc>
                <w:tcPr>
                  <w:tcW w:w="1532" w:type="pct"/>
                  <w:vAlign w:val="center"/>
                </w:tcPr>
                <w:p w14:paraId="4BF1BF7D">
                  <w:pPr>
                    <w:pStyle w:val="94"/>
                    <w:rPr>
                      <w:rFonts w:cs="Times New Roman"/>
                      <w:color w:val="auto"/>
                    </w:rPr>
                  </w:pPr>
                  <w:r>
                    <w:rPr>
                      <w:rFonts w:cs="Times New Roman"/>
                      <w:color w:val="auto"/>
                    </w:rPr>
                    <w:t>危废</w:t>
                  </w:r>
                  <w:r>
                    <w:rPr>
                      <w:rFonts w:hint="eastAsia" w:cs="Times New Roman"/>
                      <w:color w:val="auto"/>
                    </w:rPr>
                    <w:t>贮存点</w:t>
                  </w:r>
                  <w:r>
                    <w:rPr>
                      <w:rFonts w:cs="Times New Roman"/>
                      <w:color w:val="auto"/>
                    </w:rPr>
                    <w:t>防渗措施</w:t>
                  </w:r>
                  <w:r>
                    <w:rPr>
                      <w:rFonts w:hint="eastAsia" w:cs="Times New Roman"/>
                      <w:color w:val="auto"/>
                    </w:rPr>
                    <w:t>及其他要求</w:t>
                  </w:r>
                </w:p>
              </w:tc>
            </w:tr>
            <w:tr w14:paraId="11DC0F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27" w:type="pct"/>
                  <w:vMerge w:val="restart"/>
                  <w:vAlign w:val="center"/>
                </w:tcPr>
                <w:p w14:paraId="40C78933">
                  <w:pPr>
                    <w:pStyle w:val="94"/>
                    <w:rPr>
                      <w:rFonts w:cs="Times New Roman"/>
                      <w:color w:val="auto"/>
                    </w:rPr>
                  </w:pPr>
                  <w:r>
                    <w:rPr>
                      <w:color w:val="auto"/>
                    </w:rPr>
                    <w:t>施工期</w:t>
                  </w:r>
                </w:p>
              </w:tc>
              <w:tc>
                <w:tcPr>
                  <w:tcW w:w="859" w:type="pct"/>
                  <w:vMerge w:val="restart"/>
                  <w:vAlign w:val="center"/>
                </w:tcPr>
                <w:p w14:paraId="41E73E1F">
                  <w:pPr>
                    <w:pStyle w:val="94"/>
                    <w:rPr>
                      <w:color w:val="auto"/>
                    </w:rPr>
                  </w:pPr>
                  <w:r>
                    <w:rPr>
                      <w:rFonts w:hint="eastAsia"/>
                      <w:color w:val="auto"/>
                    </w:rPr>
                    <w:t>钻机</w:t>
                  </w:r>
                  <w:r>
                    <w:rPr>
                      <w:color w:val="auto"/>
                    </w:rPr>
                    <w:t>、柴油机设备保养</w:t>
                  </w:r>
                </w:p>
              </w:tc>
              <w:tc>
                <w:tcPr>
                  <w:tcW w:w="674" w:type="pct"/>
                  <w:vAlign w:val="center"/>
                </w:tcPr>
                <w:p w14:paraId="5F4707DF">
                  <w:pPr>
                    <w:pStyle w:val="94"/>
                    <w:rPr>
                      <w:color w:val="auto"/>
                    </w:rPr>
                  </w:pPr>
                  <w:r>
                    <w:rPr>
                      <w:rFonts w:hint="eastAsia"/>
                      <w:color w:val="auto"/>
                    </w:rPr>
                    <w:t>废矿物油、</w:t>
                  </w:r>
                  <w:r>
                    <w:rPr>
                      <w:color w:val="auto"/>
                    </w:rPr>
                    <w:t>含油污泥</w:t>
                  </w:r>
                </w:p>
              </w:tc>
              <w:tc>
                <w:tcPr>
                  <w:tcW w:w="499" w:type="pct"/>
                  <w:vAlign w:val="center"/>
                </w:tcPr>
                <w:p w14:paraId="4305E355">
                  <w:pPr>
                    <w:pStyle w:val="94"/>
                    <w:rPr>
                      <w:color w:val="auto"/>
                    </w:rPr>
                  </w:pPr>
                  <w:r>
                    <w:rPr>
                      <w:rFonts w:hint="eastAsia"/>
                      <w:color w:val="auto"/>
                    </w:rPr>
                    <w:t>液态</w:t>
                  </w:r>
                </w:p>
              </w:tc>
              <w:tc>
                <w:tcPr>
                  <w:tcW w:w="1009" w:type="pct"/>
                  <w:vMerge w:val="restart"/>
                  <w:vAlign w:val="center"/>
                </w:tcPr>
                <w:p w14:paraId="53EF0E3E">
                  <w:pPr>
                    <w:pStyle w:val="94"/>
                    <w:rPr>
                      <w:rFonts w:cs="Times New Roman"/>
                      <w:color w:val="auto"/>
                    </w:rPr>
                  </w:pPr>
                  <w:r>
                    <w:rPr>
                      <w:rFonts w:cs="Times New Roman"/>
                      <w:color w:val="auto"/>
                    </w:rPr>
                    <w:t>每座施工井场设置撬装式危废</w:t>
                  </w:r>
                  <w:r>
                    <w:rPr>
                      <w:rFonts w:hint="eastAsia" w:cs="Times New Roman"/>
                      <w:color w:val="auto"/>
                    </w:rPr>
                    <w:t>贮存点</w:t>
                  </w:r>
                  <w:r>
                    <w:rPr>
                      <w:rFonts w:cs="Times New Roman"/>
                      <w:color w:val="auto"/>
                    </w:rPr>
                    <w:t>一座，用于暂存危险废物，危废定期交由有资质单位清运处置；井场施工结束后，撬装危废</w:t>
                  </w:r>
                  <w:r>
                    <w:rPr>
                      <w:rFonts w:hint="eastAsia" w:cs="Times New Roman"/>
                      <w:color w:val="auto"/>
                    </w:rPr>
                    <w:t>贮存点</w:t>
                  </w:r>
                  <w:r>
                    <w:rPr>
                      <w:rFonts w:cs="Times New Roman"/>
                      <w:color w:val="auto"/>
                    </w:rPr>
                    <w:t>随施工队转入下一井场继续使用</w:t>
                  </w:r>
                </w:p>
              </w:tc>
              <w:tc>
                <w:tcPr>
                  <w:tcW w:w="1532" w:type="pct"/>
                  <w:vMerge w:val="restart"/>
                  <w:vAlign w:val="center"/>
                </w:tcPr>
                <w:p w14:paraId="15023C9D">
                  <w:pPr>
                    <w:pStyle w:val="94"/>
                    <w:rPr>
                      <w:rFonts w:cs="Times New Roman"/>
                      <w:color w:val="auto"/>
                    </w:rPr>
                  </w:pPr>
                  <w:r>
                    <w:rPr>
                      <w:rFonts w:cs="Times New Roman"/>
                      <w:color w:val="auto"/>
                    </w:rPr>
                    <w:t>危废</w:t>
                  </w:r>
                  <w:r>
                    <w:rPr>
                      <w:rFonts w:hint="eastAsia" w:cs="Times New Roman"/>
                      <w:color w:val="auto"/>
                    </w:rPr>
                    <w:t>贮存点</w:t>
                  </w:r>
                  <w:r>
                    <w:rPr>
                      <w:rFonts w:cs="Times New Roman"/>
                      <w:color w:val="auto"/>
                    </w:rPr>
                    <w:t>为撬装房，底部铺设</w:t>
                  </w:r>
                  <w:r>
                    <w:rPr>
                      <w:rFonts w:hint="eastAsia" w:cs="Times New Roman"/>
                      <w:color w:val="auto"/>
                    </w:rPr>
                    <w:t>三层2mm厚复合土工</w:t>
                  </w:r>
                  <w:r>
                    <w:rPr>
                      <w:rFonts w:cs="Times New Roman"/>
                      <w:color w:val="auto"/>
                    </w:rPr>
                    <w:t>防渗膜</w:t>
                  </w:r>
                  <w:r>
                    <w:rPr>
                      <w:rFonts w:hint="eastAsia" w:cs="Times New Roman"/>
                      <w:color w:val="auto"/>
                    </w:rPr>
                    <w:t>；设置危险废物贮存设施和场所标志、危险废物贮存分区标志和危险废物标签；</w:t>
                  </w:r>
                  <w:r>
                    <w:rPr>
                      <w:rFonts w:cs="Times New Roman"/>
                      <w:color w:val="auto"/>
                    </w:rPr>
                    <w:t>危废</w:t>
                  </w:r>
                  <w:r>
                    <w:rPr>
                      <w:rFonts w:hint="eastAsia" w:cs="Times New Roman"/>
                      <w:color w:val="auto"/>
                    </w:rPr>
                    <w:t>贮存点应单独区域设置，满足防风、防雨、防晒和防止危险废物流失、扬散；实时贮存量不应超过3吨并进行台账记录，台账保存年限至少1年</w:t>
                  </w:r>
                </w:p>
              </w:tc>
            </w:tr>
            <w:tr w14:paraId="6DE7DE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vMerge w:val="continue"/>
                  <w:vAlign w:val="center"/>
                </w:tcPr>
                <w:p w14:paraId="424E719D">
                  <w:pPr>
                    <w:pStyle w:val="94"/>
                    <w:rPr>
                      <w:color w:val="auto"/>
                      <w:kern w:val="2"/>
                    </w:rPr>
                  </w:pPr>
                </w:p>
              </w:tc>
              <w:tc>
                <w:tcPr>
                  <w:tcW w:w="0" w:type="auto"/>
                  <w:vMerge w:val="continue"/>
                  <w:vAlign w:val="center"/>
                </w:tcPr>
                <w:p w14:paraId="56696D80">
                  <w:pPr>
                    <w:pStyle w:val="94"/>
                    <w:rPr>
                      <w:color w:val="auto"/>
                      <w:kern w:val="2"/>
                    </w:rPr>
                  </w:pPr>
                </w:p>
              </w:tc>
              <w:tc>
                <w:tcPr>
                  <w:tcW w:w="674" w:type="pct"/>
                  <w:vAlign w:val="center"/>
                </w:tcPr>
                <w:p w14:paraId="259A9CB2">
                  <w:pPr>
                    <w:pStyle w:val="94"/>
                    <w:rPr>
                      <w:rFonts w:cs="Times New Roman"/>
                      <w:color w:val="auto"/>
                    </w:rPr>
                  </w:pPr>
                  <w:r>
                    <w:rPr>
                      <w:rFonts w:hint="eastAsia"/>
                      <w:color w:val="auto"/>
                    </w:rPr>
                    <w:t>废油桶</w:t>
                  </w:r>
                </w:p>
              </w:tc>
              <w:tc>
                <w:tcPr>
                  <w:tcW w:w="499" w:type="pct"/>
                  <w:vAlign w:val="center"/>
                </w:tcPr>
                <w:p w14:paraId="377A204C">
                  <w:pPr>
                    <w:pStyle w:val="94"/>
                    <w:rPr>
                      <w:color w:val="auto"/>
                    </w:rPr>
                  </w:pPr>
                  <w:r>
                    <w:rPr>
                      <w:rFonts w:hint="eastAsia"/>
                      <w:color w:val="auto"/>
                    </w:rPr>
                    <w:t>固态</w:t>
                  </w:r>
                </w:p>
              </w:tc>
              <w:tc>
                <w:tcPr>
                  <w:tcW w:w="0" w:type="auto"/>
                  <w:vMerge w:val="continue"/>
                  <w:vAlign w:val="center"/>
                </w:tcPr>
                <w:p w14:paraId="6335CFF6">
                  <w:pPr>
                    <w:pStyle w:val="94"/>
                    <w:rPr>
                      <w:color w:val="auto"/>
                    </w:rPr>
                  </w:pPr>
                </w:p>
              </w:tc>
              <w:tc>
                <w:tcPr>
                  <w:tcW w:w="0" w:type="auto"/>
                  <w:vMerge w:val="continue"/>
                  <w:vAlign w:val="center"/>
                </w:tcPr>
                <w:p w14:paraId="2277EDBB">
                  <w:pPr>
                    <w:pStyle w:val="94"/>
                    <w:rPr>
                      <w:color w:val="auto"/>
                    </w:rPr>
                  </w:pPr>
                </w:p>
              </w:tc>
            </w:tr>
            <w:tr w14:paraId="202DCF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vMerge w:val="continue"/>
                  <w:vAlign w:val="center"/>
                </w:tcPr>
                <w:p w14:paraId="735D0258">
                  <w:pPr>
                    <w:pStyle w:val="94"/>
                    <w:rPr>
                      <w:color w:val="auto"/>
                      <w:kern w:val="2"/>
                    </w:rPr>
                  </w:pPr>
                </w:p>
              </w:tc>
              <w:tc>
                <w:tcPr>
                  <w:tcW w:w="859" w:type="pct"/>
                  <w:vAlign w:val="center"/>
                </w:tcPr>
                <w:p w14:paraId="522FF02A">
                  <w:pPr>
                    <w:pStyle w:val="94"/>
                    <w:rPr>
                      <w:color w:val="auto"/>
                    </w:rPr>
                  </w:pPr>
                  <w:r>
                    <w:rPr>
                      <w:rFonts w:hint="eastAsia"/>
                      <w:color w:val="auto"/>
                    </w:rPr>
                    <w:t>设备</w:t>
                  </w:r>
                  <w:r>
                    <w:rPr>
                      <w:color w:val="auto"/>
                    </w:rPr>
                    <w:t>保养</w:t>
                  </w:r>
                </w:p>
              </w:tc>
              <w:tc>
                <w:tcPr>
                  <w:tcW w:w="674" w:type="pct"/>
                  <w:vAlign w:val="center"/>
                </w:tcPr>
                <w:p w14:paraId="141D6163">
                  <w:pPr>
                    <w:pStyle w:val="94"/>
                    <w:rPr>
                      <w:color w:val="auto"/>
                    </w:rPr>
                  </w:pPr>
                  <w:r>
                    <w:rPr>
                      <w:rFonts w:hint="eastAsia"/>
                      <w:color w:val="auto"/>
                    </w:rPr>
                    <w:t>废棉纱</w:t>
                  </w:r>
                  <w:r>
                    <w:rPr>
                      <w:color w:val="auto"/>
                    </w:rPr>
                    <w:t>、废手套</w:t>
                  </w:r>
                </w:p>
              </w:tc>
              <w:tc>
                <w:tcPr>
                  <w:tcW w:w="499" w:type="pct"/>
                  <w:vAlign w:val="center"/>
                </w:tcPr>
                <w:p w14:paraId="462DDC8B">
                  <w:pPr>
                    <w:pStyle w:val="94"/>
                    <w:rPr>
                      <w:color w:val="auto"/>
                    </w:rPr>
                  </w:pPr>
                  <w:r>
                    <w:rPr>
                      <w:rFonts w:hint="eastAsia"/>
                      <w:color w:val="auto"/>
                    </w:rPr>
                    <w:t>固态</w:t>
                  </w:r>
                </w:p>
              </w:tc>
              <w:tc>
                <w:tcPr>
                  <w:tcW w:w="0" w:type="auto"/>
                  <w:vMerge w:val="continue"/>
                  <w:vAlign w:val="center"/>
                </w:tcPr>
                <w:p w14:paraId="6872A892">
                  <w:pPr>
                    <w:pStyle w:val="94"/>
                    <w:rPr>
                      <w:color w:val="auto"/>
                    </w:rPr>
                  </w:pPr>
                </w:p>
              </w:tc>
              <w:tc>
                <w:tcPr>
                  <w:tcW w:w="0" w:type="auto"/>
                  <w:vMerge w:val="continue"/>
                  <w:vAlign w:val="center"/>
                </w:tcPr>
                <w:p w14:paraId="11B9CE58">
                  <w:pPr>
                    <w:pStyle w:val="94"/>
                    <w:rPr>
                      <w:color w:val="auto"/>
                    </w:rPr>
                  </w:pPr>
                </w:p>
              </w:tc>
            </w:tr>
          </w:tbl>
          <w:p w14:paraId="1882F5CF">
            <w:pPr>
              <w:pStyle w:val="96"/>
              <w:ind w:firstLine="480"/>
            </w:pPr>
            <w:r>
              <w:rPr>
                <w:rFonts w:hint="eastAsia"/>
              </w:rPr>
              <w:t>（5）生活垃圾</w:t>
            </w:r>
          </w:p>
          <w:p w14:paraId="731CC104">
            <w:pPr>
              <w:pStyle w:val="96"/>
              <w:ind w:firstLine="480"/>
            </w:pPr>
            <w:r>
              <w:rPr>
                <w:rFonts w:hint="eastAsia"/>
              </w:rPr>
              <w:t>各井场设生活垃圾桶，对生活垃圾进行统一收集，定期送当地环卫部门指定地点，由当地环卫部门统一拉运至兴县生活垃圾填埋场处理。</w:t>
            </w:r>
          </w:p>
          <w:p w14:paraId="3125A6D9">
            <w:pPr>
              <w:pStyle w:val="96"/>
              <w:ind w:firstLine="0" w:firstLineChars="0"/>
              <w:rPr>
                <w:b/>
                <w:bCs/>
                <w:spacing w:val="10"/>
              </w:rPr>
            </w:pPr>
            <w:r>
              <w:rPr>
                <w:b/>
                <w:bCs/>
              </w:rPr>
              <w:t>5</w:t>
            </w:r>
            <w:r>
              <w:rPr>
                <w:rFonts w:hint="eastAsia"/>
                <w:b/>
                <w:bCs/>
              </w:rPr>
              <w:t>、土壤污染防治措施</w:t>
            </w:r>
          </w:p>
          <w:p w14:paraId="0C7E97FF">
            <w:pPr>
              <w:pStyle w:val="96"/>
              <w:ind w:firstLine="500"/>
              <w:rPr>
                <w:spacing w:val="10"/>
              </w:rPr>
            </w:pPr>
            <w:r>
              <w:rPr>
                <w:rFonts w:hint="eastAsia"/>
                <w:spacing w:val="10"/>
              </w:rPr>
              <w:t>泥浆池、储油罐，软体水箱地面底部利用机械将衬层压实，铺设防渗材料（复合土工模2mm厚，三层</w:t>
            </w:r>
            <w:r>
              <w:rPr>
                <w:spacing w:val="10"/>
              </w:rPr>
              <w:t>），等效黏土防渗层Mb≥6.0m，K≤1×10</w:t>
            </w:r>
            <w:r>
              <w:rPr>
                <w:spacing w:val="10"/>
                <w:vertAlign w:val="superscript"/>
              </w:rPr>
              <w:t>-7</w:t>
            </w:r>
            <w:r>
              <w:rPr>
                <w:spacing w:val="10"/>
              </w:rPr>
              <w:t>cm/s。采取防渗措施后可切断污染物污染土壤的途径，减轻对土壤环境的影响。同时要求建设单位加强日常运行监管，对排采水水量定期计量观测，若发生异常，及时</w:t>
            </w:r>
            <w:r>
              <w:rPr>
                <w:rFonts w:hint="eastAsia"/>
                <w:bCs/>
              </w:rPr>
              <w:t>拉运至</w:t>
            </w:r>
            <w:r>
              <w:rPr>
                <w:rFonts w:hint="eastAsia"/>
              </w:rPr>
              <w:t>中联煤层气有限责任公司临兴西区</w:t>
            </w:r>
            <w:r>
              <w:t>(山西区块)开发项目</w:t>
            </w:r>
            <w:r>
              <w:rPr>
                <w:rFonts w:hint="eastAsia"/>
                <w:bCs/>
              </w:rPr>
              <w:t>排采水处理</w:t>
            </w:r>
            <w:r>
              <w:rPr>
                <w:bCs/>
              </w:rPr>
              <w:t>2站处理后回用</w:t>
            </w:r>
            <w:r>
              <w:rPr>
                <w:spacing w:val="10"/>
              </w:rPr>
              <w:t>。加强储油罐日常巡检，若发现储罐底部油污，立即检修，防治持续渗漏。</w:t>
            </w:r>
          </w:p>
          <w:p w14:paraId="6F99B7D9">
            <w:pPr>
              <w:pStyle w:val="96"/>
              <w:ind w:firstLine="500"/>
              <w:rPr>
                <w:spacing w:val="10"/>
              </w:rPr>
            </w:pPr>
            <w:r>
              <w:rPr>
                <w:rFonts w:hint="eastAsia"/>
                <w:spacing w:val="10"/>
              </w:rPr>
              <w:t>采取上述措施后，项目建设运行对土壤环境影响较小。</w:t>
            </w:r>
          </w:p>
        </w:tc>
      </w:tr>
      <w:tr w14:paraId="7E05AA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558" w:hRule="atLeast"/>
          <w:jc w:val="center"/>
        </w:trPr>
        <w:tc>
          <w:tcPr>
            <w:tcW w:w="307" w:type="dxa"/>
            <w:tcMar>
              <w:left w:w="28" w:type="dxa"/>
              <w:right w:w="28" w:type="dxa"/>
            </w:tcMar>
            <w:vAlign w:val="center"/>
          </w:tcPr>
          <w:p w14:paraId="5F0A8312">
            <w:pPr>
              <w:adjustRightInd w:val="0"/>
              <w:snapToGrid w:val="0"/>
              <w:jc w:val="center"/>
              <w:rPr>
                <w:rFonts w:ascii="宋体" w:hAnsi="宋体" w:eastAsia="宋体"/>
                <w:bCs/>
                <w:spacing w:val="10"/>
                <w:sz w:val="24"/>
              </w:rPr>
            </w:pPr>
            <w:r>
              <w:rPr>
                <w:rFonts w:ascii="宋体" w:hAnsi="宋体" w:eastAsia="宋体"/>
                <w:bCs/>
                <w:spacing w:val="10"/>
                <w:sz w:val="24"/>
              </w:rPr>
              <w:t>运营期生态环境保护措施</w:t>
            </w:r>
          </w:p>
        </w:tc>
        <w:tc>
          <w:tcPr>
            <w:tcW w:w="8903" w:type="dxa"/>
          </w:tcPr>
          <w:p w14:paraId="31532939">
            <w:pPr>
              <w:pStyle w:val="96"/>
              <w:ind w:firstLine="0" w:firstLineChars="0"/>
              <w:rPr>
                <w:b/>
                <w:bCs/>
              </w:rPr>
            </w:pPr>
            <w:r>
              <w:rPr>
                <w:b/>
                <w:bCs/>
              </w:rPr>
              <w:t>1</w:t>
            </w:r>
            <w:r>
              <w:rPr>
                <w:rFonts w:hint="eastAsia"/>
                <w:b/>
                <w:bCs/>
              </w:rPr>
              <w:t>、</w:t>
            </w:r>
            <w:r>
              <w:rPr>
                <w:rFonts w:hint="eastAsia"/>
              </w:rPr>
              <w:t>试气期</w:t>
            </w:r>
            <w:r>
              <w:rPr>
                <w:b/>
                <w:bCs/>
              </w:rPr>
              <w:t>污染防治措施</w:t>
            </w:r>
          </w:p>
          <w:p w14:paraId="5E6147D2">
            <w:pPr>
              <w:pStyle w:val="96"/>
              <w:ind w:firstLine="480"/>
              <w:rPr>
                <w:spacing w:val="10"/>
              </w:rPr>
            </w:pPr>
            <w:r>
              <w:rPr>
                <w:rFonts w:hint="eastAsia"/>
              </w:rPr>
              <w:t>（1）废气污染防治措施</w:t>
            </w:r>
          </w:p>
          <w:p w14:paraId="550D3481">
            <w:pPr>
              <w:pStyle w:val="96"/>
              <w:ind w:firstLine="480"/>
              <w:rPr>
                <w:spacing w:val="10"/>
              </w:rPr>
            </w:pPr>
            <w:r>
              <w:rPr>
                <w:rFonts w:hint="eastAsia"/>
              </w:rPr>
              <w:t>试气期</w:t>
            </w:r>
            <w:r>
              <w:rPr>
                <w:rFonts w:hint="eastAsia"/>
                <w:spacing w:val="10"/>
              </w:rPr>
              <w:t>大气污染物主要为</w:t>
            </w:r>
            <w:r>
              <w:rPr>
                <w:rFonts w:hint="eastAsia"/>
              </w:rPr>
              <w:t>致密气</w:t>
            </w:r>
            <w:r>
              <w:rPr>
                <w:rFonts w:hint="eastAsia"/>
                <w:spacing w:val="10"/>
              </w:rPr>
              <w:t>燃烧后废气及柴油发电机产生的废气。采取措施如下：</w:t>
            </w:r>
          </w:p>
          <w:p w14:paraId="76A4244F">
            <w:pPr>
              <w:pStyle w:val="96"/>
              <w:ind w:firstLine="500"/>
              <w:rPr>
                <w:spacing w:val="10"/>
              </w:rPr>
            </w:pPr>
            <w:r>
              <w:rPr>
                <w:rFonts w:hint="eastAsia"/>
                <w:spacing w:val="10"/>
              </w:rPr>
              <w:t>本项目各井场均建有点火方箱，</w:t>
            </w:r>
            <w:r>
              <w:rPr>
                <w:rFonts w:hint="eastAsia"/>
              </w:rPr>
              <w:t>试气期</w:t>
            </w:r>
            <w:r>
              <w:rPr>
                <w:rFonts w:hint="eastAsia"/>
                <w:spacing w:val="10"/>
              </w:rPr>
              <w:t>将</w:t>
            </w:r>
            <w:r>
              <w:rPr>
                <w:rFonts w:hint="eastAsia"/>
              </w:rPr>
              <w:t>致密气</w:t>
            </w:r>
            <w:r>
              <w:rPr>
                <w:rFonts w:hint="eastAsia"/>
                <w:spacing w:val="10"/>
              </w:rPr>
              <w:t>通过点火方箱点火排空。</w:t>
            </w:r>
          </w:p>
          <w:p w14:paraId="1211D6AD">
            <w:pPr>
              <w:pStyle w:val="96"/>
              <w:ind w:firstLine="500"/>
              <w:rPr>
                <w:spacing w:val="10"/>
              </w:rPr>
            </w:pPr>
            <w:r>
              <w:rPr>
                <w:rFonts w:hint="eastAsia"/>
                <w:spacing w:val="10"/>
              </w:rPr>
              <w:t>本项目各井场并非同时试采，且相距较远。</w:t>
            </w:r>
            <w:r>
              <w:rPr>
                <w:rFonts w:hint="eastAsia"/>
              </w:rPr>
              <w:t>距离拟建井场最近敏感点为</w:t>
            </w:r>
            <w:r>
              <w:t>LXDG-15</w:t>
            </w:r>
            <w:r>
              <w:rPr>
                <w:rFonts w:hint="eastAsia"/>
              </w:rPr>
              <w:t>西南侧</w:t>
            </w:r>
            <w:r>
              <w:t>137</w:t>
            </w:r>
            <w:r>
              <w:rPr>
                <w:rFonts w:hint="eastAsia"/>
              </w:rPr>
              <w:t>m处的白家畔村</w:t>
            </w:r>
            <w:r>
              <w:rPr>
                <w:rFonts w:hint="eastAsia"/>
                <w:spacing w:val="10"/>
              </w:rPr>
              <w:t>，经大气扩散后对敏感目标影响较小，因此不会对周边环境空气敏感目标产生不利影响。柴油发电机燃用低硫柴油、并加强施工机械保养提高效率降低柴油消耗量等来减少钻井废气的污染。</w:t>
            </w:r>
          </w:p>
          <w:p w14:paraId="51655495">
            <w:pPr>
              <w:pStyle w:val="96"/>
              <w:ind w:firstLine="480"/>
              <w:rPr>
                <w:spacing w:val="10"/>
              </w:rPr>
            </w:pPr>
            <w:r>
              <w:rPr>
                <w:rFonts w:hint="eastAsia"/>
              </w:rPr>
              <w:t>（2）废水污染防治措施</w:t>
            </w:r>
          </w:p>
          <w:p w14:paraId="376AB8A3">
            <w:pPr>
              <w:pStyle w:val="96"/>
              <w:ind w:firstLine="500"/>
              <w:rPr>
                <w:spacing w:val="10"/>
              </w:rPr>
            </w:pPr>
            <w:r>
              <w:rPr>
                <w:rFonts w:hint="eastAsia"/>
                <w:spacing w:val="10"/>
              </w:rPr>
              <w:t>各井场根据井数对应设有相应容积的储液罐。各井场压裂返排液处理后回用或回注，采出水</w:t>
            </w:r>
            <w:r>
              <w:rPr>
                <w:rFonts w:hint="eastAsia"/>
              </w:rPr>
              <w:t>经沉淀后作为周边其他井场钻井液及压裂液配置的清水使用，无法重复利用的，</w:t>
            </w:r>
            <w:r>
              <w:rPr>
                <w:rFonts w:hint="eastAsia"/>
                <w:bCs/>
              </w:rPr>
              <w:t>拉运至</w:t>
            </w:r>
            <w:r>
              <w:rPr>
                <w:rFonts w:hint="eastAsia"/>
              </w:rPr>
              <w:t>中联煤层气有限责任公司临兴西区</w:t>
            </w:r>
            <w:r>
              <w:t>(山西区块)开发项目</w:t>
            </w:r>
            <w:r>
              <w:rPr>
                <w:rFonts w:hint="eastAsia"/>
                <w:bCs/>
              </w:rPr>
              <w:t>排采水处理</w:t>
            </w:r>
            <w:r>
              <w:rPr>
                <w:bCs/>
              </w:rPr>
              <w:t>2站处理后回用</w:t>
            </w:r>
            <w:r>
              <w:rPr>
                <w:rFonts w:hint="eastAsia"/>
              </w:rPr>
              <w:t>。</w:t>
            </w:r>
          </w:p>
          <w:p w14:paraId="143A1D42">
            <w:pPr>
              <w:pStyle w:val="96"/>
              <w:ind w:firstLine="480"/>
              <w:rPr>
                <w:spacing w:val="10"/>
              </w:rPr>
            </w:pPr>
            <w:r>
              <w:rPr>
                <w:rFonts w:hint="eastAsia"/>
              </w:rPr>
              <w:t>（3）噪声污染防治措施</w:t>
            </w:r>
          </w:p>
          <w:p w14:paraId="148130DD">
            <w:pPr>
              <w:pStyle w:val="96"/>
              <w:ind w:firstLine="500"/>
              <w:rPr>
                <w:spacing w:val="10"/>
              </w:rPr>
            </w:pPr>
            <w:r>
              <w:rPr>
                <w:rFonts w:hint="eastAsia"/>
                <w:spacing w:val="10"/>
              </w:rPr>
              <w:t>进入试采阶段，各井场有柴油</w:t>
            </w:r>
            <w:r>
              <w:rPr>
                <w:spacing w:val="10"/>
              </w:rPr>
              <w:t>发电机</w:t>
            </w:r>
            <w:r>
              <w:rPr>
                <w:rFonts w:hint="eastAsia"/>
                <w:spacing w:val="10"/>
              </w:rPr>
              <w:t>带动试采设备进行</w:t>
            </w:r>
            <w:r>
              <w:rPr>
                <w:rFonts w:hint="eastAsia"/>
              </w:rPr>
              <w:t>致密气</w:t>
            </w:r>
            <w:r>
              <w:rPr>
                <w:rFonts w:hint="eastAsia"/>
                <w:spacing w:val="10"/>
              </w:rPr>
              <w:t>试采。因此本项目</w:t>
            </w:r>
            <w:r>
              <w:rPr>
                <w:rFonts w:hint="eastAsia"/>
              </w:rPr>
              <w:t>试气期</w:t>
            </w:r>
            <w:r>
              <w:rPr>
                <w:rFonts w:hint="eastAsia"/>
                <w:spacing w:val="10"/>
              </w:rPr>
              <w:t>噪声主要为试采设备、柴油</w:t>
            </w:r>
            <w:r>
              <w:rPr>
                <w:spacing w:val="10"/>
              </w:rPr>
              <w:t>发电机</w:t>
            </w:r>
            <w:r>
              <w:rPr>
                <w:rFonts w:hint="eastAsia"/>
                <w:spacing w:val="10"/>
              </w:rPr>
              <w:t>，试采设备噪声较小，柴油发电机</w:t>
            </w:r>
            <w:r>
              <w:rPr>
                <w:spacing w:val="10"/>
              </w:rPr>
              <w:t>经</w:t>
            </w:r>
            <w:r>
              <w:rPr>
                <w:rFonts w:hint="eastAsia"/>
                <w:spacing w:val="10"/>
              </w:rPr>
              <w:t>封闭</w:t>
            </w:r>
            <w:r>
              <w:rPr>
                <w:spacing w:val="10"/>
              </w:rPr>
              <w:t>隔声、基础减振</w:t>
            </w:r>
            <w:r>
              <w:rPr>
                <w:rFonts w:hint="eastAsia"/>
                <w:spacing w:val="10"/>
              </w:rPr>
              <w:t>后对周边环境影响较小。</w:t>
            </w:r>
          </w:p>
          <w:p w14:paraId="3B3C577E">
            <w:pPr>
              <w:pStyle w:val="96"/>
              <w:ind w:firstLine="480"/>
              <w:rPr>
                <w:spacing w:val="10"/>
              </w:rPr>
            </w:pPr>
            <w:r>
              <w:rPr>
                <w:rFonts w:hint="eastAsia"/>
              </w:rPr>
              <w:t>（4）固体废物污染防治措施</w:t>
            </w:r>
          </w:p>
          <w:p w14:paraId="14F54203">
            <w:pPr>
              <w:pStyle w:val="96"/>
              <w:ind w:firstLine="480"/>
              <w:rPr>
                <w:spacing w:val="10"/>
              </w:rPr>
            </w:pPr>
            <w:r>
              <w:rPr>
                <w:rFonts w:hint="eastAsia"/>
              </w:rPr>
              <w:t>试气期</w:t>
            </w:r>
            <w:r>
              <w:rPr>
                <w:rFonts w:hint="eastAsia"/>
                <w:spacing w:val="10"/>
              </w:rPr>
              <w:t>工作人员生活垃圾</w:t>
            </w:r>
            <w:r>
              <w:rPr>
                <w:rFonts w:hint="eastAsia"/>
              </w:rPr>
              <w:t>定期送当地环卫部门指定地点，由当地环卫部门统一处理。</w:t>
            </w:r>
            <w:r>
              <w:rPr>
                <w:rFonts w:hint="eastAsia"/>
                <w:spacing w:val="10"/>
              </w:rPr>
              <w:t>备用发电机会产生少量废机油，用专用容器收集后在井场撬装式危废贮存点内暂存，然后交由具有危废经营、处理资质的单位进行合理处置。</w:t>
            </w:r>
          </w:p>
          <w:p w14:paraId="1FF21A46">
            <w:pPr>
              <w:pStyle w:val="96"/>
              <w:ind w:firstLine="0" w:firstLineChars="0"/>
              <w:rPr>
                <w:b/>
                <w:bCs/>
                <w:spacing w:val="10"/>
              </w:rPr>
            </w:pPr>
            <w:r>
              <w:rPr>
                <w:b/>
                <w:bCs/>
              </w:rPr>
              <w:t>2</w:t>
            </w:r>
            <w:r>
              <w:rPr>
                <w:rFonts w:hint="eastAsia"/>
                <w:b/>
                <w:bCs/>
              </w:rPr>
              <w:t>、关井期</w:t>
            </w:r>
            <w:r>
              <w:rPr>
                <w:b/>
                <w:bCs/>
              </w:rPr>
              <w:t>污染防治措施</w:t>
            </w:r>
          </w:p>
          <w:p w14:paraId="25E6B737">
            <w:pPr>
              <w:pStyle w:val="96"/>
              <w:ind w:firstLine="500"/>
              <w:rPr>
                <w:spacing w:val="10"/>
              </w:rPr>
            </w:pPr>
            <w:r>
              <w:rPr>
                <w:rFonts w:hint="eastAsia"/>
                <w:spacing w:val="10"/>
              </w:rPr>
              <w:t>关井期施工活动主要包括关井，井场地面设施拆除及地表杂物清理。关井期污染表现为扬尘污染，地面设施拆除和井场清理过程产生的少量固体废弃物。</w:t>
            </w:r>
          </w:p>
          <w:p w14:paraId="1F0F6CE8">
            <w:pPr>
              <w:pStyle w:val="96"/>
              <w:ind w:firstLine="500"/>
              <w:rPr>
                <w:spacing w:val="10"/>
              </w:rPr>
            </w:pPr>
            <w:r>
              <w:rPr>
                <w:rFonts w:hint="eastAsia"/>
                <w:spacing w:val="10"/>
              </w:rPr>
              <w:t>（1）自每组射孔段底部以下不少于</w:t>
            </w:r>
            <w:r>
              <w:rPr>
                <w:spacing w:val="10"/>
              </w:rPr>
              <w:t>30m向上注水泥塞，水泥返高应不低于每组射孔段以上30m。采用套管完井的直井/定向井，顶部气层水泥返高应不低于射孔段顶部以上30m。</w:t>
            </w:r>
            <w:r>
              <w:rPr>
                <w:rFonts w:hint="eastAsia"/>
                <w:spacing w:val="10"/>
              </w:rPr>
              <w:t>当套管外有淡水层时，淡水层对应套管外有水泥固结时，从淡水层底部以下至少</w:t>
            </w:r>
            <w:r>
              <w:rPr>
                <w:spacing w:val="10"/>
              </w:rPr>
              <w:t>30m到淡水层底部，注一悬空水泥塞封堵淡水层。</w:t>
            </w:r>
          </w:p>
          <w:p w14:paraId="2DD1D567">
            <w:pPr>
              <w:pStyle w:val="96"/>
              <w:ind w:firstLine="500"/>
              <w:rPr>
                <w:spacing w:val="10"/>
              </w:rPr>
            </w:pPr>
            <w:r>
              <w:rPr>
                <w:rFonts w:hint="eastAsia"/>
                <w:spacing w:val="10"/>
              </w:rPr>
              <w:t>（2）井场使用集装箱式房，地面设施移除后产生的少量废弃残渣外运至当地政府指定地点统一处理；</w:t>
            </w:r>
          </w:p>
          <w:p w14:paraId="65F49114">
            <w:pPr>
              <w:pStyle w:val="96"/>
              <w:ind w:firstLine="500"/>
              <w:rPr>
                <w:spacing w:val="10"/>
              </w:rPr>
            </w:pPr>
            <w:r>
              <w:rPr>
                <w:rFonts w:hint="eastAsia"/>
                <w:spacing w:val="10"/>
              </w:rPr>
              <w:t>（3）勘探作业完成后，作为开发井的，建设单位办理开发阶段环保手续，进行下一步的开发；无开采价值的，进行关井，井口周围设置围栏。按照《土地复垦规定》，对井场施工前期单独堆存的表土回填进行生态恢复，以免造成新的水土流失。</w:t>
            </w:r>
          </w:p>
          <w:p w14:paraId="3A327793">
            <w:pPr>
              <w:pStyle w:val="96"/>
              <w:ind w:firstLine="0" w:firstLineChars="0"/>
              <w:rPr>
                <w:b/>
                <w:bCs/>
                <w:spacing w:val="10"/>
              </w:rPr>
            </w:pPr>
            <w:r>
              <w:rPr>
                <w:rFonts w:hint="eastAsia"/>
                <w:b/>
                <w:bCs/>
                <w:spacing w:val="10"/>
              </w:rPr>
              <w:t>3、勘探结束后固化、复垦方案</w:t>
            </w:r>
          </w:p>
          <w:p w14:paraId="33FB6E88">
            <w:pPr>
              <w:pStyle w:val="96"/>
              <w:ind w:firstLine="480"/>
            </w:pPr>
            <w:r>
              <w:t>(1)施工前对需固化的钻屑、泥浆配料进行分析并确定处理剂的种类及用量，制定每批次的泥浆无害化处理及复垦施工方案。施工过程中如发生渗漏，需对渗漏区域按照泥浆无害化处理及复垦施工方案要求重新进行处理，并对该区域土壤进行取样，按照本技术要求中的取样原则、检测方法进行检测并达到指标要求。</w:t>
            </w:r>
          </w:p>
          <w:p w14:paraId="4FCC13CC">
            <w:pPr>
              <w:pStyle w:val="96"/>
              <w:ind w:firstLine="480"/>
            </w:pPr>
            <w:r>
              <w:t>(2)施工不得占用井场外的土地，完成无害化处理后，对废弃泥浆无害化处理达标的固相，进行回填压实，加顶层防渗隔膜，并覆土不小于0.5米厚度，做到井场及泥浆坑表面平整，土质与井场周围相同，无残留污染物。原泥浆坑四周HDPE防渗膜完好，没有老化、损坏现象，底部、四周防渗系数不小于1×10</w:t>
            </w:r>
            <w:r>
              <w:rPr>
                <w:vertAlign w:val="superscript"/>
              </w:rPr>
              <w:t>-7</w:t>
            </w:r>
            <w:r>
              <w:t>cm/s,回填前确保防渗层完好，当防渗层受损时，应修复或重新铺设；覆土前顶层须铺设HDPE防渗膜，防渗系数不小于1×10</w:t>
            </w:r>
            <w:r>
              <w:rPr>
                <w:vertAlign w:val="superscript"/>
              </w:rPr>
              <w:t>-7</w:t>
            </w:r>
            <w:r>
              <w:t>cm/s。</w:t>
            </w:r>
          </w:p>
          <w:p w14:paraId="63206262">
            <w:pPr>
              <w:pStyle w:val="96"/>
              <w:ind w:firstLine="480"/>
            </w:pPr>
            <w:r>
              <w:t>(3)垫土施工后常温抗压强度(72h)20.7MPa,场地平整，施工机械及车辆通过无塌陷，要保证载重30吨车辆正常通行，20天内(雨季除外)乙方要根据自然塌陷情况及时进行回访和平整，随后达到人、机上去无塌陷。</w:t>
            </w:r>
          </w:p>
          <w:p w14:paraId="66694A24">
            <w:pPr>
              <w:pStyle w:val="96"/>
              <w:ind w:firstLine="480"/>
            </w:pPr>
            <w:r>
              <w:t>(4)过程管控。施工过程全程采取拍照、录像等技术手段，建立废弃泥浆无害化处理、物料消耗档案，记录处理过程，接收</w:t>
            </w:r>
            <w:r>
              <w:rPr>
                <w:rFonts w:hint="eastAsia"/>
              </w:rPr>
              <w:t>环保部门</w:t>
            </w:r>
            <w:r>
              <w:t>监督，对真实性、合规性负责。</w:t>
            </w:r>
          </w:p>
          <w:p w14:paraId="704E3C30">
            <w:pPr>
              <w:pStyle w:val="96"/>
              <w:ind w:firstLine="480"/>
            </w:pPr>
            <w:r>
              <w:t>(6)</w:t>
            </w:r>
            <w:r>
              <w:rPr>
                <w:rFonts w:hint="eastAsia"/>
              </w:rPr>
              <w:t>建设单位</w:t>
            </w:r>
            <w:r>
              <w:t>委托具有资质的单位进行</w:t>
            </w:r>
            <w:r>
              <w:rPr>
                <w:rFonts w:hint="eastAsia"/>
              </w:rPr>
              <w:t>环境监理</w:t>
            </w:r>
            <w:r>
              <w:t>，并委托具有资质的检测单位进行取样检验。</w:t>
            </w:r>
          </w:p>
          <w:p w14:paraId="0467F9F9">
            <w:pPr>
              <w:pStyle w:val="96"/>
              <w:ind w:firstLine="480"/>
            </w:pPr>
            <w:r>
              <w:t>(7)</w:t>
            </w:r>
            <w:r>
              <w:rPr>
                <w:rFonts w:hint="eastAsia"/>
              </w:rPr>
              <w:t>建设单位</w:t>
            </w:r>
            <w:r>
              <w:t>在施工完成后编制竣工验收资料，包括施工过程记录、检测报告等。</w:t>
            </w:r>
          </w:p>
          <w:p w14:paraId="400025BC">
            <w:pPr>
              <w:pStyle w:val="96"/>
              <w:ind w:firstLine="480"/>
            </w:pPr>
            <w:r>
              <w:t>(8)</w:t>
            </w:r>
            <w:r>
              <w:rPr>
                <w:rFonts w:hint="eastAsia"/>
              </w:rPr>
              <w:t>建设单位</w:t>
            </w:r>
            <w:r>
              <w:t>根据检测报告组织完成当地环保部门的备案。</w:t>
            </w:r>
          </w:p>
          <w:p w14:paraId="726EA319">
            <w:pPr>
              <w:pStyle w:val="96"/>
              <w:ind w:firstLine="480"/>
              <w:rPr>
                <w:spacing w:val="10"/>
              </w:rPr>
            </w:pPr>
            <w:r>
              <w:t>4</w:t>
            </w:r>
            <w:r>
              <w:rPr>
                <w:rFonts w:hint="eastAsia"/>
              </w:rPr>
              <w:t>、环境风险</w:t>
            </w:r>
            <w:r>
              <w:t>分析</w:t>
            </w:r>
          </w:p>
          <w:p w14:paraId="1973F96F">
            <w:pPr>
              <w:pStyle w:val="96"/>
              <w:ind w:firstLine="500"/>
              <w:rPr>
                <w:spacing w:val="10"/>
              </w:rPr>
            </w:pPr>
            <w:r>
              <w:rPr>
                <w:rFonts w:hint="eastAsia"/>
                <w:spacing w:val="10"/>
              </w:rPr>
              <w:t>（1）风险</w:t>
            </w:r>
            <w:r>
              <w:rPr>
                <w:spacing w:val="10"/>
              </w:rPr>
              <w:t>识别</w:t>
            </w:r>
          </w:p>
          <w:p w14:paraId="1134DAD6">
            <w:pPr>
              <w:pStyle w:val="96"/>
              <w:ind w:firstLine="500"/>
              <w:rPr>
                <w:spacing w:val="10"/>
              </w:rPr>
            </w:pPr>
            <w:r>
              <w:rPr>
                <w:rFonts w:hint="eastAsia"/>
                <w:spacing w:val="10"/>
              </w:rPr>
              <w:t>本项目涉及突发环境事件风险物质的包括柴油、</w:t>
            </w:r>
            <w:r>
              <w:rPr>
                <w:rFonts w:hint="eastAsia"/>
              </w:rPr>
              <w:t>致密气</w:t>
            </w:r>
            <w:r>
              <w:rPr>
                <w:rFonts w:hint="eastAsia"/>
                <w:spacing w:val="10"/>
              </w:rPr>
              <w:t>（甲烷）。井场一般设1个柴油储罐，柴油总储量约15t，HJ169 中附录B油类物质（矿物油类）的临界量为2500t，Q</w:t>
            </w:r>
            <w:r>
              <w:rPr>
                <w:rFonts w:hint="eastAsia"/>
                <w:spacing w:val="10"/>
                <w:vertAlign w:val="subscript"/>
              </w:rPr>
              <w:t>1</w:t>
            </w:r>
            <w:r>
              <w:rPr>
                <w:rFonts w:hint="eastAsia"/>
                <w:spacing w:val="10"/>
              </w:rPr>
              <w:t>=15/2500＜1。</w:t>
            </w:r>
          </w:p>
          <w:p w14:paraId="33BC1078">
            <w:pPr>
              <w:pStyle w:val="96"/>
              <w:ind w:firstLine="500"/>
              <w:rPr>
                <w:spacing w:val="10"/>
              </w:rPr>
            </w:pPr>
            <w:r>
              <w:rPr>
                <w:rFonts w:hint="eastAsia"/>
                <w:spacing w:val="10"/>
              </w:rPr>
              <w:t>本项目为</w:t>
            </w:r>
            <w:r>
              <w:rPr>
                <w:rFonts w:hint="eastAsia"/>
              </w:rPr>
              <w:t>致密气</w:t>
            </w:r>
            <w:r>
              <w:rPr>
                <w:rFonts w:hint="eastAsia"/>
                <w:spacing w:val="10"/>
              </w:rPr>
              <w:t>的勘探项目，</w:t>
            </w:r>
            <w:r>
              <w:rPr>
                <w:rFonts w:hint="eastAsia"/>
              </w:rPr>
              <w:t>致密气</w:t>
            </w:r>
            <w:r>
              <w:rPr>
                <w:rFonts w:hint="eastAsia"/>
                <w:spacing w:val="10"/>
              </w:rPr>
              <w:t>主要成分是甲烷，为易燃物质，有一定毒性，可能通过扩散对空气产生污染。HJ169中附录B中甲烷的临界量为10t，本项目勘探气井试采出的</w:t>
            </w:r>
            <w:r>
              <w:rPr>
                <w:rFonts w:hint="eastAsia"/>
              </w:rPr>
              <w:t>致密气</w:t>
            </w:r>
            <w:r>
              <w:rPr>
                <w:rFonts w:hint="eastAsia"/>
                <w:spacing w:val="10"/>
              </w:rPr>
              <w:t>不做收集，通过点火方箱点火燃烧后排放。</w:t>
            </w:r>
          </w:p>
          <w:p w14:paraId="50D0A56F">
            <w:pPr>
              <w:pStyle w:val="96"/>
              <w:ind w:firstLine="500"/>
              <w:rPr>
                <w:spacing w:val="10"/>
              </w:rPr>
            </w:pPr>
            <w:r>
              <w:rPr>
                <w:rFonts w:hint="eastAsia"/>
                <w:spacing w:val="10"/>
              </w:rPr>
              <w:t>因此</w:t>
            </w:r>
            <w:r>
              <w:rPr>
                <w:spacing w:val="10"/>
              </w:rPr>
              <w:t>，</w:t>
            </w:r>
            <w:r>
              <w:rPr>
                <w:rFonts w:hint="eastAsia"/>
                <w:spacing w:val="10"/>
              </w:rPr>
              <w:t>本项目环境风险</w:t>
            </w:r>
            <w:r>
              <w:rPr>
                <w:spacing w:val="10"/>
              </w:rPr>
              <w:t>物质</w:t>
            </w:r>
            <w:r>
              <w:rPr>
                <w:rFonts w:hint="eastAsia"/>
                <w:spacing w:val="10"/>
              </w:rPr>
              <w:t>与临界量比值Q＜1，该项目环境风险潜势为I，进行简单分析。</w:t>
            </w:r>
          </w:p>
          <w:p w14:paraId="6F6764FE">
            <w:pPr>
              <w:pStyle w:val="96"/>
              <w:ind w:firstLine="500"/>
              <w:rPr>
                <w:spacing w:val="10"/>
              </w:rPr>
            </w:pPr>
            <w:r>
              <w:rPr>
                <w:rFonts w:hint="eastAsia"/>
                <w:spacing w:val="10"/>
              </w:rPr>
              <w:t>（2）环境风险分析及防范措施</w:t>
            </w:r>
          </w:p>
          <w:p w14:paraId="0EEA37EB">
            <w:pPr>
              <w:pStyle w:val="96"/>
              <w:ind w:firstLine="500"/>
              <w:rPr>
                <w:spacing w:val="10"/>
              </w:rPr>
            </w:pPr>
            <w:r>
              <w:rPr>
                <w:rFonts w:hint="eastAsia"/>
                <w:spacing w:val="10"/>
              </w:rPr>
              <w:t>①对钻井进行2次固井，以封堵套管和地层之间的环形空隙，防止各含水层连通。水泥必须达到要求的强度方可进行固井操作，并采用声波测试固井的强度，如达不到要求，会继续灌注水泥浆进行固井，直到达到要求。</w:t>
            </w:r>
          </w:p>
          <w:p w14:paraId="79FC2ED7">
            <w:pPr>
              <w:pStyle w:val="96"/>
              <w:ind w:firstLine="500"/>
              <w:rPr>
                <w:spacing w:val="10"/>
              </w:rPr>
            </w:pPr>
            <w:r>
              <w:rPr>
                <w:rFonts w:hint="eastAsia"/>
                <w:spacing w:val="10"/>
              </w:rPr>
              <w:t>②泥浆水中加入防止漏失的药剂，做到泥浆水完全不漏失，全部循环的要求。</w:t>
            </w:r>
          </w:p>
          <w:p w14:paraId="5A9DE743">
            <w:pPr>
              <w:pStyle w:val="96"/>
              <w:ind w:firstLine="500"/>
              <w:rPr>
                <w:spacing w:val="10"/>
              </w:rPr>
            </w:pPr>
            <w:r>
              <w:rPr>
                <w:rFonts w:hint="eastAsia"/>
                <w:spacing w:val="10"/>
              </w:rPr>
              <w:t>③将泥浆系统、油罐区、废水收集池、柴油机布置区、撬装式危废贮存点作为重点防渗区。柴油及废矿物油等属于易燃品，一旦遇到明火容易引起火灾，产生次生污染。本项目井场柴油罐区和撬装式危废贮存点作为重点防渗区，防渗措施采用防渗膜井场设禁止明火标志、并配有消防沙、消防栓等灭火器材。</w:t>
            </w:r>
          </w:p>
          <w:p w14:paraId="76BDEA99">
            <w:pPr>
              <w:pStyle w:val="96"/>
              <w:ind w:firstLine="500"/>
              <w:rPr>
                <w:spacing w:val="10"/>
              </w:rPr>
            </w:pPr>
            <w:r>
              <w:rPr>
                <w:rFonts w:hint="eastAsia"/>
                <w:spacing w:val="10"/>
              </w:rPr>
              <w:t>（4）</w:t>
            </w:r>
            <w:r>
              <w:rPr>
                <w:rFonts w:hint="eastAsia"/>
              </w:rPr>
              <w:t>致密气</w:t>
            </w:r>
            <w:r>
              <w:rPr>
                <w:rFonts w:hint="eastAsia"/>
                <w:spacing w:val="10"/>
              </w:rPr>
              <w:t>井</w:t>
            </w:r>
          </w:p>
          <w:p w14:paraId="6EDDFA0C">
            <w:pPr>
              <w:pStyle w:val="96"/>
              <w:ind w:firstLine="500"/>
              <w:rPr>
                <w:spacing w:val="10"/>
              </w:rPr>
            </w:pPr>
            <w:r>
              <w:rPr>
                <w:rFonts w:hint="eastAsia"/>
                <w:spacing w:val="10"/>
              </w:rPr>
              <w:t>在钻井作业、试采作业中可能发生的事故类型有井喷及引发的火灾爆炸事故。</w:t>
            </w:r>
          </w:p>
          <w:p w14:paraId="54CE91F9">
            <w:pPr>
              <w:pStyle w:val="96"/>
              <w:ind w:firstLine="500"/>
              <w:rPr>
                <w:spacing w:val="10"/>
              </w:rPr>
            </w:pPr>
            <w:r>
              <w:rPr>
                <w:rFonts w:hint="eastAsia"/>
                <w:spacing w:val="10"/>
              </w:rPr>
              <w:t>目前在山西</w:t>
            </w:r>
            <w:r>
              <w:rPr>
                <w:rFonts w:hint="eastAsia"/>
              </w:rPr>
              <w:t>鄂尔多斯盆地东缘</w:t>
            </w:r>
            <w:r>
              <w:rPr>
                <w:rFonts w:hint="eastAsia"/>
                <w:spacing w:val="10"/>
              </w:rPr>
              <w:t>所完成的</w:t>
            </w:r>
            <w:r>
              <w:rPr>
                <w:rFonts w:hint="eastAsia"/>
              </w:rPr>
              <w:t>致密气</w:t>
            </w:r>
            <w:r>
              <w:rPr>
                <w:rFonts w:hint="eastAsia"/>
                <w:spacing w:val="10"/>
              </w:rPr>
              <w:t>井无一起井喷失控的事故，这主要是由于该地区气藏多属常压气藏，即使发生井喷，压井措施容易成功。</w:t>
            </w:r>
          </w:p>
          <w:p w14:paraId="13C2E1CA">
            <w:pPr>
              <w:pStyle w:val="96"/>
              <w:ind w:firstLine="500"/>
              <w:rPr>
                <w:spacing w:val="10"/>
              </w:rPr>
            </w:pPr>
            <w:r>
              <w:rPr>
                <w:rFonts w:hint="eastAsia"/>
                <w:spacing w:val="10"/>
              </w:rPr>
              <w:t>项目</w:t>
            </w:r>
            <w:r>
              <w:rPr>
                <w:spacing w:val="10"/>
              </w:rPr>
              <w:t>临兴东区从下部太原组到上部石千峰组地层</w:t>
            </w:r>
            <w:r>
              <w:rPr>
                <w:rFonts w:hint="eastAsia"/>
                <w:spacing w:val="10"/>
              </w:rPr>
              <w:t>压力系数大约为</w:t>
            </w:r>
            <w:r>
              <w:rPr>
                <w:spacing w:val="10"/>
              </w:rPr>
              <w:t>0.80～0.91</w:t>
            </w:r>
            <w:r>
              <w:rPr>
                <w:rFonts w:hint="eastAsia"/>
                <w:spacing w:val="10"/>
              </w:rPr>
              <w:t>MPa/100m左右，该区块</w:t>
            </w:r>
            <w:r>
              <w:rPr>
                <w:spacing w:val="10"/>
              </w:rPr>
              <w:t>的地温梯度为1.69℃ /100m，属于常温常压地层</w:t>
            </w:r>
            <w:r>
              <w:rPr>
                <w:rFonts w:hint="eastAsia"/>
                <w:spacing w:val="10"/>
              </w:rPr>
              <w:t>。</w:t>
            </w:r>
          </w:p>
          <w:p w14:paraId="365CBE2D">
            <w:pPr>
              <w:pStyle w:val="96"/>
              <w:ind w:firstLine="500"/>
              <w:rPr>
                <w:spacing w:val="10"/>
              </w:rPr>
            </w:pPr>
            <w:r>
              <w:rPr>
                <w:rFonts w:hint="eastAsia"/>
                <w:spacing w:val="10"/>
              </w:rPr>
              <w:t>（5）应急预案</w:t>
            </w:r>
          </w:p>
          <w:p w14:paraId="1EF89C3E">
            <w:pPr>
              <w:pStyle w:val="96"/>
              <w:ind w:firstLine="500"/>
              <w:rPr>
                <w:spacing w:val="10"/>
              </w:rPr>
            </w:pPr>
            <w:r>
              <w:rPr>
                <w:rFonts w:hint="eastAsia"/>
                <w:spacing w:val="10"/>
              </w:rPr>
              <w:t>企业应对勘探过程进行环境风险因素识别，制定突发环境事件应急预案并定期进行演练。配备必要的物质及设施，根据事故情况及时按照突发环境事件应急预案启动应急措施。</w:t>
            </w:r>
          </w:p>
          <w:p w14:paraId="428EAC79">
            <w:pPr>
              <w:adjustRightInd w:val="0"/>
              <w:snapToGrid w:val="0"/>
              <w:spacing w:line="360" w:lineRule="auto"/>
              <w:ind w:firstLine="520" w:firstLineChars="200"/>
              <w:rPr>
                <w:bCs/>
                <w:spacing w:val="10"/>
                <w:sz w:val="24"/>
              </w:rPr>
            </w:pPr>
          </w:p>
          <w:p w14:paraId="767B6F67">
            <w:pPr>
              <w:adjustRightInd w:val="0"/>
              <w:snapToGrid w:val="0"/>
              <w:spacing w:line="360" w:lineRule="auto"/>
              <w:ind w:firstLine="520" w:firstLineChars="200"/>
              <w:rPr>
                <w:bCs/>
                <w:spacing w:val="10"/>
                <w:sz w:val="24"/>
              </w:rPr>
            </w:pPr>
          </w:p>
          <w:p w14:paraId="786DAD43">
            <w:pPr>
              <w:adjustRightInd w:val="0"/>
              <w:snapToGrid w:val="0"/>
              <w:spacing w:line="360" w:lineRule="auto"/>
              <w:ind w:firstLine="520" w:firstLineChars="200"/>
              <w:rPr>
                <w:bCs/>
                <w:spacing w:val="10"/>
                <w:sz w:val="24"/>
              </w:rPr>
            </w:pPr>
          </w:p>
          <w:p w14:paraId="229CE472">
            <w:pPr>
              <w:adjustRightInd w:val="0"/>
              <w:snapToGrid w:val="0"/>
              <w:spacing w:line="360" w:lineRule="auto"/>
              <w:ind w:firstLine="520" w:firstLineChars="200"/>
              <w:rPr>
                <w:bCs/>
                <w:spacing w:val="10"/>
                <w:sz w:val="24"/>
              </w:rPr>
            </w:pPr>
          </w:p>
          <w:p w14:paraId="77F49BB0">
            <w:pPr>
              <w:adjustRightInd w:val="0"/>
              <w:snapToGrid w:val="0"/>
              <w:spacing w:line="360" w:lineRule="auto"/>
              <w:ind w:firstLine="520" w:firstLineChars="200"/>
              <w:rPr>
                <w:bCs/>
                <w:spacing w:val="10"/>
                <w:sz w:val="24"/>
              </w:rPr>
            </w:pPr>
          </w:p>
        </w:tc>
      </w:tr>
      <w:tr w14:paraId="04FE69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2102" w:hRule="atLeast"/>
          <w:jc w:val="center"/>
        </w:trPr>
        <w:tc>
          <w:tcPr>
            <w:tcW w:w="307" w:type="dxa"/>
            <w:vAlign w:val="center"/>
          </w:tcPr>
          <w:p w14:paraId="3A6D71CA">
            <w:pPr>
              <w:adjustRightInd w:val="0"/>
              <w:snapToGrid w:val="0"/>
              <w:jc w:val="center"/>
              <w:rPr>
                <w:rFonts w:ascii="宋体" w:hAnsi="宋体" w:eastAsia="宋体"/>
                <w:bCs/>
                <w:spacing w:val="10"/>
                <w:sz w:val="24"/>
              </w:rPr>
            </w:pPr>
            <w:r>
              <w:rPr>
                <w:rFonts w:ascii="宋体" w:hAnsi="宋体" w:eastAsia="宋体"/>
                <w:bCs/>
                <w:sz w:val="24"/>
              </w:rPr>
              <w:t>其他</w:t>
            </w:r>
          </w:p>
        </w:tc>
        <w:tc>
          <w:tcPr>
            <w:tcW w:w="8903" w:type="dxa"/>
          </w:tcPr>
          <w:p w14:paraId="13B328A1">
            <w:pPr>
              <w:pStyle w:val="96"/>
              <w:ind w:firstLine="0" w:firstLineChars="0"/>
              <w:rPr>
                <w:b/>
                <w:bCs/>
                <w:spacing w:val="10"/>
              </w:rPr>
            </w:pPr>
            <w:r>
              <w:rPr>
                <w:b/>
                <w:bCs/>
              </w:rPr>
              <w:t>1</w:t>
            </w:r>
            <w:r>
              <w:rPr>
                <w:rFonts w:hint="eastAsia"/>
                <w:b/>
                <w:bCs/>
              </w:rPr>
              <w:t>、环境管理</w:t>
            </w:r>
          </w:p>
          <w:p w14:paraId="5B2A5E96">
            <w:pPr>
              <w:pStyle w:val="96"/>
              <w:ind w:firstLine="500"/>
              <w:rPr>
                <w:spacing w:val="10"/>
              </w:rPr>
            </w:pPr>
            <w:r>
              <w:rPr>
                <w:rFonts w:hint="eastAsia"/>
                <w:spacing w:val="10"/>
              </w:rPr>
              <w:t>（1）环境管理</w:t>
            </w:r>
          </w:p>
          <w:p w14:paraId="037B7FE1">
            <w:pPr>
              <w:pStyle w:val="96"/>
              <w:ind w:firstLine="500"/>
              <w:rPr>
                <w:spacing w:val="10"/>
              </w:rPr>
            </w:pPr>
            <w:r>
              <w:rPr>
                <w:rFonts w:hint="eastAsia"/>
                <w:spacing w:val="10"/>
              </w:rPr>
              <w:t>根据《石油天然气开采业污染防治技术政策》（标准号：公告2012年第18号）：企业应制定环境保护管理规定，建立并运行健康、安全与环境管理体系；加强</w:t>
            </w:r>
            <w:r>
              <w:rPr>
                <w:rFonts w:hint="eastAsia"/>
              </w:rPr>
              <w:t>致密气</w:t>
            </w:r>
            <w:r>
              <w:rPr>
                <w:rFonts w:hint="eastAsia"/>
                <w:spacing w:val="10"/>
              </w:rPr>
              <w:t>勘探开发过程的环境监督管理，建立环境保护人员培训制度，环境监测人员、统计人员、污染治理设施操作人员应经培训合格后上岗。</w:t>
            </w:r>
          </w:p>
          <w:p w14:paraId="33E596FB">
            <w:pPr>
              <w:pStyle w:val="96"/>
              <w:ind w:firstLine="500"/>
              <w:rPr>
                <w:spacing w:val="10"/>
              </w:rPr>
            </w:pPr>
            <w:r>
              <w:rPr>
                <w:rFonts w:hint="eastAsia"/>
                <w:spacing w:val="10"/>
              </w:rPr>
              <w:t>（2）机构设置</w:t>
            </w:r>
          </w:p>
          <w:p w14:paraId="09DDF686">
            <w:pPr>
              <w:pStyle w:val="96"/>
              <w:ind w:firstLine="500"/>
              <w:rPr>
                <w:spacing w:val="10"/>
              </w:rPr>
            </w:pPr>
            <w:r>
              <w:rPr>
                <w:rFonts w:hint="eastAsia"/>
                <w:spacing w:val="10"/>
              </w:rPr>
              <w:t>根据企业的实际情况，本项目应配置</w:t>
            </w:r>
            <w:r>
              <w:rPr>
                <w:spacing w:val="10"/>
              </w:rPr>
              <w:t>3</w:t>
            </w:r>
            <w:r>
              <w:rPr>
                <w:rFonts w:hint="eastAsia"/>
                <w:spacing w:val="10"/>
              </w:rPr>
              <w:t>名专职环境保护管理人员，项目部应相应配置1名环保管理人员。3名专职环境保护管理人员负责井场的环境管理工作，要及时提出存在的主要环境问题及有关建议，针对井场实际情况建立相应的环保规章制度，有效地落实环保措施，其主要职能应包括：</w:t>
            </w:r>
          </w:p>
          <w:p w14:paraId="23473644">
            <w:pPr>
              <w:pStyle w:val="96"/>
              <w:ind w:firstLine="500"/>
              <w:rPr>
                <w:spacing w:val="10"/>
              </w:rPr>
            </w:pPr>
            <w:r>
              <w:rPr>
                <w:rFonts w:hint="eastAsia"/>
                <w:spacing w:val="10"/>
              </w:rPr>
              <w:t>①贯彻执行国家、地方和上级主管部门制定的环境保护方针、政策和法规；</w:t>
            </w:r>
          </w:p>
          <w:p w14:paraId="7DF9A265">
            <w:pPr>
              <w:pStyle w:val="96"/>
              <w:ind w:firstLine="500"/>
              <w:rPr>
                <w:spacing w:val="10"/>
              </w:rPr>
            </w:pPr>
            <w:r>
              <w:rPr>
                <w:rFonts w:hint="eastAsia"/>
                <w:spacing w:val="10"/>
              </w:rPr>
              <w:t>②负责本项目环境保护工作计划的制定和实施；</w:t>
            </w:r>
          </w:p>
          <w:p w14:paraId="6CD7F8C5">
            <w:pPr>
              <w:pStyle w:val="96"/>
              <w:ind w:firstLine="500"/>
              <w:rPr>
                <w:spacing w:val="10"/>
              </w:rPr>
            </w:pPr>
            <w:r>
              <w:rPr>
                <w:rFonts w:hint="eastAsia"/>
                <w:spacing w:val="10"/>
              </w:rPr>
              <w:t>③监督环保设施的运行及污染源控制；</w:t>
            </w:r>
          </w:p>
          <w:p w14:paraId="346F95FA">
            <w:pPr>
              <w:pStyle w:val="96"/>
              <w:ind w:firstLine="500"/>
              <w:rPr>
                <w:spacing w:val="10"/>
              </w:rPr>
            </w:pPr>
            <w:r>
              <w:rPr>
                <w:rFonts w:hint="eastAsia"/>
                <w:spacing w:val="10"/>
              </w:rPr>
              <w:t>④组织落实以环境保护为主要内容的技术措施、方案，监督“三同时”执行情况；</w:t>
            </w:r>
          </w:p>
          <w:p w14:paraId="37D96DC4">
            <w:pPr>
              <w:pStyle w:val="96"/>
              <w:ind w:firstLine="500"/>
              <w:rPr>
                <w:spacing w:val="10"/>
              </w:rPr>
            </w:pPr>
            <w:r>
              <w:rPr>
                <w:rFonts w:hint="eastAsia"/>
                <w:spacing w:val="10"/>
              </w:rPr>
              <w:t>（3）环境管理制度制定</w:t>
            </w:r>
          </w:p>
          <w:p w14:paraId="2B54B8CB">
            <w:pPr>
              <w:pStyle w:val="96"/>
              <w:ind w:firstLine="500"/>
              <w:rPr>
                <w:spacing w:val="10"/>
              </w:rPr>
            </w:pPr>
            <w:r>
              <w:rPr>
                <w:rFonts w:hint="eastAsia"/>
                <w:spacing w:val="10"/>
              </w:rPr>
              <w:t>制定相应的企业环境保护制度。如：“三废综合利用方法”、“环境保护奖惩条例”等，并建立环保设施的技术档案，使环境管理工作有法可依，有章可循，并逐步纳入法制化、标准化轨道。</w:t>
            </w:r>
          </w:p>
          <w:p w14:paraId="6C420D40">
            <w:pPr>
              <w:adjustRightInd w:val="0"/>
              <w:snapToGrid w:val="0"/>
              <w:spacing w:line="360" w:lineRule="auto"/>
              <w:ind w:firstLine="520" w:firstLineChars="200"/>
              <w:rPr>
                <w:bCs/>
                <w:spacing w:val="10"/>
                <w:sz w:val="24"/>
              </w:rPr>
            </w:pPr>
          </w:p>
          <w:p w14:paraId="3D03315C">
            <w:pPr>
              <w:adjustRightInd w:val="0"/>
              <w:snapToGrid w:val="0"/>
              <w:spacing w:line="360" w:lineRule="auto"/>
              <w:ind w:firstLine="520" w:firstLineChars="200"/>
              <w:rPr>
                <w:bCs/>
                <w:spacing w:val="10"/>
                <w:sz w:val="24"/>
              </w:rPr>
            </w:pPr>
          </w:p>
          <w:p w14:paraId="3E89597C">
            <w:pPr>
              <w:adjustRightInd w:val="0"/>
              <w:snapToGrid w:val="0"/>
              <w:spacing w:line="360" w:lineRule="auto"/>
              <w:ind w:firstLine="520" w:firstLineChars="200"/>
              <w:rPr>
                <w:bCs/>
                <w:spacing w:val="10"/>
                <w:sz w:val="24"/>
              </w:rPr>
            </w:pPr>
          </w:p>
          <w:p w14:paraId="363AB354">
            <w:pPr>
              <w:adjustRightInd w:val="0"/>
              <w:snapToGrid w:val="0"/>
              <w:spacing w:line="360" w:lineRule="auto"/>
              <w:ind w:firstLine="520" w:firstLineChars="200"/>
              <w:rPr>
                <w:bCs/>
                <w:spacing w:val="10"/>
                <w:sz w:val="24"/>
              </w:rPr>
            </w:pPr>
          </w:p>
        </w:tc>
      </w:tr>
      <w:tr w14:paraId="254226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3121" w:hRule="atLeast"/>
          <w:jc w:val="center"/>
        </w:trPr>
        <w:tc>
          <w:tcPr>
            <w:tcW w:w="307" w:type="dxa"/>
            <w:vAlign w:val="center"/>
          </w:tcPr>
          <w:p w14:paraId="2F2A8745">
            <w:pPr>
              <w:pStyle w:val="94"/>
              <w:rPr>
                <w:color w:val="auto"/>
                <w:sz w:val="24"/>
                <w:szCs w:val="24"/>
              </w:rPr>
            </w:pPr>
            <w:r>
              <w:rPr>
                <w:color w:val="auto"/>
                <w:sz w:val="24"/>
                <w:szCs w:val="24"/>
              </w:rPr>
              <w:t>环</w:t>
            </w:r>
          </w:p>
          <w:p w14:paraId="0D942A3A">
            <w:pPr>
              <w:pStyle w:val="94"/>
              <w:rPr>
                <w:color w:val="auto"/>
                <w:spacing w:val="10"/>
              </w:rPr>
            </w:pPr>
            <w:r>
              <w:rPr>
                <w:color w:val="auto"/>
                <w:sz w:val="24"/>
                <w:szCs w:val="24"/>
              </w:rPr>
              <w:t>保投资</w:t>
            </w:r>
          </w:p>
        </w:tc>
        <w:tc>
          <w:tcPr>
            <w:tcW w:w="8903" w:type="dxa"/>
          </w:tcPr>
          <w:p w14:paraId="0824A37A">
            <w:pPr>
              <w:pStyle w:val="96"/>
              <w:ind w:firstLine="480"/>
            </w:pPr>
            <w:r>
              <w:rPr>
                <w:rFonts w:hint="eastAsia"/>
              </w:rPr>
              <w:t>本项目总投资为9219万元，环保投资约441万元，环保投资占总投资的4.78%。本项目污染防治措施汇总及环保投资估算见下表。</w:t>
            </w:r>
          </w:p>
          <w:p w14:paraId="00A03FD6">
            <w:pPr>
              <w:pStyle w:val="19"/>
              <w:keepNext/>
            </w:pPr>
            <w:r>
              <w:t xml:space="preserve">表 </w:t>
            </w:r>
            <w:r>
              <w:fldChar w:fldCharType="begin"/>
            </w:r>
            <w:r>
              <w:instrText xml:space="preserve"> SEQ 表 \* ARABIC </w:instrText>
            </w:r>
            <w:r>
              <w:fldChar w:fldCharType="separate"/>
            </w:r>
            <w:r>
              <w:t>38</w:t>
            </w:r>
            <w:r>
              <w:fldChar w:fldCharType="end"/>
            </w:r>
            <w:r>
              <w:rPr>
                <w:rFonts w:hint="eastAsia"/>
              </w:rPr>
              <w:t>项目污染防治措施汇总表</w:t>
            </w:r>
          </w:p>
          <w:tbl>
            <w:tblPr>
              <w:tblStyle w:val="72"/>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 w:type="dxa"/>
                <w:bottom w:w="0" w:type="dxa"/>
                <w:right w:w="10" w:type="dxa"/>
              </w:tblCellMar>
            </w:tblPr>
            <w:tblGrid>
              <w:gridCol w:w="789"/>
              <w:gridCol w:w="1134"/>
              <w:gridCol w:w="1982"/>
              <w:gridCol w:w="4398"/>
              <w:gridCol w:w="550"/>
            </w:tblGrid>
            <w:tr w14:paraId="288020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789" w:type="dxa"/>
                  <w:tcBorders>
                    <w:tl2br w:val="single" w:color="000000" w:sz="4" w:space="0"/>
                  </w:tcBorders>
                  <w:vAlign w:val="center"/>
                </w:tcPr>
                <w:p w14:paraId="1EBDB748">
                  <w:pPr>
                    <w:pStyle w:val="94"/>
                    <w:rPr>
                      <w:color w:val="auto"/>
                    </w:rPr>
                  </w:pPr>
                  <w:r>
                    <w:rPr>
                      <w:rFonts w:hint="eastAsia"/>
                      <w:color w:val="auto"/>
                    </w:rPr>
                    <w:t xml:space="preserve">  </w:t>
                  </w:r>
                  <w:r>
                    <w:rPr>
                      <w:color w:val="auto"/>
                    </w:rPr>
                    <w:t>内容</w:t>
                  </w:r>
                </w:p>
                <w:p w14:paraId="6F2D0405">
                  <w:pPr>
                    <w:pStyle w:val="94"/>
                    <w:jc w:val="both"/>
                    <w:rPr>
                      <w:color w:val="auto"/>
                    </w:rPr>
                  </w:pPr>
                  <w:r>
                    <w:rPr>
                      <w:color w:val="auto"/>
                    </w:rPr>
                    <w:t>类别</w:t>
                  </w:r>
                </w:p>
              </w:tc>
              <w:tc>
                <w:tcPr>
                  <w:tcW w:w="1134" w:type="dxa"/>
                  <w:vAlign w:val="center"/>
                </w:tcPr>
                <w:p w14:paraId="2D00285E">
                  <w:pPr>
                    <w:pStyle w:val="94"/>
                    <w:rPr>
                      <w:color w:val="auto"/>
                    </w:rPr>
                  </w:pPr>
                  <w:r>
                    <w:rPr>
                      <w:color w:val="auto"/>
                    </w:rPr>
                    <w:t>排放源</w:t>
                  </w:r>
                </w:p>
              </w:tc>
              <w:tc>
                <w:tcPr>
                  <w:tcW w:w="1982" w:type="dxa"/>
                  <w:vAlign w:val="center"/>
                </w:tcPr>
                <w:p w14:paraId="7A1979A2">
                  <w:pPr>
                    <w:pStyle w:val="94"/>
                    <w:rPr>
                      <w:color w:val="auto"/>
                    </w:rPr>
                  </w:pPr>
                  <w:r>
                    <w:rPr>
                      <w:color w:val="auto"/>
                    </w:rPr>
                    <w:t>污染物名称</w:t>
                  </w:r>
                </w:p>
              </w:tc>
              <w:tc>
                <w:tcPr>
                  <w:tcW w:w="0" w:type="auto"/>
                  <w:vAlign w:val="center"/>
                </w:tcPr>
                <w:p w14:paraId="3E5C33BD">
                  <w:pPr>
                    <w:pStyle w:val="94"/>
                    <w:rPr>
                      <w:color w:val="auto"/>
                    </w:rPr>
                  </w:pPr>
                  <w:r>
                    <w:rPr>
                      <w:color w:val="auto"/>
                    </w:rPr>
                    <w:t>环保设施及措施</w:t>
                  </w:r>
                </w:p>
              </w:tc>
              <w:tc>
                <w:tcPr>
                  <w:tcW w:w="0" w:type="auto"/>
                  <w:vAlign w:val="center"/>
                </w:tcPr>
                <w:p w14:paraId="7239A51C">
                  <w:pPr>
                    <w:pStyle w:val="94"/>
                    <w:rPr>
                      <w:color w:val="auto"/>
                    </w:rPr>
                  </w:pPr>
                  <w:r>
                    <w:rPr>
                      <w:color w:val="auto"/>
                    </w:rPr>
                    <w:t>投资（万元）</w:t>
                  </w:r>
                </w:p>
              </w:tc>
            </w:tr>
            <w:tr w14:paraId="0C1B3B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789" w:type="dxa"/>
                  <w:vMerge w:val="restart"/>
                  <w:vAlign w:val="center"/>
                </w:tcPr>
                <w:p w14:paraId="56589184">
                  <w:pPr>
                    <w:pStyle w:val="94"/>
                    <w:rPr>
                      <w:color w:val="auto"/>
                    </w:rPr>
                  </w:pPr>
                  <w:r>
                    <w:rPr>
                      <w:color w:val="auto"/>
                    </w:rPr>
                    <w:t>废气</w:t>
                  </w:r>
                </w:p>
              </w:tc>
              <w:tc>
                <w:tcPr>
                  <w:tcW w:w="1134" w:type="dxa"/>
                  <w:vAlign w:val="center"/>
                </w:tcPr>
                <w:p w14:paraId="1ED355EA">
                  <w:pPr>
                    <w:pStyle w:val="94"/>
                    <w:rPr>
                      <w:color w:val="auto"/>
                    </w:rPr>
                  </w:pPr>
                  <w:r>
                    <w:rPr>
                      <w:color w:val="auto"/>
                    </w:rPr>
                    <w:t>井场平整、道路拓宽、池体挖掘</w:t>
                  </w:r>
                </w:p>
              </w:tc>
              <w:tc>
                <w:tcPr>
                  <w:tcW w:w="1982" w:type="dxa"/>
                  <w:vMerge w:val="restart"/>
                  <w:vAlign w:val="center"/>
                </w:tcPr>
                <w:p w14:paraId="2C93A722">
                  <w:pPr>
                    <w:pStyle w:val="94"/>
                    <w:rPr>
                      <w:color w:val="auto"/>
                    </w:rPr>
                  </w:pPr>
                  <w:r>
                    <w:rPr>
                      <w:color w:val="auto"/>
                    </w:rPr>
                    <w:t>扬尘</w:t>
                  </w:r>
                </w:p>
              </w:tc>
              <w:tc>
                <w:tcPr>
                  <w:tcW w:w="0" w:type="auto"/>
                  <w:vAlign w:val="center"/>
                </w:tcPr>
                <w:p w14:paraId="377F94E0">
                  <w:pPr>
                    <w:pStyle w:val="94"/>
                    <w:rPr>
                      <w:color w:val="auto"/>
                    </w:rPr>
                  </w:pPr>
                  <w:r>
                    <w:rPr>
                      <w:color w:val="auto"/>
                    </w:rPr>
                    <w:t>洒水抑尘</w:t>
                  </w:r>
                </w:p>
              </w:tc>
              <w:tc>
                <w:tcPr>
                  <w:tcW w:w="0" w:type="auto"/>
                  <w:vAlign w:val="center"/>
                </w:tcPr>
                <w:p w14:paraId="347F20D4">
                  <w:pPr>
                    <w:pStyle w:val="94"/>
                    <w:rPr>
                      <w:color w:val="auto"/>
                    </w:rPr>
                  </w:pPr>
                  <w:r>
                    <w:rPr>
                      <w:rFonts w:hint="eastAsia"/>
                      <w:color w:val="auto"/>
                    </w:rPr>
                    <w:t>20</w:t>
                  </w:r>
                </w:p>
              </w:tc>
            </w:tr>
            <w:tr w14:paraId="06AF54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789" w:type="dxa"/>
                  <w:vMerge w:val="continue"/>
                  <w:vAlign w:val="center"/>
                </w:tcPr>
                <w:p w14:paraId="0BC5CF0E">
                  <w:pPr>
                    <w:pStyle w:val="94"/>
                    <w:rPr>
                      <w:color w:val="auto"/>
                    </w:rPr>
                  </w:pPr>
                </w:p>
              </w:tc>
              <w:tc>
                <w:tcPr>
                  <w:tcW w:w="1134" w:type="dxa"/>
                  <w:vAlign w:val="center"/>
                </w:tcPr>
                <w:p w14:paraId="3EA4F8BE">
                  <w:pPr>
                    <w:pStyle w:val="94"/>
                    <w:rPr>
                      <w:color w:val="auto"/>
                    </w:rPr>
                  </w:pPr>
                  <w:r>
                    <w:rPr>
                      <w:color w:val="auto"/>
                    </w:rPr>
                    <w:t>表土、材料堆放</w:t>
                  </w:r>
                </w:p>
              </w:tc>
              <w:tc>
                <w:tcPr>
                  <w:tcW w:w="1982" w:type="dxa"/>
                  <w:vMerge w:val="continue"/>
                  <w:vAlign w:val="center"/>
                </w:tcPr>
                <w:p w14:paraId="59E774C0">
                  <w:pPr>
                    <w:pStyle w:val="94"/>
                    <w:rPr>
                      <w:color w:val="auto"/>
                    </w:rPr>
                  </w:pPr>
                </w:p>
              </w:tc>
              <w:tc>
                <w:tcPr>
                  <w:tcW w:w="0" w:type="auto"/>
                  <w:vAlign w:val="center"/>
                </w:tcPr>
                <w:p w14:paraId="1F76E0E3">
                  <w:pPr>
                    <w:pStyle w:val="94"/>
                    <w:rPr>
                      <w:color w:val="auto"/>
                    </w:rPr>
                  </w:pPr>
                  <w:r>
                    <w:rPr>
                      <w:color w:val="auto"/>
                    </w:rPr>
                    <w:t>以隔尘布完全覆盖</w:t>
                  </w:r>
                </w:p>
              </w:tc>
              <w:tc>
                <w:tcPr>
                  <w:tcW w:w="0" w:type="auto"/>
                  <w:vAlign w:val="center"/>
                </w:tcPr>
                <w:p w14:paraId="2E9E36F6">
                  <w:pPr>
                    <w:pStyle w:val="94"/>
                    <w:rPr>
                      <w:color w:val="auto"/>
                    </w:rPr>
                  </w:pPr>
                  <w:r>
                    <w:rPr>
                      <w:rFonts w:hint="eastAsia"/>
                      <w:color w:val="auto"/>
                    </w:rPr>
                    <w:t>25</w:t>
                  </w:r>
                </w:p>
              </w:tc>
            </w:tr>
            <w:tr w14:paraId="6B2529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789" w:type="dxa"/>
                  <w:vMerge w:val="continue"/>
                  <w:vAlign w:val="center"/>
                </w:tcPr>
                <w:p w14:paraId="0F5084D6">
                  <w:pPr>
                    <w:pStyle w:val="94"/>
                    <w:rPr>
                      <w:color w:val="auto"/>
                    </w:rPr>
                  </w:pPr>
                </w:p>
              </w:tc>
              <w:tc>
                <w:tcPr>
                  <w:tcW w:w="1134" w:type="dxa"/>
                  <w:vAlign w:val="center"/>
                </w:tcPr>
                <w:p w14:paraId="1F04AF41">
                  <w:pPr>
                    <w:pStyle w:val="94"/>
                    <w:rPr>
                      <w:color w:val="auto"/>
                    </w:rPr>
                  </w:pPr>
                  <w:r>
                    <w:rPr>
                      <w:color w:val="auto"/>
                    </w:rPr>
                    <w:t>车辆尾气</w:t>
                  </w:r>
                </w:p>
              </w:tc>
              <w:tc>
                <w:tcPr>
                  <w:tcW w:w="1982" w:type="dxa"/>
                  <w:vAlign w:val="center"/>
                </w:tcPr>
                <w:p w14:paraId="11C41C38">
                  <w:pPr>
                    <w:pStyle w:val="94"/>
                    <w:rPr>
                      <w:color w:val="auto"/>
                    </w:rPr>
                  </w:pPr>
                  <w:r>
                    <w:rPr>
                      <w:color w:val="auto"/>
                    </w:rPr>
                    <w:t>NOx、CO和CH</w:t>
                  </w:r>
                </w:p>
              </w:tc>
              <w:tc>
                <w:tcPr>
                  <w:tcW w:w="0" w:type="auto"/>
                  <w:vAlign w:val="center"/>
                </w:tcPr>
                <w:p w14:paraId="2B7B4E63">
                  <w:pPr>
                    <w:pStyle w:val="94"/>
                    <w:rPr>
                      <w:color w:val="auto"/>
                    </w:rPr>
                  </w:pPr>
                  <w:r>
                    <w:rPr>
                      <w:color w:val="auto"/>
                    </w:rPr>
                    <w:t>使用较清洁燃料，加强施工车辆的作业管理</w:t>
                  </w:r>
                </w:p>
              </w:tc>
              <w:tc>
                <w:tcPr>
                  <w:tcW w:w="0" w:type="auto"/>
                  <w:vMerge w:val="restart"/>
                  <w:vAlign w:val="center"/>
                </w:tcPr>
                <w:p w14:paraId="347AEEBA">
                  <w:pPr>
                    <w:pStyle w:val="94"/>
                    <w:rPr>
                      <w:color w:val="auto"/>
                    </w:rPr>
                  </w:pPr>
                  <w:r>
                    <w:rPr>
                      <w:color w:val="auto"/>
                    </w:rPr>
                    <w:t>/</w:t>
                  </w:r>
                </w:p>
              </w:tc>
            </w:tr>
            <w:tr w14:paraId="3B99E4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789" w:type="dxa"/>
                  <w:vMerge w:val="continue"/>
                  <w:vAlign w:val="center"/>
                </w:tcPr>
                <w:p w14:paraId="0BAFCB4C">
                  <w:pPr>
                    <w:pStyle w:val="94"/>
                    <w:rPr>
                      <w:color w:val="auto"/>
                    </w:rPr>
                  </w:pPr>
                </w:p>
              </w:tc>
              <w:tc>
                <w:tcPr>
                  <w:tcW w:w="1134" w:type="dxa"/>
                  <w:vAlign w:val="center"/>
                </w:tcPr>
                <w:p w14:paraId="7216CA3E">
                  <w:pPr>
                    <w:pStyle w:val="94"/>
                    <w:rPr>
                      <w:color w:val="auto"/>
                    </w:rPr>
                  </w:pPr>
                  <w:r>
                    <w:rPr>
                      <w:color w:val="auto"/>
                    </w:rPr>
                    <w:t>柴油机</w:t>
                  </w:r>
                </w:p>
              </w:tc>
              <w:tc>
                <w:tcPr>
                  <w:tcW w:w="1982" w:type="dxa"/>
                  <w:vAlign w:val="center"/>
                </w:tcPr>
                <w:p w14:paraId="6F59B018">
                  <w:pPr>
                    <w:pStyle w:val="94"/>
                    <w:rPr>
                      <w:color w:val="auto"/>
                    </w:rPr>
                  </w:pPr>
                  <w:r>
                    <w:rPr>
                      <w:color w:val="auto"/>
                    </w:rPr>
                    <w:t>SO</w:t>
                  </w:r>
                  <w:r>
                    <w:rPr>
                      <w:color w:val="auto"/>
                      <w:vertAlign w:val="subscript"/>
                    </w:rPr>
                    <w:t>2</w:t>
                  </w:r>
                  <w:r>
                    <w:rPr>
                      <w:color w:val="auto"/>
                    </w:rPr>
                    <w:t>、烟尘、NOx、CO、总烃</w:t>
                  </w:r>
                </w:p>
              </w:tc>
              <w:tc>
                <w:tcPr>
                  <w:tcW w:w="0" w:type="auto"/>
                  <w:vAlign w:val="center"/>
                </w:tcPr>
                <w:p w14:paraId="5EC5876C">
                  <w:pPr>
                    <w:pStyle w:val="94"/>
                    <w:rPr>
                      <w:color w:val="auto"/>
                    </w:rPr>
                  </w:pPr>
                  <w:r>
                    <w:rPr>
                      <w:color w:val="auto"/>
                    </w:rPr>
                    <w:t>使用含硫量低的柴油，调节好柴油机工况</w:t>
                  </w:r>
                </w:p>
              </w:tc>
              <w:tc>
                <w:tcPr>
                  <w:tcW w:w="0" w:type="auto"/>
                  <w:vMerge w:val="continue"/>
                  <w:vAlign w:val="center"/>
                </w:tcPr>
                <w:p w14:paraId="5AE91A11">
                  <w:pPr>
                    <w:pStyle w:val="94"/>
                    <w:rPr>
                      <w:color w:val="auto"/>
                    </w:rPr>
                  </w:pPr>
                </w:p>
              </w:tc>
            </w:tr>
            <w:tr w14:paraId="45A6B9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789" w:type="dxa"/>
                  <w:vMerge w:val="continue"/>
                  <w:vAlign w:val="center"/>
                </w:tcPr>
                <w:p w14:paraId="19D56E0C">
                  <w:pPr>
                    <w:pStyle w:val="94"/>
                    <w:rPr>
                      <w:color w:val="auto"/>
                    </w:rPr>
                  </w:pPr>
                </w:p>
              </w:tc>
              <w:tc>
                <w:tcPr>
                  <w:tcW w:w="1134" w:type="dxa"/>
                  <w:vAlign w:val="center"/>
                </w:tcPr>
                <w:p w14:paraId="2BEB8832">
                  <w:pPr>
                    <w:pStyle w:val="94"/>
                    <w:rPr>
                      <w:color w:val="auto"/>
                    </w:rPr>
                  </w:pPr>
                  <w:r>
                    <w:rPr>
                      <w:rFonts w:hint="eastAsia"/>
                      <w:color w:val="auto"/>
                    </w:rPr>
                    <w:t>致密气</w:t>
                  </w:r>
                  <w:r>
                    <w:rPr>
                      <w:color w:val="auto"/>
                    </w:rPr>
                    <w:t>点燃</w:t>
                  </w:r>
                </w:p>
              </w:tc>
              <w:tc>
                <w:tcPr>
                  <w:tcW w:w="1982" w:type="dxa"/>
                  <w:vAlign w:val="center"/>
                </w:tcPr>
                <w:p w14:paraId="05D4A4BC">
                  <w:pPr>
                    <w:pStyle w:val="94"/>
                    <w:rPr>
                      <w:color w:val="auto"/>
                    </w:rPr>
                  </w:pPr>
                  <w:r>
                    <w:rPr>
                      <w:color w:val="auto"/>
                    </w:rPr>
                    <w:t>NOx</w:t>
                  </w:r>
                </w:p>
              </w:tc>
              <w:tc>
                <w:tcPr>
                  <w:tcW w:w="0" w:type="auto"/>
                  <w:vAlign w:val="center"/>
                </w:tcPr>
                <w:p w14:paraId="49C0671C">
                  <w:pPr>
                    <w:pStyle w:val="94"/>
                    <w:rPr>
                      <w:color w:val="auto"/>
                    </w:rPr>
                  </w:pPr>
                  <w:r>
                    <w:rPr>
                      <w:color w:val="auto"/>
                    </w:rPr>
                    <w:t>各井场均建有</w:t>
                  </w:r>
                  <w:r>
                    <w:rPr>
                      <w:rFonts w:hint="eastAsia"/>
                      <w:color w:val="auto"/>
                    </w:rPr>
                    <w:t>点火方箱</w:t>
                  </w:r>
                  <w:r>
                    <w:rPr>
                      <w:color w:val="auto"/>
                    </w:rPr>
                    <w:t>，</w:t>
                  </w:r>
                  <w:r>
                    <w:rPr>
                      <w:rFonts w:hint="eastAsia"/>
                      <w:color w:val="auto"/>
                    </w:rPr>
                    <w:t>试气期</w:t>
                  </w:r>
                  <w:r>
                    <w:rPr>
                      <w:color w:val="auto"/>
                    </w:rPr>
                    <w:t>将</w:t>
                  </w:r>
                  <w:r>
                    <w:rPr>
                      <w:rFonts w:hint="eastAsia"/>
                      <w:color w:val="auto"/>
                    </w:rPr>
                    <w:t>致密气</w:t>
                  </w:r>
                  <w:r>
                    <w:rPr>
                      <w:color w:val="auto"/>
                    </w:rPr>
                    <w:t>通过</w:t>
                  </w:r>
                  <w:r>
                    <w:rPr>
                      <w:rFonts w:hint="eastAsia"/>
                      <w:color w:val="auto"/>
                    </w:rPr>
                    <w:t>点火方箱</w:t>
                  </w:r>
                  <w:r>
                    <w:rPr>
                      <w:color w:val="auto"/>
                    </w:rPr>
                    <w:t>点火排空</w:t>
                  </w:r>
                </w:p>
              </w:tc>
              <w:tc>
                <w:tcPr>
                  <w:tcW w:w="0" w:type="auto"/>
                  <w:vAlign w:val="center"/>
                </w:tcPr>
                <w:p w14:paraId="75407A74">
                  <w:pPr>
                    <w:pStyle w:val="94"/>
                    <w:rPr>
                      <w:color w:val="auto"/>
                    </w:rPr>
                  </w:pPr>
                  <w:r>
                    <w:rPr>
                      <w:rFonts w:hint="eastAsia"/>
                      <w:color w:val="auto"/>
                    </w:rPr>
                    <w:t>15</w:t>
                  </w:r>
                </w:p>
              </w:tc>
            </w:tr>
            <w:tr w14:paraId="5644F0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789" w:type="dxa"/>
                  <w:vMerge w:val="restart"/>
                  <w:vAlign w:val="center"/>
                </w:tcPr>
                <w:p w14:paraId="28333C34">
                  <w:pPr>
                    <w:pStyle w:val="94"/>
                    <w:rPr>
                      <w:color w:val="auto"/>
                    </w:rPr>
                  </w:pPr>
                  <w:r>
                    <w:rPr>
                      <w:color w:val="auto"/>
                    </w:rPr>
                    <w:t>废水</w:t>
                  </w:r>
                </w:p>
              </w:tc>
              <w:tc>
                <w:tcPr>
                  <w:tcW w:w="1134" w:type="dxa"/>
                  <w:vAlign w:val="center"/>
                </w:tcPr>
                <w:p w14:paraId="50994FFC">
                  <w:pPr>
                    <w:pStyle w:val="94"/>
                    <w:rPr>
                      <w:color w:val="auto"/>
                    </w:rPr>
                  </w:pPr>
                  <w:r>
                    <w:rPr>
                      <w:color w:val="auto"/>
                    </w:rPr>
                    <w:t>钻井废水</w:t>
                  </w:r>
                </w:p>
              </w:tc>
              <w:tc>
                <w:tcPr>
                  <w:tcW w:w="1982" w:type="dxa"/>
                  <w:vMerge w:val="restart"/>
                  <w:vAlign w:val="center"/>
                </w:tcPr>
                <w:p w14:paraId="249E601F">
                  <w:pPr>
                    <w:pStyle w:val="94"/>
                    <w:rPr>
                      <w:color w:val="auto"/>
                    </w:rPr>
                  </w:pPr>
                  <w:r>
                    <w:rPr>
                      <w:color w:val="auto"/>
                    </w:rPr>
                    <w:t>COD、BOD</w:t>
                  </w:r>
                  <w:r>
                    <w:rPr>
                      <w:color w:val="auto"/>
                      <w:vertAlign w:val="subscript"/>
                    </w:rPr>
                    <w:t>5</w:t>
                  </w:r>
                  <w:r>
                    <w:rPr>
                      <w:color w:val="auto"/>
                    </w:rPr>
                    <w:t>、SS</w:t>
                  </w:r>
                </w:p>
              </w:tc>
              <w:tc>
                <w:tcPr>
                  <w:tcW w:w="0" w:type="auto"/>
                  <w:vAlign w:val="center"/>
                </w:tcPr>
                <w:p w14:paraId="6ADA5C7A">
                  <w:pPr>
                    <w:pStyle w:val="94"/>
                    <w:rPr>
                      <w:color w:val="auto"/>
                    </w:rPr>
                  </w:pPr>
                  <w:r>
                    <w:rPr>
                      <w:color w:val="auto"/>
                    </w:rPr>
                    <w:t>各井场设</w:t>
                  </w:r>
                  <w:r>
                    <w:rPr>
                      <w:rFonts w:hint="eastAsia"/>
                      <w:color w:val="auto"/>
                    </w:rPr>
                    <w:t>4</w:t>
                  </w:r>
                  <w:r>
                    <w:rPr>
                      <w:color w:val="auto"/>
                    </w:rPr>
                    <w:t>00m</w:t>
                  </w:r>
                  <w:r>
                    <w:rPr>
                      <w:color w:val="auto"/>
                      <w:vertAlign w:val="superscript"/>
                    </w:rPr>
                    <w:t>3</w:t>
                  </w:r>
                  <w:r>
                    <w:rPr>
                      <w:color w:val="auto"/>
                    </w:rPr>
                    <w:t>的泥浆池，钻井废水经沉淀后用于泥浆系统补充水</w:t>
                  </w:r>
                </w:p>
              </w:tc>
              <w:tc>
                <w:tcPr>
                  <w:tcW w:w="0" w:type="auto"/>
                  <w:vAlign w:val="center"/>
                </w:tcPr>
                <w:p w14:paraId="561A9EA4">
                  <w:pPr>
                    <w:pStyle w:val="94"/>
                    <w:rPr>
                      <w:color w:val="auto"/>
                    </w:rPr>
                  </w:pPr>
                  <w:r>
                    <w:rPr>
                      <w:rFonts w:hint="eastAsia"/>
                      <w:color w:val="auto"/>
                    </w:rPr>
                    <w:t>35</w:t>
                  </w:r>
                </w:p>
              </w:tc>
            </w:tr>
            <w:tr w14:paraId="3E09F0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789" w:type="dxa"/>
                  <w:vMerge w:val="continue"/>
                  <w:vAlign w:val="center"/>
                </w:tcPr>
                <w:p w14:paraId="2DBF4FE2">
                  <w:pPr>
                    <w:pStyle w:val="94"/>
                    <w:rPr>
                      <w:color w:val="auto"/>
                    </w:rPr>
                  </w:pPr>
                </w:p>
              </w:tc>
              <w:tc>
                <w:tcPr>
                  <w:tcW w:w="1134" w:type="dxa"/>
                  <w:vAlign w:val="center"/>
                </w:tcPr>
                <w:p w14:paraId="1F6860E7">
                  <w:pPr>
                    <w:pStyle w:val="94"/>
                    <w:rPr>
                      <w:color w:val="auto"/>
                    </w:rPr>
                  </w:pPr>
                  <w:r>
                    <w:rPr>
                      <w:color w:val="auto"/>
                    </w:rPr>
                    <w:t>压裂</w:t>
                  </w:r>
                  <w:r>
                    <w:rPr>
                      <w:rFonts w:hint="eastAsia"/>
                      <w:color w:val="auto"/>
                    </w:rPr>
                    <w:t>返排液</w:t>
                  </w:r>
                </w:p>
              </w:tc>
              <w:tc>
                <w:tcPr>
                  <w:tcW w:w="1982" w:type="dxa"/>
                  <w:vMerge w:val="continue"/>
                  <w:vAlign w:val="center"/>
                </w:tcPr>
                <w:p w14:paraId="025A428E">
                  <w:pPr>
                    <w:pStyle w:val="94"/>
                    <w:rPr>
                      <w:color w:val="auto"/>
                    </w:rPr>
                  </w:pPr>
                </w:p>
              </w:tc>
              <w:tc>
                <w:tcPr>
                  <w:tcW w:w="0" w:type="auto"/>
                  <w:vAlign w:val="center"/>
                </w:tcPr>
                <w:p w14:paraId="5BB803BF">
                  <w:pPr>
                    <w:pStyle w:val="94"/>
                    <w:rPr>
                      <w:color w:val="auto"/>
                    </w:rPr>
                  </w:pPr>
                  <w:r>
                    <w:rPr>
                      <w:rFonts w:hint="eastAsia"/>
                      <w:color w:val="auto"/>
                    </w:rPr>
                    <w:t>压裂结束后部分压裂液由地层返排出来，井场采用软体罐或钢罐进行存储，根据返排液实际性能，若可实现重复利用，则对返排液进行处理后用于压裂液或钻井液的配制；若无法重复利用，则拉运至</w:t>
                  </w:r>
                  <w:r>
                    <w:rPr>
                      <w:rFonts w:hint="eastAsia"/>
                    </w:rPr>
                    <w:t>中联煤层气有限责任公司临兴西区</w:t>
                  </w:r>
                  <w:r>
                    <w:t>(山西区块)开发项目</w:t>
                  </w:r>
                  <w:r>
                    <w:rPr>
                      <w:rFonts w:hint="eastAsia"/>
                      <w:color w:val="auto"/>
                    </w:rPr>
                    <w:t>排采水处理</w:t>
                  </w:r>
                  <w:r>
                    <w:rPr>
                      <w:color w:val="auto"/>
                    </w:rPr>
                    <w:t>2站处理后回用</w:t>
                  </w:r>
                  <w:r>
                    <w:rPr>
                      <w:rFonts w:hint="eastAsia"/>
                      <w:color w:val="auto"/>
                    </w:rPr>
                    <w:t>，不外排。</w:t>
                  </w:r>
                </w:p>
              </w:tc>
              <w:tc>
                <w:tcPr>
                  <w:tcW w:w="0" w:type="auto"/>
                  <w:vAlign w:val="center"/>
                </w:tcPr>
                <w:p w14:paraId="3D749F24">
                  <w:pPr>
                    <w:pStyle w:val="94"/>
                    <w:rPr>
                      <w:color w:val="auto"/>
                    </w:rPr>
                  </w:pPr>
                  <w:r>
                    <w:rPr>
                      <w:rFonts w:hint="eastAsia"/>
                      <w:color w:val="auto"/>
                    </w:rPr>
                    <w:t>35</w:t>
                  </w:r>
                </w:p>
              </w:tc>
            </w:tr>
            <w:tr w14:paraId="38CB8F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789" w:type="dxa"/>
                  <w:vMerge w:val="continue"/>
                  <w:vAlign w:val="center"/>
                </w:tcPr>
                <w:p w14:paraId="1E4964F4">
                  <w:pPr>
                    <w:pStyle w:val="94"/>
                    <w:rPr>
                      <w:color w:val="auto"/>
                    </w:rPr>
                  </w:pPr>
                </w:p>
              </w:tc>
              <w:tc>
                <w:tcPr>
                  <w:tcW w:w="1134" w:type="dxa"/>
                  <w:vAlign w:val="center"/>
                </w:tcPr>
                <w:p w14:paraId="00B2B185">
                  <w:pPr>
                    <w:pStyle w:val="94"/>
                    <w:rPr>
                      <w:color w:val="auto"/>
                    </w:rPr>
                  </w:pPr>
                  <w:r>
                    <w:rPr>
                      <w:rFonts w:hint="eastAsia"/>
                      <w:color w:val="auto"/>
                    </w:rPr>
                    <w:t>采出水</w:t>
                  </w:r>
                </w:p>
              </w:tc>
              <w:tc>
                <w:tcPr>
                  <w:tcW w:w="1982" w:type="dxa"/>
                  <w:vAlign w:val="center"/>
                </w:tcPr>
                <w:p w14:paraId="6250FCBA">
                  <w:pPr>
                    <w:pStyle w:val="94"/>
                    <w:rPr>
                      <w:color w:val="auto"/>
                    </w:rPr>
                  </w:pPr>
                  <w:r>
                    <w:rPr>
                      <w:color w:val="auto"/>
                    </w:rPr>
                    <w:t>SS、矿化度</w:t>
                  </w:r>
                </w:p>
              </w:tc>
              <w:tc>
                <w:tcPr>
                  <w:tcW w:w="0" w:type="auto"/>
                  <w:vAlign w:val="center"/>
                </w:tcPr>
                <w:p w14:paraId="57FC5B5D">
                  <w:pPr>
                    <w:pStyle w:val="94"/>
                    <w:rPr>
                      <w:color w:val="auto"/>
                    </w:rPr>
                  </w:pPr>
                  <w:r>
                    <w:rPr>
                      <w:rFonts w:hint="eastAsia"/>
                      <w:color w:val="auto"/>
                    </w:rPr>
                    <w:t>各井场均配备储存水用的钢罐或软体罐，</w:t>
                  </w:r>
                  <w:r>
                    <w:rPr>
                      <w:rFonts w:hint="eastAsia"/>
                      <w:color w:val="auto"/>
                      <w:spacing w:val="10"/>
                    </w:rPr>
                    <w:t>采出水</w:t>
                  </w:r>
                  <w:r>
                    <w:rPr>
                      <w:rFonts w:hint="eastAsia"/>
                      <w:color w:val="auto"/>
                    </w:rPr>
                    <w:t>经沉淀后作为周边其他井场钻井液及压裂液配置的清水使用，无法重复利用的，拉运至</w:t>
                  </w:r>
                  <w:r>
                    <w:rPr>
                      <w:rFonts w:hint="eastAsia"/>
                    </w:rPr>
                    <w:t>中联煤层气有限责任公司临兴西区</w:t>
                  </w:r>
                  <w:r>
                    <w:t>(山西区块)开发项目</w:t>
                  </w:r>
                  <w:r>
                    <w:rPr>
                      <w:rFonts w:hint="eastAsia"/>
                      <w:color w:val="auto"/>
                    </w:rPr>
                    <w:t>排采水处理</w:t>
                  </w:r>
                  <w:r>
                    <w:rPr>
                      <w:color w:val="auto"/>
                    </w:rPr>
                    <w:t>2站处理后回用</w:t>
                  </w:r>
                  <w:r>
                    <w:rPr>
                      <w:rFonts w:hint="eastAsia"/>
                      <w:color w:val="auto"/>
                    </w:rPr>
                    <w:t>，不外排。</w:t>
                  </w:r>
                </w:p>
              </w:tc>
              <w:tc>
                <w:tcPr>
                  <w:tcW w:w="0" w:type="auto"/>
                  <w:vAlign w:val="center"/>
                </w:tcPr>
                <w:p w14:paraId="0749E464">
                  <w:pPr>
                    <w:pStyle w:val="94"/>
                    <w:rPr>
                      <w:color w:val="auto"/>
                    </w:rPr>
                  </w:pPr>
                  <w:r>
                    <w:rPr>
                      <w:rFonts w:hint="eastAsia"/>
                      <w:color w:val="auto"/>
                    </w:rPr>
                    <w:t>15</w:t>
                  </w:r>
                </w:p>
              </w:tc>
            </w:tr>
            <w:tr w14:paraId="38C1AF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789" w:type="dxa"/>
                  <w:vMerge w:val="continue"/>
                  <w:vAlign w:val="center"/>
                </w:tcPr>
                <w:p w14:paraId="744CB354">
                  <w:pPr>
                    <w:pStyle w:val="94"/>
                    <w:rPr>
                      <w:color w:val="auto"/>
                    </w:rPr>
                  </w:pPr>
                </w:p>
              </w:tc>
              <w:tc>
                <w:tcPr>
                  <w:tcW w:w="1134" w:type="dxa"/>
                  <w:vAlign w:val="center"/>
                </w:tcPr>
                <w:p w14:paraId="3D88A68F">
                  <w:pPr>
                    <w:pStyle w:val="94"/>
                    <w:rPr>
                      <w:color w:val="auto"/>
                    </w:rPr>
                  </w:pPr>
                  <w:r>
                    <w:rPr>
                      <w:color w:val="auto"/>
                    </w:rPr>
                    <w:t>生活污水</w:t>
                  </w:r>
                </w:p>
              </w:tc>
              <w:tc>
                <w:tcPr>
                  <w:tcW w:w="1982" w:type="dxa"/>
                  <w:vAlign w:val="center"/>
                </w:tcPr>
                <w:p w14:paraId="3E6A9E55">
                  <w:pPr>
                    <w:pStyle w:val="94"/>
                    <w:rPr>
                      <w:color w:val="auto"/>
                    </w:rPr>
                  </w:pPr>
                  <w:r>
                    <w:rPr>
                      <w:color w:val="auto"/>
                    </w:rPr>
                    <w:t>COD、BOD</w:t>
                  </w:r>
                  <w:r>
                    <w:rPr>
                      <w:color w:val="auto"/>
                      <w:vertAlign w:val="subscript"/>
                    </w:rPr>
                    <w:t>5</w:t>
                  </w:r>
                  <w:r>
                    <w:rPr>
                      <w:color w:val="auto"/>
                    </w:rPr>
                    <w:t>、SS、氨氮</w:t>
                  </w:r>
                </w:p>
              </w:tc>
              <w:tc>
                <w:tcPr>
                  <w:tcW w:w="0" w:type="auto"/>
                  <w:vAlign w:val="center"/>
                </w:tcPr>
                <w:p w14:paraId="1B48E950">
                  <w:pPr>
                    <w:pStyle w:val="94"/>
                    <w:rPr>
                      <w:color w:val="auto"/>
                    </w:rPr>
                  </w:pPr>
                  <w:r>
                    <w:rPr>
                      <w:color w:val="auto"/>
                    </w:rPr>
                    <w:t>经沉淀后用于周边道路洒水，不外排</w:t>
                  </w:r>
                </w:p>
              </w:tc>
              <w:tc>
                <w:tcPr>
                  <w:tcW w:w="0" w:type="auto"/>
                  <w:vAlign w:val="center"/>
                </w:tcPr>
                <w:p w14:paraId="572B7203">
                  <w:pPr>
                    <w:pStyle w:val="94"/>
                    <w:rPr>
                      <w:color w:val="auto"/>
                    </w:rPr>
                  </w:pPr>
                  <w:r>
                    <w:rPr>
                      <w:rFonts w:hint="eastAsia"/>
                      <w:color w:val="auto"/>
                    </w:rPr>
                    <w:t>20</w:t>
                  </w:r>
                </w:p>
              </w:tc>
            </w:tr>
            <w:tr w14:paraId="2A2E36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789" w:type="dxa"/>
                  <w:vMerge w:val="restart"/>
                  <w:vAlign w:val="center"/>
                </w:tcPr>
                <w:p w14:paraId="797CC6AD">
                  <w:pPr>
                    <w:pStyle w:val="94"/>
                    <w:rPr>
                      <w:color w:val="auto"/>
                    </w:rPr>
                  </w:pPr>
                  <w:r>
                    <w:rPr>
                      <w:color w:val="auto"/>
                    </w:rPr>
                    <w:t>固体废物</w:t>
                  </w:r>
                </w:p>
              </w:tc>
              <w:tc>
                <w:tcPr>
                  <w:tcW w:w="1134" w:type="dxa"/>
                  <w:vAlign w:val="center"/>
                </w:tcPr>
                <w:p w14:paraId="42DEC459">
                  <w:pPr>
                    <w:pStyle w:val="94"/>
                    <w:rPr>
                      <w:color w:val="auto"/>
                    </w:rPr>
                  </w:pPr>
                  <w:r>
                    <w:rPr>
                      <w:color w:val="auto"/>
                    </w:rPr>
                    <w:t>土石方</w:t>
                  </w:r>
                </w:p>
              </w:tc>
              <w:tc>
                <w:tcPr>
                  <w:tcW w:w="1982" w:type="dxa"/>
                  <w:vMerge w:val="restart"/>
                  <w:vAlign w:val="center"/>
                </w:tcPr>
                <w:p w14:paraId="771F5A94">
                  <w:pPr>
                    <w:pStyle w:val="94"/>
                    <w:rPr>
                      <w:color w:val="auto"/>
                    </w:rPr>
                  </w:pPr>
                  <w:r>
                    <w:rPr>
                      <w:color w:val="auto"/>
                    </w:rPr>
                    <w:t>一般工业固废</w:t>
                  </w:r>
                </w:p>
              </w:tc>
              <w:tc>
                <w:tcPr>
                  <w:tcW w:w="0" w:type="auto"/>
                  <w:vAlign w:val="center"/>
                </w:tcPr>
                <w:p w14:paraId="08E2CE37">
                  <w:pPr>
                    <w:pStyle w:val="94"/>
                    <w:rPr>
                      <w:color w:val="auto"/>
                    </w:rPr>
                  </w:pPr>
                  <w:r>
                    <w:rPr>
                      <w:color w:val="auto"/>
                    </w:rPr>
                    <w:t>构筑土坝、泥浆池土方回填、井场土地复垦、地基挖高填低处理</w:t>
                  </w:r>
                </w:p>
              </w:tc>
              <w:tc>
                <w:tcPr>
                  <w:tcW w:w="0" w:type="auto"/>
                  <w:vAlign w:val="center"/>
                </w:tcPr>
                <w:p w14:paraId="000DBD92">
                  <w:pPr>
                    <w:pStyle w:val="94"/>
                    <w:rPr>
                      <w:color w:val="auto"/>
                    </w:rPr>
                  </w:pPr>
                  <w:r>
                    <w:rPr>
                      <w:rFonts w:hint="eastAsia"/>
                      <w:color w:val="auto"/>
                    </w:rPr>
                    <w:t>60</w:t>
                  </w:r>
                </w:p>
              </w:tc>
            </w:tr>
            <w:tr w14:paraId="156298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789" w:type="dxa"/>
                  <w:vMerge w:val="continue"/>
                  <w:vAlign w:val="center"/>
                </w:tcPr>
                <w:p w14:paraId="49E3EF2C">
                  <w:pPr>
                    <w:pStyle w:val="94"/>
                    <w:rPr>
                      <w:color w:val="auto"/>
                    </w:rPr>
                  </w:pPr>
                </w:p>
              </w:tc>
              <w:tc>
                <w:tcPr>
                  <w:tcW w:w="1134" w:type="dxa"/>
                  <w:vAlign w:val="center"/>
                </w:tcPr>
                <w:p w14:paraId="485B3BC2">
                  <w:pPr>
                    <w:pStyle w:val="94"/>
                    <w:rPr>
                      <w:color w:val="auto"/>
                    </w:rPr>
                  </w:pPr>
                  <w:r>
                    <w:rPr>
                      <w:color w:val="auto"/>
                    </w:rPr>
                    <w:t>钻井岩屑</w:t>
                  </w:r>
                </w:p>
              </w:tc>
              <w:tc>
                <w:tcPr>
                  <w:tcW w:w="1982" w:type="dxa"/>
                  <w:vMerge w:val="continue"/>
                  <w:vAlign w:val="center"/>
                </w:tcPr>
                <w:p w14:paraId="6F1053F8">
                  <w:pPr>
                    <w:pStyle w:val="94"/>
                    <w:rPr>
                      <w:color w:val="auto"/>
                    </w:rPr>
                  </w:pPr>
                </w:p>
              </w:tc>
              <w:tc>
                <w:tcPr>
                  <w:tcW w:w="0" w:type="auto"/>
                  <w:vAlign w:val="center"/>
                </w:tcPr>
                <w:p w14:paraId="607250C5">
                  <w:pPr>
                    <w:pStyle w:val="94"/>
                    <w:rPr>
                      <w:color w:val="auto"/>
                    </w:rPr>
                  </w:pPr>
                  <w:r>
                    <w:rPr>
                      <w:color w:val="auto"/>
                    </w:rPr>
                    <w:t>振动筛将岩屑从泥浆中分离出来排入循环池。待干化后和废泥浆</w:t>
                  </w:r>
                  <w:r>
                    <w:rPr>
                      <w:rFonts w:hint="eastAsia"/>
                      <w:color w:val="auto"/>
                    </w:rPr>
                    <w:t>进行无害化</w:t>
                  </w:r>
                  <w:r>
                    <w:rPr>
                      <w:color w:val="auto"/>
                    </w:rPr>
                    <w:t>固化处理</w:t>
                  </w:r>
                </w:p>
              </w:tc>
              <w:tc>
                <w:tcPr>
                  <w:tcW w:w="0" w:type="auto"/>
                  <w:vMerge w:val="restart"/>
                  <w:vAlign w:val="center"/>
                </w:tcPr>
                <w:p w14:paraId="1C918330">
                  <w:pPr>
                    <w:pStyle w:val="94"/>
                    <w:rPr>
                      <w:color w:val="auto"/>
                    </w:rPr>
                  </w:pPr>
                  <w:r>
                    <w:rPr>
                      <w:rFonts w:hint="eastAsia"/>
                      <w:color w:val="auto"/>
                    </w:rPr>
                    <w:t>30</w:t>
                  </w:r>
                </w:p>
              </w:tc>
            </w:tr>
            <w:tr w14:paraId="15DAB9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789" w:type="dxa"/>
                  <w:vMerge w:val="continue"/>
                  <w:vAlign w:val="center"/>
                </w:tcPr>
                <w:p w14:paraId="027A00AB">
                  <w:pPr>
                    <w:pStyle w:val="94"/>
                    <w:rPr>
                      <w:color w:val="auto"/>
                    </w:rPr>
                  </w:pPr>
                </w:p>
              </w:tc>
              <w:tc>
                <w:tcPr>
                  <w:tcW w:w="1134" w:type="dxa"/>
                  <w:vAlign w:val="center"/>
                </w:tcPr>
                <w:p w14:paraId="1D785E2A">
                  <w:pPr>
                    <w:pStyle w:val="94"/>
                    <w:rPr>
                      <w:color w:val="auto"/>
                    </w:rPr>
                  </w:pPr>
                  <w:r>
                    <w:rPr>
                      <w:color w:val="auto"/>
                    </w:rPr>
                    <w:t>钻井废泥浆</w:t>
                  </w:r>
                </w:p>
              </w:tc>
              <w:tc>
                <w:tcPr>
                  <w:tcW w:w="1982" w:type="dxa"/>
                  <w:vMerge w:val="continue"/>
                  <w:vAlign w:val="center"/>
                </w:tcPr>
                <w:p w14:paraId="2DC13406">
                  <w:pPr>
                    <w:pStyle w:val="94"/>
                    <w:rPr>
                      <w:color w:val="auto"/>
                    </w:rPr>
                  </w:pPr>
                </w:p>
              </w:tc>
              <w:tc>
                <w:tcPr>
                  <w:tcW w:w="0" w:type="auto"/>
                  <w:vAlign w:val="center"/>
                </w:tcPr>
                <w:p w14:paraId="67F58E96">
                  <w:pPr>
                    <w:pStyle w:val="94"/>
                    <w:rPr>
                      <w:color w:val="auto"/>
                    </w:rPr>
                  </w:pPr>
                  <w:r>
                    <w:rPr>
                      <w:color w:val="auto"/>
                    </w:rPr>
                    <w:t>泥浆池采用防渗处理；废泥浆采用泥浆处理剂处理脱水后再行固化、无害化处理</w:t>
                  </w:r>
                </w:p>
              </w:tc>
              <w:tc>
                <w:tcPr>
                  <w:tcW w:w="0" w:type="auto"/>
                  <w:vMerge w:val="continue"/>
                  <w:vAlign w:val="center"/>
                </w:tcPr>
                <w:p w14:paraId="526C0A7A">
                  <w:pPr>
                    <w:pStyle w:val="94"/>
                    <w:rPr>
                      <w:color w:val="auto"/>
                    </w:rPr>
                  </w:pPr>
                </w:p>
              </w:tc>
            </w:tr>
            <w:tr w14:paraId="395065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789" w:type="dxa"/>
                  <w:vMerge w:val="continue"/>
                  <w:vAlign w:val="center"/>
                </w:tcPr>
                <w:p w14:paraId="02FABDB6">
                  <w:pPr>
                    <w:pStyle w:val="94"/>
                    <w:rPr>
                      <w:color w:val="auto"/>
                    </w:rPr>
                  </w:pPr>
                </w:p>
              </w:tc>
              <w:tc>
                <w:tcPr>
                  <w:tcW w:w="1134" w:type="dxa"/>
                  <w:vAlign w:val="center"/>
                </w:tcPr>
                <w:p w14:paraId="684C9E3F">
                  <w:pPr>
                    <w:pStyle w:val="94"/>
                    <w:rPr>
                      <w:color w:val="auto"/>
                    </w:rPr>
                  </w:pPr>
                  <w:r>
                    <w:rPr>
                      <w:color w:val="auto"/>
                    </w:rPr>
                    <w:t>废矿物油</w:t>
                  </w:r>
                </w:p>
              </w:tc>
              <w:tc>
                <w:tcPr>
                  <w:tcW w:w="1982" w:type="dxa"/>
                  <w:vAlign w:val="center"/>
                </w:tcPr>
                <w:p w14:paraId="5E5FBA64">
                  <w:pPr>
                    <w:pStyle w:val="94"/>
                    <w:rPr>
                      <w:color w:val="auto"/>
                    </w:rPr>
                  </w:pPr>
                  <w:r>
                    <w:rPr>
                      <w:color w:val="auto"/>
                    </w:rPr>
                    <w:t>危险废物HW08</w:t>
                  </w:r>
                </w:p>
              </w:tc>
              <w:tc>
                <w:tcPr>
                  <w:tcW w:w="0" w:type="auto"/>
                  <w:vMerge w:val="restart"/>
                  <w:vAlign w:val="center"/>
                </w:tcPr>
                <w:p w14:paraId="197E8791">
                  <w:pPr>
                    <w:pStyle w:val="94"/>
                    <w:rPr>
                      <w:color w:val="auto"/>
                    </w:rPr>
                  </w:pPr>
                  <w:r>
                    <w:rPr>
                      <w:color w:val="auto"/>
                    </w:rPr>
                    <w:t>各井场设10m</w:t>
                  </w:r>
                  <w:r>
                    <w:rPr>
                      <w:color w:val="auto"/>
                      <w:vertAlign w:val="superscript"/>
                    </w:rPr>
                    <w:t>2</w:t>
                  </w:r>
                  <w:r>
                    <w:rPr>
                      <w:rFonts w:hint="eastAsia"/>
                      <w:color w:val="auto"/>
                    </w:rPr>
                    <w:t>撬装式危废贮存点</w:t>
                  </w:r>
                  <w:r>
                    <w:rPr>
                      <w:color w:val="auto"/>
                    </w:rPr>
                    <w:t>，定期交由具有资质的危废处理单位处理</w:t>
                  </w:r>
                </w:p>
              </w:tc>
              <w:tc>
                <w:tcPr>
                  <w:tcW w:w="0" w:type="auto"/>
                  <w:vMerge w:val="restart"/>
                  <w:vAlign w:val="center"/>
                </w:tcPr>
                <w:p w14:paraId="2623751B">
                  <w:pPr>
                    <w:pStyle w:val="94"/>
                    <w:rPr>
                      <w:color w:val="auto"/>
                    </w:rPr>
                  </w:pPr>
                  <w:r>
                    <w:rPr>
                      <w:rFonts w:hint="eastAsia"/>
                      <w:color w:val="auto"/>
                    </w:rPr>
                    <w:t>12</w:t>
                  </w:r>
                </w:p>
              </w:tc>
            </w:tr>
            <w:tr w14:paraId="6A6DAC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789" w:type="dxa"/>
                  <w:vMerge w:val="continue"/>
                  <w:vAlign w:val="center"/>
                </w:tcPr>
                <w:p w14:paraId="5C5F2166">
                  <w:pPr>
                    <w:pStyle w:val="94"/>
                    <w:rPr>
                      <w:color w:val="auto"/>
                    </w:rPr>
                  </w:pPr>
                </w:p>
              </w:tc>
              <w:tc>
                <w:tcPr>
                  <w:tcW w:w="1134" w:type="dxa"/>
                  <w:vAlign w:val="center"/>
                </w:tcPr>
                <w:p w14:paraId="4891266A">
                  <w:pPr>
                    <w:pStyle w:val="94"/>
                    <w:rPr>
                      <w:color w:val="auto"/>
                    </w:rPr>
                  </w:pPr>
                  <w:r>
                    <w:rPr>
                      <w:rFonts w:hint="eastAsia"/>
                      <w:color w:val="auto"/>
                    </w:rPr>
                    <w:t>废油桶</w:t>
                  </w:r>
                </w:p>
              </w:tc>
              <w:tc>
                <w:tcPr>
                  <w:tcW w:w="1982" w:type="dxa"/>
                  <w:vAlign w:val="center"/>
                </w:tcPr>
                <w:p w14:paraId="037B7A9E">
                  <w:pPr>
                    <w:pStyle w:val="94"/>
                    <w:rPr>
                      <w:color w:val="auto"/>
                    </w:rPr>
                  </w:pPr>
                  <w:r>
                    <w:rPr>
                      <w:color w:val="auto"/>
                    </w:rPr>
                    <w:t>危险废物HW49</w:t>
                  </w:r>
                </w:p>
              </w:tc>
              <w:tc>
                <w:tcPr>
                  <w:tcW w:w="0" w:type="auto"/>
                  <w:vMerge w:val="continue"/>
                  <w:vAlign w:val="center"/>
                </w:tcPr>
                <w:p w14:paraId="331BA52A">
                  <w:pPr>
                    <w:pStyle w:val="94"/>
                    <w:rPr>
                      <w:color w:val="auto"/>
                    </w:rPr>
                  </w:pPr>
                </w:p>
              </w:tc>
              <w:tc>
                <w:tcPr>
                  <w:tcW w:w="0" w:type="auto"/>
                  <w:vMerge w:val="continue"/>
                  <w:vAlign w:val="center"/>
                </w:tcPr>
                <w:p w14:paraId="469C04B7">
                  <w:pPr>
                    <w:pStyle w:val="94"/>
                    <w:rPr>
                      <w:color w:val="auto"/>
                    </w:rPr>
                  </w:pPr>
                </w:p>
              </w:tc>
            </w:tr>
            <w:tr w14:paraId="56DAFE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789" w:type="dxa"/>
                  <w:vMerge w:val="continue"/>
                  <w:vAlign w:val="center"/>
                </w:tcPr>
                <w:p w14:paraId="0C8964DF">
                  <w:pPr>
                    <w:pStyle w:val="94"/>
                    <w:rPr>
                      <w:color w:val="auto"/>
                    </w:rPr>
                  </w:pPr>
                </w:p>
              </w:tc>
              <w:tc>
                <w:tcPr>
                  <w:tcW w:w="1134" w:type="dxa"/>
                  <w:vAlign w:val="center"/>
                </w:tcPr>
                <w:p w14:paraId="0DEF830D">
                  <w:pPr>
                    <w:pStyle w:val="94"/>
                    <w:rPr>
                      <w:color w:val="auto"/>
                    </w:rPr>
                  </w:pPr>
                  <w:r>
                    <w:rPr>
                      <w:rFonts w:hint="eastAsia"/>
                      <w:color w:val="auto"/>
                    </w:rPr>
                    <w:t>废棉纱</w:t>
                  </w:r>
                  <w:r>
                    <w:rPr>
                      <w:color w:val="auto"/>
                    </w:rPr>
                    <w:t>、废手套</w:t>
                  </w:r>
                </w:p>
              </w:tc>
              <w:tc>
                <w:tcPr>
                  <w:tcW w:w="1982" w:type="dxa"/>
                  <w:vAlign w:val="center"/>
                </w:tcPr>
                <w:p w14:paraId="38833A80">
                  <w:pPr>
                    <w:pStyle w:val="94"/>
                    <w:rPr>
                      <w:color w:val="auto"/>
                    </w:rPr>
                  </w:pPr>
                  <w:r>
                    <w:rPr>
                      <w:color w:val="auto"/>
                    </w:rPr>
                    <w:t>危险废物</w:t>
                  </w:r>
                  <w:r>
                    <w:rPr>
                      <w:rFonts w:hint="eastAsia"/>
                      <w:color w:val="auto"/>
                    </w:rPr>
                    <w:t>HW</w:t>
                  </w:r>
                  <w:r>
                    <w:rPr>
                      <w:color w:val="auto"/>
                    </w:rPr>
                    <w:t>49</w:t>
                  </w:r>
                </w:p>
              </w:tc>
              <w:tc>
                <w:tcPr>
                  <w:tcW w:w="0" w:type="auto"/>
                  <w:vMerge w:val="continue"/>
                  <w:vAlign w:val="center"/>
                </w:tcPr>
                <w:p w14:paraId="1D6823DB">
                  <w:pPr>
                    <w:pStyle w:val="94"/>
                    <w:rPr>
                      <w:color w:val="auto"/>
                    </w:rPr>
                  </w:pPr>
                </w:p>
              </w:tc>
              <w:tc>
                <w:tcPr>
                  <w:tcW w:w="0" w:type="auto"/>
                  <w:vMerge w:val="continue"/>
                  <w:vAlign w:val="center"/>
                </w:tcPr>
                <w:p w14:paraId="3F345CDA">
                  <w:pPr>
                    <w:pStyle w:val="94"/>
                    <w:rPr>
                      <w:color w:val="auto"/>
                    </w:rPr>
                  </w:pPr>
                </w:p>
              </w:tc>
            </w:tr>
            <w:tr w14:paraId="785B07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789" w:type="dxa"/>
                  <w:vMerge w:val="continue"/>
                  <w:vAlign w:val="center"/>
                </w:tcPr>
                <w:p w14:paraId="2A5A810D">
                  <w:pPr>
                    <w:pStyle w:val="94"/>
                    <w:rPr>
                      <w:color w:val="auto"/>
                    </w:rPr>
                  </w:pPr>
                </w:p>
              </w:tc>
              <w:tc>
                <w:tcPr>
                  <w:tcW w:w="1134" w:type="dxa"/>
                  <w:vAlign w:val="center"/>
                </w:tcPr>
                <w:p w14:paraId="6D15A896">
                  <w:pPr>
                    <w:pStyle w:val="94"/>
                    <w:rPr>
                      <w:color w:val="auto"/>
                    </w:rPr>
                  </w:pPr>
                  <w:r>
                    <w:rPr>
                      <w:rFonts w:hint="eastAsia"/>
                      <w:color w:val="auto"/>
                    </w:rPr>
                    <w:t>生活垃圾</w:t>
                  </w:r>
                </w:p>
              </w:tc>
              <w:tc>
                <w:tcPr>
                  <w:tcW w:w="1982" w:type="dxa"/>
                  <w:vAlign w:val="center"/>
                </w:tcPr>
                <w:p w14:paraId="72F16CAA">
                  <w:pPr>
                    <w:pStyle w:val="94"/>
                    <w:rPr>
                      <w:color w:val="auto"/>
                    </w:rPr>
                  </w:pPr>
                  <w:r>
                    <w:rPr>
                      <w:rFonts w:hint="eastAsia"/>
                      <w:color w:val="auto"/>
                    </w:rPr>
                    <w:t>生活垃圾</w:t>
                  </w:r>
                </w:p>
              </w:tc>
              <w:tc>
                <w:tcPr>
                  <w:tcW w:w="0" w:type="auto"/>
                  <w:vAlign w:val="center"/>
                </w:tcPr>
                <w:p w14:paraId="32E29E6F">
                  <w:pPr>
                    <w:pStyle w:val="94"/>
                    <w:rPr>
                      <w:color w:val="auto"/>
                    </w:rPr>
                  </w:pPr>
                  <w:r>
                    <w:rPr>
                      <w:rFonts w:hint="eastAsia"/>
                      <w:color w:val="auto"/>
                    </w:rPr>
                    <w:t>各井场设生活垃圾桶进行收集，定期送当地环卫部门指定地点，由当地环卫部门统一处理</w:t>
                  </w:r>
                </w:p>
              </w:tc>
              <w:tc>
                <w:tcPr>
                  <w:tcW w:w="0" w:type="auto"/>
                  <w:vAlign w:val="center"/>
                </w:tcPr>
                <w:p w14:paraId="3AE4D8B9">
                  <w:pPr>
                    <w:pStyle w:val="94"/>
                    <w:rPr>
                      <w:color w:val="auto"/>
                    </w:rPr>
                  </w:pPr>
                  <w:r>
                    <w:rPr>
                      <w:rFonts w:hint="eastAsia"/>
                      <w:color w:val="auto"/>
                    </w:rPr>
                    <w:t>15</w:t>
                  </w:r>
                </w:p>
              </w:tc>
            </w:tr>
            <w:tr w14:paraId="346B6B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789" w:type="dxa"/>
                  <w:vMerge w:val="restart"/>
                  <w:vAlign w:val="center"/>
                </w:tcPr>
                <w:p w14:paraId="573103A0">
                  <w:pPr>
                    <w:pStyle w:val="94"/>
                    <w:rPr>
                      <w:color w:val="auto"/>
                    </w:rPr>
                  </w:pPr>
                  <w:r>
                    <w:rPr>
                      <w:rFonts w:hint="eastAsia"/>
                      <w:color w:val="auto"/>
                    </w:rPr>
                    <w:t>噪声</w:t>
                  </w:r>
                </w:p>
              </w:tc>
              <w:tc>
                <w:tcPr>
                  <w:tcW w:w="1134" w:type="dxa"/>
                  <w:vAlign w:val="center"/>
                </w:tcPr>
                <w:p w14:paraId="0E64FCF3">
                  <w:pPr>
                    <w:pStyle w:val="94"/>
                    <w:rPr>
                      <w:color w:val="auto"/>
                    </w:rPr>
                  </w:pPr>
                  <w:r>
                    <w:rPr>
                      <w:rFonts w:hint="eastAsia"/>
                      <w:color w:val="auto"/>
                    </w:rPr>
                    <w:t>钻前挖掘机、推土机、装载机等施工</w:t>
                  </w:r>
                </w:p>
              </w:tc>
              <w:tc>
                <w:tcPr>
                  <w:tcW w:w="1982" w:type="dxa"/>
                  <w:vMerge w:val="restart"/>
                  <w:vAlign w:val="center"/>
                </w:tcPr>
                <w:p w14:paraId="5348B85D">
                  <w:pPr>
                    <w:pStyle w:val="94"/>
                    <w:rPr>
                      <w:color w:val="auto"/>
                    </w:rPr>
                  </w:pPr>
                  <w:r>
                    <w:rPr>
                      <w:rFonts w:hint="eastAsia"/>
                      <w:color w:val="auto"/>
                    </w:rPr>
                    <w:t>施工</w:t>
                  </w:r>
                  <w:r>
                    <w:rPr>
                      <w:color w:val="auto"/>
                    </w:rPr>
                    <w:t>噪声</w:t>
                  </w:r>
                </w:p>
              </w:tc>
              <w:tc>
                <w:tcPr>
                  <w:tcW w:w="0" w:type="auto"/>
                  <w:vAlign w:val="center"/>
                </w:tcPr>
                <w:p w14:paraId="27D5A992">
                  <w:pPr>
                    <w:pStyle w:val="94"/>
                    <w:rPr>
                      <w:color w:val="auto"/>
                    </w:rPr>
                  </w:pPr>
                  <w:r>
                    <w:rPr>
                      <w:rFonts w:hint="eastAsia"/>
                      <w:color w:val="auto"/>
                    </w:rPr>
                    <w:t>合理安排施工时间</w:t>
                  </w:r>
                </w:p>
              </w:tc>
              <w:tc>
                <w:tcPr>
                  <w:tcW w:w="0" w:type="auto"/>
                  <w:vAlign w:val="center"/>
                </w:tcPr>
                <w:p w14:paraId="4AD6FB17">
                  <w:pPr>
                    <w:pStyle w:val="94"/>
                    <w:rPr>
                      <w:color w:val="auto"/>
                    </w:rPr>
                  </w:pPr>
                  <w:r>
                    <w:rPr>
                      <w:rFonts w:hint="eastAsia"/>
                      <w:color w:val="auto"/>
                    </w:rPr>
                    <w:t>/</w:t>
                  </w:r>
                </w:p>
              </w:tc>
            </w:tr>
            <w:tr w14:paraId="62DB90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789" w:type="dxa"/>
                  <w:vMerge w:val="continue"/>
                  <w:vAlign w:val="center"/>
                </w:tcPr>
                <w:p w14:paraId="18179939">
                  <w:pPr>
                    <w:pStyle w:val="94"/>
                    <w:rPr>
                      <w:color w:val="auto"/>
                    </w:rPr>
                  </w:pPr>
                </w:p>
              </w:tc>
              <w:tc>
                <w:tcPr>
                  <w:tcW w:w="1134" w:type="dxa"/>
                  <w:vAlign w:val="center"/>
                </w:tcPr>
                <w:p w14:paraId="5C5DCF6F">
                  <w:pPr>
                    <w:pStyle w:val="94"/>
                    <w:rPr>
                      <w:color w:val="auto"/>
                    </w:rPr>
                  </w:pPr>
                  <w:r>
                    <w:rPr>
                      <w:rFonts w:hint="eastAsia"/>
                      <w:color w:val="auto"/>
                    </w:rPr>
                    <w:t>钻井和压裂期间的钻机、各类泵、柴油发电机等</w:t>
                  </w:r>
                </w:p>
              </w:tc>
              <w:tc>
                <w:tcPr>
                  <w:tcW w:w="1982" w:type="dxa"/>
                  <w:vMerge w:val="continue"/>
                  <w:vAlign w:val="center"/>
                </w:tcPr>
                <w:p w14:paraId="15EBCA37">
                  <w:pPr>
                    <w:pStyle w:val="94"/>
                    <w:rPr>
                      <w:color w:val="auto"/>
                    </w:rPr>
                  </w:pPr>
                </w:p>
              </w:tc>
              <w:tc>
                <w:tcPr>
                  <w:tcW w:w="0" w:type="auto"/>
                  <w:vAlign w:val="center"/>
                </w:tcPr>
                <w:p w14:paraId="11B9613F">
                  <w:pPr>
                    <w:pStyle w:val="94"/>
                    <w:rPr>
                      <w:color w:val="auto"/>
                    </w:rPr>
                  </w:pPr>
                  <w:r>
                    <w:rPr>
                      <w:rFonts w:hint="eastAsia"/>
                      <w:color w:val="auto"/>
                    </w:rPr>
                    <w:t>使用性能好、低噪音的设备，并对产噪设备采取减振、隔音等降噪措施。</w:t>
                  </w:r>
                </w:p>
              </w:tc>
              <w:tc>
                <w:tcPr>
                  <w:tcW w:w="0" w:type="auto"/>
                  <w:vAlign w:val="center"/>
                </w:tcPr>
                <w:p w14:paraId="0FD46962">
                  <w:pPr>
                    <w:pStyle w:val="94"/>
                    <w:rPr>
                      <w:color w:val="auto"/>
                    </w:rPr>
                  </w:pPr>
                  <w:r>
                    <w:rPr>
                      <w:rFonts w:hint="eastAsia"/>
                      <w:color w:val="auto"/>
                    </w:rPr>
                    <w:t>39</w:t>
                  </w:r>
                </w:p>
              </w:tc>
            </w:tr>
            <w:tr w14:paraId="69A96A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789" w:type="dxa"/>
                  <w:vAlign w:val="center"/>
                </w:tcPr>
                <w:p w14:paraId="1C47EA32">
                  <w:pPr>
                    <w:pStyle w:val="94"/>
                    <w:rPr>
                      <w:color w:val="auto"/>
                    </w:rPr>
                  </w:pPr>
                  <w:r>
                    <w:rPr>
                      <w:rFonts w:hint="eastAsia"/>
                      <w:color w:val="auto"/>
                    </w:rPr>
                    <w:t>生态</w:t>
                  </w:r>
                </w:p>
              </w:tc>
              <w:tc>
                <w:tcPr>
                  <w:tcW w:w="3116" w:type="dxa"/>
                  <w:gridSpan w:val="2"/>
                  <w:vAlign w:val="center"/>
                </w:tcPr>
                <w:p w14:paraId="0DF0501E">
                  <w:pPr>
                    <w:pStyle w:val="94"/>
                    <w:rPr>
                      <w:color w:val="auto"/>
                    </w:rPr>
                  </w:pPr>
                  <w:r>
                    <w:rPr>
                      <w:rFonts w:hint="eastAsia"/>
                      <w:color w:val="auto"/>
                    </w:rPr>
                    <w:t>井场施工生态保护及关井后生态恢复</w:t>
                  </w:r>
                </w:p>
              </w:tc>
              <w:tc>
                <w:tcPr>
                  <w:tcW w:w="0" w:type="auto"/>
                  <w:vAlign w:val="center"/>
                </w:tcPr>
                <w:p w14:paraId="573E3B1B">
                  <w:pPr>
                    <w:pStyle w:val="94"/>
                    <w:rPr>
                      <w:color w:val="auto"/>
                    </w:rPr>
                  </w:pPr>
                  <w:r>
                    <w:rPr>
                      <w:rFonts w:hint="eastAsia"/>
                      <w:color w:val="auto"/>
                    </w:rPr>
                    <w:t>工程临时弃渣用于临近井场、道路等的填方；土方施工采取三分一恢复方式；钻井污水、废弃泥浆全部进泥浆池。加强对泥浆池的管理，防止因暴雨造成泥浆外溢污染植被；对泥浆池中的废弃钻井泥浆和钻井岩屑进行无害化</w:t>
                  </w:r>
                  <w:r>
                    <w:rPr>
                      <w:color w:val="auto"/>
                    </w:rPr>
                    <w:t>固化处理</w:t>
                  </w:r>
                  <w:r>
                    <w:rPr>
                      <w:rFonts w:hint="eastAsia"/>
                      <w:color w:val="auto"/>
                    </w:rPr>
                    <w:t>，泥浆池及时覆土、绿化，恢复植被。在井场地周围及道路两侧施工影响临时用地进行植被恢复；道路两侧绿化。道路两侧有削坡垫土形成的裸露面，应及时采取水土保持与植被恢复措施。勘探期结束后将井场内的集装箱式营房等全部撤出井场，并将井场和营房建设时推出的表土回填进行生态恢复</w:t>
                  </w:r>
                </w:p>
              </w:tc>
              <w:tc>
                <w:tcPr>
                  <w:tcW w:w="0" w:type="auto"/>
                  <w:vAlign w:val="center"/>
                </w:tcPr>
                <w:p w14:paraId="096E5B18">
                  <w:pPr>
                    <w:pStyle w:val="94"/>
                    <w:rPr>
                      <w:color w:val="auto"/>
                    </w:rPr>
                  </w:pPr>
                  <w:r>
                    <w:rPr>
                      <w:rFonts w:hint="eastAsia"/>
                      <w:color w:val="auto"/>
                    </w:rPr>
                    <w:t>120</w:t>
                  </w:r>
                </w:p>
              </w:tc>
            </w:tr>
            <w:tr w14:paraId="693E8D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c>
                <w:tcPr>
                  <w:tcW w:w="0" w:type="auto"/>
                  <w:gridSpan w:val="4"/>
                  <w:vAlign w:val="center"/>
                </w:tcPr>
                <w:p w14:paraId="237523CF">
                  <w:pPr>
                    <w:pStyle w:val="94"/>
                    <w:rPr>
                      <w:color w:val="auto"/>
                    </w:rPr>
                  </w:pPr>
                  <w:r>
                    <w:rPr>
                      <w:rFonts w:hint="eastAsia"/>
                      <w:color w:val="auto"/>
                    </w:rPr>
                    <w:t>合计</w:t>
                  </w:r>
                </w:p>
              </w:tc>
              <w:tc>
                <w:tcPr>
                  <w:tcW w:w="0" w:type="auto"/>
                  <w:vAlign w:val="center"/>
                </w:tcPr>
                <w:p w14:paraId="5FEB8447">
                  <w:pPr>
                    <w:pStyle w:val="94"/>
                    <w:rPr>
                      <w:color w:val="auto"/>
                    </w:rPr>
                  </w:pPr>
                  <w:r>
                    <w:rPr>
                      <w:rFonts w:hint="eastAsia"/>
                      <w:color w:val="auto"/>
                    </w:rPr>
                    <w:t>441</w:t>
                  </w:r>
                </w:p>
              </w:tc>
            </w:tr>
          </w:tbl>
          <w:p w14:paraId="1FD8B4A4">
            <w:pPr>
              <w:adjustRightInd w:val="0"/>
              <w:snapToGrid w:val="0"/>
              <w:spacing w:line="360" w:lineRule="auto"/>
              <w:ind w:firstLine="520" w:firstLineChars="200"/>
              <w:rPr>
                <w:bCs/>
                <w:spacing w:val="10"/>
                <w:sz w:val="24"/>
              </w:rPr>
            </w:pPr>
          </w:p>
          <w:p w14:paraId="5796B9BD">
            <w:pPr>
              <w:adjustRightInd w:val="0"/>
              <w:snapToGrid w:val="0"/>
              <w:spacing w:line="360" w:lineRule="auto"/>
              <w:ind w:firstLine="520" w:firstLineChars="200"/>
              <w:rPr>
                <w:bCs/>
                <w:spacing w:val="10"/>
                <w:sz w:val="24"/>
              </w:rPr>
            </w:pPr>
          </w:p>
          <w:p w14:paraId="4C607069">
            <w:pPr>
              <w:adjustRightInd w:val="0"/>
              <w:snapToGrid w:val="0"/>
              <w:spacing w:line="360" w:lineRule="auto"/>
              <w:ind w:firstLine="520" w:firstLineChars="200"/>
              <w:rPr>
                <w:bCs/>
                <w:spacing w:val="10"/>
                <w:sz w:val="24"/>
              </w:rPr>
            </w:pPr>
          </w:p>
          <w:p w14:paraId="2AC54370">
            <w:pPr>
              <w:adjustRightInd w:val="0"/>
              <w:snapToGrid w:val="0"/>
              <w:spacing w:line="360" w:lineRule="auto"/>
              <w:ind w:firstLine="520" w:firstLineChars="200"/>
              <w:rPr>
                <w:bCs/>
                <w:spacing w:val="10"/>
                <w:sz w:val="24"/>
              </w:rPr>
            </w:pPr>
          </w:p>
          <w:p w14:paraId="6CB8EA9D">
            <w:pPr>
              <w:adjustRightInd w:val="0"/>
              <w:snapToGrid w:val="0"/>
              <w:spacing w:line="360" w:lineRule="auto"/>
              <w:ind w:firstLine="520" w:firstLineChars="200"/>
              <w:rPr>
                <w:bCs/>
                <w:spacing w:val="10"/>
                <w:sz w:val="24"/>
              </w:rPr>
            </w:pPr>
          </w:p>
          <w:p w14:paraId="0D0D7B74">
            <w:pPr>
              <w:adjustRightInd w:val="0"/>
              <w:snapToGrid w:val="0"/>
              <w:spacing w:line="360" w:lineRule="auto"/>
              <w:ind w:firstLine="520" w:firstLineChars="200"/>
              <w:rPr>
                <w:bCs/>
                <w:spacing w:val="10"/>
                <w:sz w:val="24"/>
              </w:rPr>
            </w:pPr>
          </w:p>
          <w:p w14:paraId="5945D2B4">
            <w:pPr>
              <w:adjustRightInd w:val="0"/>
              <w:snapToGrid w:val="0"/>
              <w:spacing w:line="360" w:lineRule="auto"/>
              <w:ind w:firstLine="520" w:firstLineChars="200"/>
              <w:rPr>
                <w:bCs/>
                <w:spacing w:val="10"/>
                <w:sz w:val="24"/>
              </w:rPr>
            </w:pPr>
          </w:p>
          <w:p w14:paraId="66B11AC1">
            <w:pPr>
              <w:adjustRightInd w:val="0"/>
              <w:snapToGrid w:val="0"/>
              <w:spacing w:line="360" w:lineRule="auto"/>
              <w:ind w:firstLine="520" w:firstLineChars="200"/>
              <w:rPr>
                <w:bCs/>
                <w:spacing w:val="10"/>
                <w:sz w:val="24"/>
              </w:rPr>
            </w:pPr>
          </w:p>
          <w:p w14:paraId="335C5660">
            <w:pPr>
              <w:adjustRightInd w:val="0"/>
              <w:snapToGrid w:val="0"/>
              <w:spacing w:line="360" w:lineRule="auto"/>
              <w:ind w:firstLine="520" w:firstLineChars="200"/>
              <w:rPr>
                <w:bCs/>
                <w:spacing w:val="10"/>
                <w:sz w:val="24"/>
              </w:rPr>
            </w:pPr>
          </w:p>
          <w:p w14:paraId="786A68CE">
            <w:pPr>
              <w:adjustRightInd w:val="0"/>
              <w:snapToGrid w:val="0"/>
              <w:spacing w:line="360" w:lineRule="auto"/>
              <w:ind w:firstLine="520" w:firstLineChars="200"/>
              <w:rPr>
                <w:bCs/>
                <w:spacing w:val="10"/>
                <w:sz w:val="24"/>
              </w:rPr>
            </w:pPr>
          </w:p>
          <w:p w14:paraId="25438F10">
            <w:pPr>
              <w:adjustRightInd w:val="0"/>
              <w:snapToGrid w:val="0"/>
              <w:spacing w:line="360" w:lineRule="auto"/>
              <w:ind w:firstLine="520" w:firstLineChars="200"/>
              <w:rPr>
                <w:bCs/>
                <w:spacing w:val="10"/>
                <w:sz w:val="24"/>
              </w:rPr>
            </w:pPr>
          </w:p>
          <w:p w14:paraId="2BD425C4">
            <w:pPr>
              <w:adjustRightInd w:val="0"/>
              <w:snapToGrid w:val="0"/>
              <w:spacing w:line="360" w:lineRule="auto"/>
              <w:ind w:firstLine="520" w:firstLineChars="200"/>
              <w:rPr>
                <w:bCs/>
                <w:spacing w:val="10"/>
                <w:sz w:val="24"/>
              </w:rPr>
            </w:pPr>
          </w:p>
          <w:p w14:paraId="04B99896">
            <w:pPr>
              <w:adjustRightInd w:val="0"/>
              <w:snapToGrid w:val="0"/>
              <w:spacing w:line="360" w:lineRule="auto"/>
              <w:ind w:firstLine="520" w:firstLineChars="200"/>
              <w:rPr>
                <w:bCs/>
                <w:spacing w:val="10"/>
                <w:sz w:val="24"/>
              </w:rPr>
            </w:pPr>
          </w:p>
          <w:p w14:paraId="5F1F77CD">
            <w:pPr>
              <w:adjustRightInd w:val="0"/>
              <w:snapToGrid w:val="0"/>
              <w:spacing w:line="360" w:lineRule="auto"/>
              <w:ind w:firstLine="520" w:firstLineChars="200"/>
              <w:rPr>
                <w:bCs/>
                <w:spacing w:val="10"/>
                <w:sz w:val="24"/>
              </w:rPr>
            </w:pPr>
          </w:p>
          <w:p w14:paraId="5543CDFC">
            <w:pPr>
              <w:adjustRightInd w:val="0"/>
              <w:snapToGrid w:val="0"/>
              <w:spacing w:line="360" w:lineRule="auto"/>
              <w:ind w:firstLine="520" w:firstLineChars="200"/>
              <w:rPr>
                <w:bCs/>
                <w:spacing w:val="10"/>
                <w:sz w:val="24"/>
              </w:rPr>
            </w:pPr>
          </w:p>
        </w:tc>
      </w:tr>
    </w:tbl>
    <w:p w14:paraId="27ABCB52">
      <w:pPr>
        <w:sectPr>
          <w:pgSz w:w="11907" w:h="16840"/>
          <w:pgMar w:top="1440" w:right="1797" w:bottom="1440" w:left="1797" w:header="851" w:footer="1077" w:gutter="0"/>
          <w:cols w:space="425" w:num="1"/>
          <w:docGrid w:linePitch="312" w:charSpace="0"/>
        </w:sectPr>
      </w:pPr>
    </w:p>
    <w:p w14:paraId="0F858FFE">
      <w:pPr>
        <w:jc w:val="center"/>
        <w:outlineLvl w:val="0"/>
        <w:rPr>
          <w:rStyle w:val="404"/>
        </w:rPr>
      </w:pPr>
      <w:bookmarkStart w:id="58" w:name="_Toc165209996"/>
      <w:bookmarkStart w:id="59" w:name="_Toc165211510"/>
      <w:bookmarkStart w:id="60" w:name="_Toc164890572"/>
      <w:bookmarkStart w:id="61" w:name="_Toc168031009"/>
      <w:bookmarkStart w:id="62" w:name="_Toc169765991"/>
      <w:bookmarkStart w:id="63" w:name="_Toc171579802"/>
      <w:r>
        <w:rPr>
          <w:rStyle w:val="404"/>
        </w:rPr>
        <w:t>六、生态环境保护措施监督检查清单</w:t>
      </w:r>
      <w:bookmarkEnd w:id="58"/>
      <w:bookmarkEnd w:id="59"/>
      <w:bookmarkEnd w:id="60"/>
      <w:bookmarkEnd w:id="61"/>
      <w:bookmarkEnd w:id="62"/>
      <w:bookmarkEnd w:id="63"/>
    </w:p>
    <w:tbl>
      <w:tblPr>
        <w:tblStyle w:val="7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 w:type="dxa"/>
          <w:bottom w:w="0" w:type="dxa"/>
          <w:right w:w="10" w:type="dxa"/>
        </w:tblCellMar>
      </w:tblPr>
      <w:tblGrid>
        <w:gridCol w:w="1420"/>
        <w:gridCol w:w="1660"/>
        <w:gridCol w:w="1898"/>
        <w:gridCol w:w="1449"/>
        <w:gridCol w:w="1899"/>
      </w:tblGrid>
      <w:tr w14:paraId="2804A2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448" w:hRule="atLeast"/>
          <w:jc w:val="center"/>
        </w:trPr>
        <w:tc>
          <w:tcPr>
            <w:tcW w:w="853" w:type="pct"/>
            <w:vMerge w:val="restart"/>
            <w:tcBorders>
              <w:tl2br w:val="single" w:color="auto" w:sz="4" w:space="0"/>
            </w:tcBorders>
          </w:tcPr>
          <w:p w14:paraId="11F1AF69">
            <w:pPr>
              <w:adjustRightInd w:val="0"/>
              <w:snapToGrid w:val="0"/>
              <w:spacing w:before="72" w:beforeLines="30"/>
              <w:jc w:val="right"/>
              <w:outlineLvl w:val="0"/>
              <w:rPr>
                <w:rFonts w:ascii="宋体" w:hAnsi="宋体" w:eastAsia="宋体"/>
                <w:szCs w:val="21"/>
              </w:rPr>
            </w:pPr>
            <w:bookmarkStart w:id="64" w:name="_Toc165211511"/>
            <w:bookmarkStart w:id="65" w:name="_Toc164890573"/>
            <w:bookmarkStart w:id="66" w:name="_Toc165209997"/>
            <w:bookmarkStart w:id="67" w:name="_Toc168031010"/>
            <w:bookmarkStart w:id="68" w:name="_Toc169765992"/>
            <w:bookmarkStart w:id="69" w:name="_Toc171579803"/>
            <w:r>
              <w:rPr>
                <w:rFonts w:ascii="宋体" w:hAnsi="宋体" w:eastAsia="宋体"/>
                <w:szCs w:val="21"/>
              </w:rPr>
              <w:t>内容</w:t>
            </w:r>
            <w:bookmarkEnd w:id="64"/>
            <w:bookmarkEnd w:id="65"/>
            <w:bookmarkEnd w:id="66"/>
            <w:bookmarkEnd w:id="67"/>
            <w:bookmarkEnd w:id="68"/>
            <w:bookmarkEnd w:id="69"/>
          </w:p>
          <w:p w14:paraId="7FE30218">
            <w:pPr>
              <w:adjustRightInd w:val="0"/>
              <w:snapToGrid w:val="0"/>
              <w:spacing w:before="72" w:beforeLines="30"/>
              <w:jc w:val="right"/>
              <w:outlineLvl w:val="0"/>
              <w:rPr>
                <w:rFonts w:ascii="宋体" w:hAnsi="宋体" w:eastAsia="宋体"/>
                <w:szCs w:val="21"/>
              </w:rPr>
            </w:pPr>
          </w:p>
          <w:p w14:paraId="42D44057">
            <w:pPr>
              <w:adjustRightInd w:val="0"/>
              <w:snapToGrid w:val="0"/>
              <w:spacing w:line="14" w:lineRule="auto"/>
              <w:outlineLvl w:val="0"/>
              <w:rPr>
                <w:rFonts w:ascii="宋体" w:hAnsi="宋体" w:eastAsia="宋体"/>
                <w:sz w:val="135"/>
                <w:szCs w:val="21"/>
              </w:rPr>
            </w:pPr>
            <w:r>
              <w:rPr>
                <w:rFonts w:ascii="宋体" w:hAnsi="宋体" w:eastAsia="宋体"/>
                <w:szCs w:val="21"/>
              </w:rPr>
              <w:t xml:space="preserve"> </w:t>
            </w:r>
            <w:r>
              <w:rPr>
                <w:rFonts w:ascii="宋体" w:hAnsi="宋体" w:eastAsia="宋体"/>
                <w:sz w:val="135"/>
                <w:szCs w:val="21"/>
              </w:rPr>
              <w:t xml:space="preserve"> </w:t>
            </w:r>
          </w:p>
          <w:p w14:paraId="63B5198D">
            <w:pPr>
              <w:adjustRightInd w:val="0"/>
              <w:snapToGrid w:val="0"/>
              <w:outlineLvl w:val="0"/>
              <w:rPr>
                <w:rFonts w:ascii="宋体" w:hAnsi="宋体" w:eastAsia="宋体"/>
                <w:szCs w:val="21"/>
              </w:rPr>
            </w:pPr>
            <w:bookmarkStart w:id="70" w:name="_Toc164890574"/>
            <w:bookmarkStart w:id="71" w:name="_Toc171579804"/>
            <w:bookmarkStart w:id="72" w:name="_Toc165211512"/>
            <w:bookmarkStart w:id="73" w:name="_Toc165209998"/>
            <w:bookmarkStart w:id="74" w:name="_Toc169765993"/>
            <w:bookmarkStart w:id="75" w:name="_Toc168031011"/>
            <w:r>
              <w:rPr>
                <w:rFonts w:ascii="宋体" w:hAnsi="宋体" w:eastAsia="宋体"/>
                <w:szCs w:val="21"/>
              </w:rPr>
              <w:t>要素</w:t>
            </w:r>
            <w:bookmarkEnd w:id="70"/>
            <w:bookmarkEnd w:id="71"/>
            <w:bookmarkEnd w:id="72"/>
            <w:bookmarkEnd w:id="73"/>
            <w:bookmarkEnd w:id="74"/>
            <w:bookmarkEnd w:id="75"/>
          </w:p>
        </w:tc>
        <w:tc>
          <w:tcPr>
            <w:tcW w:w="2137" w:type="pct"/>
            <w:gridSpan w:val="2"/>
            <w:vAlign w:val="center"/>
          </w:tcPr>
          <w:p w14:paraId="35A22F28">
            <w:pPr>
              <w:adjustRightInd w:val="0"/>
              <w:snapToGrid w:val="0"/>
              <w:jc w:val="center"/>
              <w:outlineLvl w:val="0"/>
              <w:rPr>
                <w:rFonts w:ascii="宋体" w:hAnsi="宋体" w:eastAsia="宋体"/>
                <w:szCs w:val="21"/>
              </w:rPr>
            </w:pPr>
            <w:bookmarkStart w:id="76" w:name="_Toc164890575"/>
            <w:bookmarkStart w:id="77" w:name="_Toc171579805"/>
            <w:bookmarkStart w:id="78" w:name="_Toc165211513"/>
            <w:bookmarkStart w:id="79" w:name="_Toc169765994"/>
            <w:bookmarkStart w:id="80" w:name="_Toc165209999"/>
            <w:bookmarkStart w:id="81" w:name="_Toc168031012"/>
            <w:r>
              <w:rPr>
                <w:rFonts w:ascii="宋体" w:hAnsi="宋体" w:eastAsia="宋体"/>
                <w:szCs w:val="21"/>
              </w:rPr>
              <w:t>施工期</w:t>
            </w:r>
            <w:bookmarkEnd w:id="76"/>
            <w:bookmarkEnd w:id="77"/>
            <w:bookmarkEnd w:id="78"/>
            <w:bookmarkEnd w:id="79"/>
            <w:bookmarkEnd w:id="80"/>
            <w:bookmarkEnd w:id="81"/>
          </w:p>
        </w:tc>
        <w:tc>
          <w:tcPr>
            <w:tcW w:w="2010" w:type="pct"/>
            <w:gridSpan w:val="2"/>
            <w:vAlign w:val="center"/>
          </w:tcPr>
          <w:p w14:paraId="29F7F1D1">
            <w:pPr>
              <w:adjustRightInd w:val="0"/>
              <w:snapToGrid w:val="0"/>
              <w:jc w:val="center"/>
              <w:outlineLvl w:val="0"/>
              <w:rPr>
                <w:rFonts w:ascii="宋体" w:hAnsi="宋体" w:eastAsia="宋体"/>
                <w:szCs w:val="21"/>
              </w:rPr>
            </w:pPr>
            <w:bookmarkStart w:id="82" w:name="_Toc164890576"/>
            <w:bookmarkStart w:id="83" w:name="_Toc169765995"/>
            <w:bookmarkStart w:id="84" w:name="_Toc165210000"/>
            <w:bookmarkStart w:id="85" w:name="_Toc171579806"/>
            <w:bookmarkStart w:id="86" w:name="_Toc165211514"/>
            <w:bookmarkStart w:id="87" w:name="_Toc168031013"/>
            <w:r>
              <w:rPr>
                <w:rFonts w:ascii="宋体" w:hAnsi="宋体" w:eastAsia="宋体"/>
                <w:szCs w:val="21"/>
              </w:rPr>
              <w:t>运营期</w:t>
            </w:r>
            <w:bookmarkEnd w:id="82"/>
            <w:bookmarkEnd w:id="83"/>
            <w:bookmarkEnd w:id="84"/>
            <w:bookmarkEnd w:id="85"/>
            <w:bookmarkEnd w:id="86"/>
            <w:bookmarkEnd w:id="87"/>
          </w:p>
        </w:tc>
      </w:tr>
      <w:tr w14:paraId="6AACE4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407" w:hRule="atLeast"/>
          <w:jc w:val="center"/>
        </w:trPr>
        <w:tc>
          <w:tcPr>
            <w:tcW w:w="853" w:type="pct"/>
            <w:vMerge w:val="continue"/>
          </w:tcPr>
          <w:p w14:paraId="54CA100F">
            <w:pPr>
              <w:adjustRightInd w:val="0"/>
              <w:snapToGrid w:val="0"/>
              <w:ind w:firstLine="840"/>
              <w:jc w:val="center"/>
              <w:outlineLvl w:val="0"/>
              <w:rPr>
                <w:rFonts w:ascii="宋体" w:hAnsi="宋体" w:eastAsia="宋体"/>
                <w:szCs w:val="21"/>
              </w:rPr>
            </w:pPr>
          </w:p>
        </w:tc>
        <w:tc>
          <w:tcPr>
            <w:tcW w:w="997" w:type="pct"/>
            <w:vAlign w:val="center"/>
          </w:tcPr>
          <w:p w14:paraId="66D6FDE4">
            <w:pPr>
              <w:adjustRightInd w:val="0"/>
              <w:snapToGrid w:val="0"/>
              <w:jc w:val="center"/>
              <w:outlineLvl w:val="0"/>
              <w:rPr>
                <w:rFonts w:ascii="宋体" w:hAnsi="宋体" w:eastAsia="宋体"/>
                <w:szCs w:val="21"/>
              </w:rPr>
            </w:pPr>
            <w:bookmarkStart w:id="88" w:name="_Toc171579807"/>
            <w:bookmarkStart w:id="89" w:name="_Toc169765996"/>
            <w:bookmarkStart w:id="90" w:name="_Toc165211515"/>
            <w:bookmarkStart w:id="91" w:name="_Toc164890577"/>
            <w:bookmarkStart w:id="92" w:name="_Toc165210001"/>
            <w:bookmarkStart w:id="93" w:name="_Toc168031014"/>
            <w:r>
              <w:rPr>
                <w:rFonts w:ascii="宋体" w:hAnsi="宋体" w:eastAsia="宋体"/>
                <w:szCs w:val="21"/>
              </w:rPr>
              <w:t>环境保护措施</w:t>
            </w:r>
            <w:bookmarkEnd w:id="88"/>
            <w:bookmarkEnd w:id="89"/>
            <w:bookmarkEnd w:id="90"/>
            <w:bookmarkEnd w:id="91"/>
            <w:bookmarkEnd w:id="92"/>
            <w:bookmarkEnd w:id="93"/>
          </w:p>
        </w:tc>
        <w:tc>
          <w:tcPr>
            <w:tcW w:w="1140" w:type="pct"/>
            <w:vAlign w:val="center"/>
          </w:tcPr>
          <w:p w14:paraId="60D709FD">
            <w:pPr>
              <w:adjustRightInd w:val="0"/>
              <w:snapToGrid w:val="0"/>
              <w:jc w:val="center"/>
              <w:outlineLvl w:val="0"/>
              <w:rPr>
                <w:rFonts w:ascii="宋体" w:hAnsi="宋体" w:eastAsia="宋体"/>
                <w:szCs w:val="21"/>
              </w:rPr>
            </w:pPr>
            <w:bookmarkStart w:id="94" w:name="_Toc165211516"/>
            <w:bookmarkStart w:id="95" w:name="_Toc169765997"/>
            <w:bookmarkStart w:id="96" w:name="_Toc164890578"/>
            <w:bookmarkStart w:id="97" w:name="_Toc171579808"/>
            <w:bookmarkStart w:id="98" w:name="_Toc165210002"/>
            <w:bookmarkStart w:id="99" w:name="_Toc168031015"/>
            <w:r>
              <w:rPr>
                <w:rFonts w:ascii="宋体" w:hAnsi="宋体" w:eastAsia="宋体"/>
                <w:szCs w:val="21"/>
              </w:rPr>
              <w:t>验收要求</w:t>
            </w:r>
            <w:bookmarkEnd w:id="94"/>
            <w:bookmarkEnd w:id="95"/>
            <w:bookmarkEnd w:id="96"/>
            <w:bookmarkEnd w:id="97"/>
            <w:bookmarkEnd w:id="98"/>
            <w:bookmarkEnd w:id="99"/>
          </w:p>
        </w:tc>
        <w:tc>
          <w:tcPr>
            <w:tcW w:w="870" w:type="pct"/>
            <w:vAlign w:val="center"/>
          </w:tcPr>
          <w:p w14:paraId="34A719E9">
            <w:pPr>
              <w:adjustRightInd w:val="0"/>
              <w:snapToGrid w:val="0"/>
              <w:jc w:val="center"/>
              <w:outlineLvl w:val="0"/>
              <w:rPr>
                <w:rFonts w:ascii="宋体" w:hAnsi="宋体" w:eastAsia="宋体"/>
                <w:szCs w:val="21"/>
              </w:rPr>
            </w:pPr>
            <w:bookmarkStart w:id="100" w:name="_Toc165210003"/>
            <w:bookmarkStart w:id="101" w:name="_Toc168031016"/>
            <w:bookmarkStart w:id="102" w:name="_Toc171579809"/>
            <w:bookmarkStart w:id="103" w:name="_Toc165211517"/>
            <w:bookmarkStart w:id="104" w:name="_Toc169765998"/>
            <w:bookmarkStart w:id="105" w:name="_Toc164890579"/>
            <w:r>
              <w:rPr>
                <w:rFonts w:ascii="宋体" w:hAnsi="宋体" w:eastAsia="宋体"/>
                <w:szCs w:val="21"/>
              </w:rPr>
              <w:t>环境保护措施</w:t>
            </w:r>
            <w:bookmarkEnd w:id="100"/>
            <w:bookmarkEnd w:id="101"/>
            <w:bookmarkEnd w:id="102"/>
            <w:bookmarkEnd w:id="103"/>
            <w:bookmarkEnd w:id="104"/>
            <w:bookmarkEnd w:id="105"/>
          </w:p>
        </w:tc>
        <w:tc>
          <w:tcPr>
            <w:tcW w:w="1140" w:type="pct"/>
            <w:vAlign w:val="center"/>
          </w:tcPr>
          <w:p w14:paraId="0999C1CF">
            <w:pPr>
              <w:adjustRightInd w:val="0"/>
              <w:snapToGrid w:val="0"/>
              <w:jc w:val="center"/>
              <w:outlineLvl w:val="0"/>
              <w:rPr>
                <w:rFonts w:ascii="宋体" w:hAnsi="宋体" w:eastAsia="宋体"/>
                <w:szCs w:val="21"/>
              </w:rPr>
            </w:pPr>
            <w:bookmarkStart w:id="106" w:name="_Toc165210004"/>
            <w:bookmarkStart w:id="107" w:name="_Toc168031017"/>
            <w:bookmarkStart w:id="108" w:name="_Toc169765999"/>
            <w:bookmarkStart w:id="109" w:name="_Toc164890580"/>
            <w:bookmarkStart w:id="110" w:name="_Toc171579810"/>
            <w:bookmarkStart w:id="111" w:name="_Toc165211518"/>
            <w:r>
              <w:rPr>
                <w:rFonts w:ascii="宋体" w:hAnsi="宋体" w:eastAsia="宋体"/>
                <w:szCs w:val="21"/>
              </w:rPr>
              <w:t>验收要求</w:t>
            </w:r>
            <w:bookmarkEnd w:id="106"/>
            <w:bookmarkEnd w:id="107"/>
            <w:bookmarkEnd w:id="108"/>
            <w:bookmarkEnd w:id="109"/>
            <w:bookmarkEnd w:id="110"/>
            <w:bookmarkEnd w:id="111"/>
          </w:p>
        </w:tc>
      </w:tr>
      <w:tr w14:paraId="1052D4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680" w:hRule="atLeast"/>
          <w:jc w:val="center"/>
        </w:trPr>
        <w:tc>
          <w:tcPr>
            <w:tcW w:w="853" w:type="pct"/>
            <w:vAlign w:val="center"/>
          </w:tcPr>
          <w:p w14:paraId="05CA25CA">
            <w:pPr>
              <w:adjustRightInd w:val="0"/>
              <w:snapToGrid w:val="0"/>
              <w:jc w:val="center"/>
              <w:rPr>
                <w:rFonts w:ascii="宋体" w:hAnsi="宋体" w:eastAsia="宋体"/>
                <w:szCs w:val="21"/>
              </w:rPr>
            </w:pPr>
            <w:r>
              <w:rPr>
                <w:rFonts w:ascii="宋体" w:hAnsi="宋体" w:eastAsia="宋体"/>
                <w:szCs w:val="21"/>
              </w:rPr>
              <w:t>陆生生态</w:t>
            </w:r>
          </w:p>
        </w:tc>
        <w:tc>
          <w:tcPr>
            <w:tcW w:w="997" w:type="pct"/>
            <w:vAlign w:val="center"/>
          </w:tcPr>
          <w:p w14:paraId="37185AF3">
            <w:pPr>
              <w:adjustRightInd w:val="0"/>
              <w:snapToGrid w:val="0"/>
              <w:jc w:val="center"/>
              <w:rPr>
                <w:rFonts w:ascii="宋体" w:hAnsi="宋体" w:eastAsia="宋体"/>
                <w:szCs w:val="21"/>
              </w:rPr>
            </w:pPr>
            <w:r>
              <w:rPr>
                <w:rFonts w:ascii="宋体" w:hAnsi="宋体" w:eastAsia="宋体"/>
                <w:szCs w:val="21"/>
              </w:rPr>
              <w:t>规范临时占地的使用，严禁随意扩大占压面积；施工材料集中仓储</w:t>
            </w:r>
          </w:p>
        </w:tc>
        <w:tc>
          <w:tcPr>
            <w:tcW w:w="1140" w:type="pct"/>
            <w:vAlign w:val="center"/>
          </w:tcPr>
          <w:p w14:paraId="3C65E855">
            <w:pPr>
              <w:adjustRightInd w:val="0"/>
              <w:snapToGrid w:val="0"/>
              <w:jc w:val="center"/>
              <w:rPr>
                <w:rFonts w:ascii="宋体" w:hAnsi="宋体" w:eastAsia="宋体"/>
                <w:szCs w:val="21"/>
              </w:rPr>
            </w:pPr>
            <w:r>
              <w:rPr>
                <w:rFonts w:ascii="宋体" w:hAnsi="宋体" w:eastAsia="宋体"/>
                <w:szCs w:val="21"/>
              </w:rPr>
              <w:t>地表临时建筑物拆除，及时清运垃圾，占地范围内的土地进行整治恢复，尽量恢复原用地类型</w:t>
            </w:r>
          </w:p>
        </w:tc>
        <w:tc>
          <w:tcPr>
            <w:tcW w:w="870" w:type="pct"/>
            <w:vAlign w:val="center"/>
          </w:tcPr>
          <w:p w14:paraId="2C8EC65E">
            <w:pPr>
              <w:adjustRightInd w:val="0"/>
              <w:snapToGrid w:val="0"/>
              <w:jc w:val="center"/>
              <w:rPr>
                <w:rFonts w:ascii="宋体" w:hAnsi="宋体" w:eastAsia="宋体"/>
                <w:szCs w:val="21"/>
              </w:rPr>
            </w:pPr>
            <w:r>
              <w:rPr>
                <w:rFonts w:ascii="宋体" w:hAnsi="宋体" w:eastAsia="宋体"/>
                <w:szCs w:val="21"/>
              </w:rPr>
              <w:t>/</w:t>
            </w:r>
          </w:p>
        </w:tc>
        <w:tc>
          <w:tcPr>
            <w:tcW w:w="1140" w:type="pct"/>
            <w:vAlign w:val="center"/>
          </w:tcPr>
          <w:p w14:paraId="7C5CD48B">
            <w:pPr>
              <w:adjustRightInd w:val="0"/>
              <w:snapToGrid w:val="0"/>
              <w:jc w:val="center"/>
              <w:rPr>
                <w:rFonts w:ascii="宋体" w:hAnsi="宋体" w:eastAsia="宋体"/>
                <w:szCs w:val="21"/>
              </w:rPr>
            </w:pPr>
            <w:r>
              <w:rPr>
                <w:rFonts w:ascii="宋体" w:hAnsi="宋体" w:eastAsia="宋体"/>
                <w:szCs w:val="21"/>
              </w:rPr>
              <w:t>/</w:t>
            </w:r>
          </w:p>
        </w:tc>
      </w:tr>
      <w:tr w14:paraId="47D859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680" w:hRule="atLeast"/>
          <w:jc w:val="center"/>
        </w:trPr>
        <w:tc>
          <w:tcPr>
            <w:tcW w:w="853" w:type="pct"/>
            <w:vAlign w:val="center"/>
          </w:tcPr>
          <w:p w14:paraId="54BD834B">
            <w:pPr>
              <w:adjustRightInd w:val="0"/>
              <w:snapToGrid w:val="0"/>
              <w:jc w:val="center"/>
              <w:rPr>
                <w:rFonts w:ascii="宋体" w:hAnsi="宋体" w:eastAsia="宋体"/>
                <w:szCs w:val="21"/>
              </w:rPr>
            </w:pPr>
            <w:r>
              <w:rPr>
                <w:rFonts w:ascii="宋体" w:hAnsi="宋体" w:eastAsia="宋体"/>
                <w:szCs w:val="21"/>
              </w:rPr>
              <w:t>水生生态</w:t>
            </w:r>
          </w:p>
        </w:tc>
        <w:tc>
          <w:tcPr>
            <w:tcW w:w="997" w:type="pct"/>
            <w:vAlign w:val="center"/>
          </w:tcPr>
          <w:p w14:paraId="0562BFFF">
            <w:pPr>
              <w:adjustRightInd w:val="0"/>
              <w:snapToGrid w:val="0"/>
              <w:jc w:val="center"/>
              <w:rPr>
                <w:rFonts w:ascii="宋体" w:hAnsi="宋体" w:eastAsia="宋体"/>
                <w:szCs w:val="21"/>
              </w:rPr>
            </w:pPr>
            <w:r>
              <w:rPr>
                <w:rFonts w:ascii="宋体" w:hAnsi="宋体" w:eastAsia="宋体"/>
                <w:szCs w:val="21"/>
              </w:rPr>
              <w:t>/</w:t>
            </w:r>
          </w:p>
        </w:tc>
        <w:tc>
          <w:tcPr>
            <w:tcW w:w="1140" w:type="pct"/>
            <w:vAlign w:val="center"/>
          </w:tcPr>
          <w:p w14:paraId="386C54C2">
            <w:pPr>
              <w:adjustRightInd w:val="0"/>
              <w:snapToGrid w:val="0"/>
              <w:jc w:val="center"/>
              <w:rPr>
                <w:rFonts w:ascii="宋体" w:hAnsi="宋体" w:eastAsia="宋体"/>
                <w:szCs w:val="21"/>
              </w:rPr>
            </w:pPr>
            <w:r>
              <w:rPr>
                <w:rFonts w:ascii="宋体" w:hAnsi="宋体" w:eastAsia="宋体"/>
                <w:szCs w:val="21"/>
              </w:rPr>
              <w:t>/</w:t>
            </w:r>
          </w:p>
        </w:tc>
        <w:tc>
          <w:tcPr>
            <w:tcW w:w="870" w:type="pct"/>
            <w:vAlign w:val="center"/>
          </w:tcPr>
          <w:p w14:paraId="2EFC5604">
            <w:pPr>
              <w:adjustRightInd w:val="0"/>
              <w:snapToGrid w:val="0"/>
              <w:jc w:val="center"/>
              <w:rPr>
                <w:rFonts w:ascii="宋体" w:hAnsi="宋体" w:eastAsia="宋体"/>
                <w:szCs w:val="21"/>
              </w:rPr>
            </w:pPr>
            <w:r>
              <w:rPr>
                <w:rFonts w:ascii="宋体" w:hAnsi="宋体" w:eastAsia="宋体"/>
                <w:szCs w:val="21"/>
              </w:rPr>
              <w:t>/</w:t>
            </w:r>
          </w:p>
        </w:tc>
        <w:tc>
          <w:tcPr>
            <w:tcW w:w="1140" w:type="pct"/>
            <w:vAlign w:val="center"/>
          </w:tcPr>
          <w:p w14:paraId="217CB27E">
            <w:pPr>
              <w:adjustRightInd w:val="0"/>
              <w:snapToGrid w:val="0"/>
              <w:jc w:val="center"/>
              <w:rPr>
                <w:rFonts w:ascii="宋体" w:hAnsi="宋体" w:eastAsia="宋体"/>
                <w:szCs w:val="21"/>
              </w:rPr>
            </w:pPr>
            <w:r>
              <w:rPr>
                <w:rFonts w:ascii="宋体" w:hAnsi="宋体" w:eastAsia="宋体"/>
                <w:szCs w:val="21"/>
              </w:rPr>
              <w:t>/</w:t>
            </w:r>
          </w:p>
        </w:tc>
      </w:tr>
      <w:tr w14:paraId="6D5BAC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680" w:hRule="atLeast"/>
          <w:jc w:val="center"/>
        </w:trPr>
        <w:tc>
          <w:tcPr>
            <w:tcW w:w="853" w:type="pct"/>
            <w:vMerge w:val="restart"/>
            <w:vAlign w:val="center"/>
          </w:tcPr>
          <w:p w14:paraId="51FBBE03">
            <w:pPr>
              <w:adjustRightInd w:val="0"/>
              <w:snapToGrid w:val="0"/>
              <w:jc w:val="center"/>
              <w:rPr>
                <w:rFonts w:ascii="宋体" w:hAnsi="宋体" w:eastAsia="宋体"/>
                <w:szCs w:val="21"/>
              </w:rPr>
            </w:pPr>
            <w:r>
              <w:rPr>
                <w:rFonts w:ascii="宋体" w:hAnsi="宋体" w:eastAsia="宋体"/>
                <w:szCs w:val="21"/>
              </w:rPr>
              <w:t>地表水环境</w:t>
            </w:r>
          </w:p>
        </w:tc>
        <w:tc>
          <w:tcPr>
            <w:tcW w:w="997" w:type="pct"/>
            <w:vAlign w:val="center"/>
          </w:tcPr>
          <w:p w14:paraId="41B54D4F">
            <w:pPr>
              <w:adjustRightInd w:val="0"/>
              <w:snapToGrid w:val="0"/>
              <w:jc w:val="center"/>
              <w:rPr>
                <w:rFonts w:ascii="宋体" w:hAnsi="宋体" w:eastAsia="宋体"/>
                <w:szCs w:val="21"/>
              </w:rPr>
            </w:pPr>
            <w:r>
              <w:rPr>
                <w:rFonts w:ascii="宋体" w:hAnsi="宋体" w:eastAsia="宋体"/>
                <w:szCs w:val="21"/>
              </w:rPr>
              <w:t>各井场设</w:t>
            </w:r>
            <w:r>
              <w:rPr>
                <w:rFonts w:hint="eastAsia" w:ascii="宋体" w:hAnsi="宋体" w:eastAsia="宋体"/>
                <w:szCs w:val="21"/>
              </w:rPr>
              <w:t>4</w:t>
            </w:r>
            <w:r>
              <w:rPr>
                <w:rFonts w:ascii="宋体" w:hAnsi="宋体" w:eastAsia="宋体"/>
                <w:szCs w:val="21"/>
              </w:rPr>
              <w:t>00m</w:t>
            </w:r>
            <w:r>
              <w:rPr>
                <w:rFonts w:ascii="宋体" w:hAnsi="宋体" w:eastAsia="宋体"/>
                <w:szCs w:val="21"/>
                <w:vertAlign w:val="superscript"/>
              </w:rPr>
              <w:t>3</w:t>
            </w:r>
            <w:r>
              <w:rPr>
                <w:rFonts w:ascii="宋体" w:hAnsi="宋体" w:eastAsia="宋体"/>
                <w:szCs w:val="21"/>
              </w:rPr>
              <w:t>的泥浆池，钻井废水经沉淀后用于泥浆系统补充水循环使用，不外排。</w:t>
            </w:r>
          </w:p>
        </w:tc>
        <w:tc>
          <w:tcPr>
            <w:tcW w:w="1140" w:type="pct"/>
            <w:vAlign w:val="center"/>
          </w:tcPr>
          <w:p w14:paraId="6363AFD5">
            <w:pPr>
              <w:adjustRightInd w:val="0"/>
              <w:snapToGrid w:val="0"/>
              <w:jc w:val="center"/>
              <w:rPr>
                <w:rFonts w:ascii="宋体" w:hAnsi="宋体" w:eastAsia="宋体"/>
                <w:szCs w:val="21"/>
              </w:rPr>
            </w:pPr>
            <w:r>
              <w:rPr>
                <w:rFonts w:hint="eastAsia" w:ascii="宋体" w:hAnsi="宋体" w:eastAsia="宋体"/>
                <w:szCs w:val="21"/>
              </w:rPr>
              <w:t>/</w:t>
            </w:r>
          </w:p>
        </w:tc>
        <w:tc>
          <w:tcPr>
            <w:tcW w:w="870" w:type="pct"/>
            <w:vAlign w:val="center"/>
          </w:tcPr>
          <w:p w14:paraId="025D59F2">
            <w:pPr>
              <w:adjustRightInd w:val="0"/>
              <w:snapToGrid w:val="0"/>
              <w:jc w:val="center"/>
              <w:rPr>
                <w:rFonts w:ascii="宋体" w:hAnsi="宋体" w:eastAsia="宋体"/>
                <w:szCs w:val="21"/>
              </w:rPr>
            </w:pPr>
            <w:r>
              <w:rPr>
                <w:rFonts w:hint="eastAsia" w:ascii="宋体" w:hAnsi="宋体" w:eastAsia="宋体"/>
                <w:szCs w:val="21"/>
              </w:rPr>
              <w:t>/</w:t>
            </w:r>
          </w:p>
        </w:tc>
        <w:tc>
          <w:tcPr>
            <w:tcW w:w="1140" w:type="pct"/>
            <w:vAlign w:val="center"/>
          </w:tcPr>
          <w:p w14:paraId="52504B0A">
            <w:pPr>
              <w:adjustRightInd w:val="0"/>
              <w:snapToGrid w:val="0"/>
              <w:jc w:val="center"/>
              <w:rPr>
                <w:rFonts w:ascii="宋体" w:hAnsi="宋体" w:eastAsia="宋体"/>
                <w:szCs w:val="21"/>
              </w:rPr>
            </w:pPr>
            <w:r>
              <w:rPr>
                <w:rFonts w:hint="eastAsia" w:ascii="宋体" w:hAnsi="宋体" w:eastAsia="宋体"/>
                <w:szCs w:val="21"/>
              </w:rPr>
              <w:t>/</w:t>
            </w:r>
          </w:p>
        </w:tc>
      </w:tr>
      <w:tr w14:paraId="342F60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680" w:hRule="atLeast"/>
          <w:jc w:val="center"/>
        </w:trPr>
        <w:tc>
          <w:tcPr>
            <w:tcW w:w="853" w:type="pct"/>
            <w:vMerge w:val="continue"/>
            <w:vAlign w:val="center"/>
          </w:tcPr>
          <w:p w14:paraId="70EF005C">
            <w:pPr>
              <w:adjustRightInd w:val="0"/>
              <w:snapToGrid w:val="0"/>
              <w:jc w:val="center"/>
              <w:rPr>
                <w:rFonts w:ascii="宋体" w:hAnsi="宋体" w:eastAsia="宋体"/>
                <w:szCs w:val="21"/>
              </w:rPr>
            </w:pPr>
          </w:p>
        </w:tc>
        <w:tc>
          <w:tcPr>
            <w:tcW w:w="997" w:type="pct"/>
            <w:vAlign w:val="center"/>
          </w:tcPr>
          <w:p w14:paraId="1BEDAE5A">
            <w:pPr>
              <w:adjustRightInd w:val="0"/>
              <w:snapToGrid w:val="0"/>
              <w:jc w:val="center"/>
              <w:rPr>
                <w:rFonts w:ascii="宋体" w:hAnsi="宋体" w:eastAsia="宋体"/>
                <w:szCs w:val="21"/>
              </w:rPr>
            </w:pPr>
            <w:r>
              <w:rPr>
                <w:rFonts w:hint="eastAsia" w:ascii="宋体" w:hAnsi="宋体" w:eastAsia="宋体"/>
              </w:rPr>
              <w:t>压裂结束后部分压裂液由地层返排出来，井场采用软体罐或钢罐进行存储，根据返排液实际性能，若可实现重复利用，则对返排液进行处理后用于压裂液或钻井液的配制；若无法重复利用，拉运至中联煤层气有限责任公司临兴西区</w:t>
            </w:r>
            <w:r>
              <w:rPr>
                <w:rFonts w:ascii="宋体" w:hAnsi="宋体" w:eastAsia="宋体"/>
              </w:rPr>
              <w:t>(山西区块)开发项目</w:t>
            </w:r>
            <w:r>
              <w:rPr>
                <w:rFonts w:hint="eastAsia" w:ascii="宋体" w:hAnsi="宋体" w:eastAsia="宋体"/>
              </w:rPr>
              <w:t>排采水处理</w:t>
            </w:r>
            <w:r>
              <w:rPr>
                <w:rFonts w:ascii="宋体" w:hAnsi="宋体" w:eastAsia="宋体"/>
              </w:rPr>
              <w:t>2站处理后回用，不外排</w:t>
            </w:r>
          </w:p>
        </w:tc>
        <w:tc>
          <w:tcPr>
            <w:tcW w:w="1140" w:type="pct"/>
            <w:vAlign w:val="center"/>
          </w:tcPr>
          <w:p w14:paraId="08467FF3">
            <w:pPr>
              <w:adjustRightInd w:val="0"/>
              <w:snapToGrid w:val="0"/>
              <w:jc w:val="center"/>
              <w:rPr>
                <w:rFonts w:ascii="宋体" w:hAnsi="宋体" w:eastAsia="宋体"/>
                <w:szCs w:val="21"/>
              </w:rPr>
            </w:pPr>
            <w:r>
              <w:rPr>
                <w:rFonts w:hint="eastAsia" w:ascii="宋体" w:hAnsi="宋体" w:eastAsia="宋体"/>
                <w:szCs w:val="21"/>
              </w:rPr>
              <w:t>/</w:t>
            </w:r>
          </w:p>
        </w:tc>
        <w:tc>
          <w:tcPr>
            <w:tcW w:w="870" w:type="pct"/>
            <w:vAlign w:val="center"/>
          </w:tcPr>
          <w:p w14:paraId="13A74B2C">
            <w:pPr>
              <w:adjustRightInd w:val="0"/>
              <w:snapToGrid w:val="0"/>
              <w:jc w:val="center"/>
              <w:rPr>
                <w:rFonts w:ascii="宋体" w:hAnsi="宋体" w:eastAsia="宋体"/>
                <w:szCs w:val="21"/>
              </w:rPr>
            </w:pPr>
            <w:r>
              <w:rPr>
                <w:rFonts w:hint="eastAsia" w:ascii="宋体" w:hAnsi="宋体" w:eastAsia="宋体"/>
                <w:szCs w:val="21"/>
              </w:rPr>
              <w:t>/</w:t>
            </w:r>
          </w:p>
        </w:tc>
        <w:tc>
          <w:tcPr>
            <w:tcW w:w="1140" w:type="pct"/>
            <w:vAlign w:val="center"/>
          </w:tcPr>
          <w:p w14:paraId="13FB8BD0">
            <w:pPr>
              <w:adjustRightInd w:val="0"/>
              <w:snapToGrid w:val="0"/>
              <w:jc w:val="center"/>
              <w:rPr>
                <w:rFonts w:ascii="宋体" w:hAnsi="宋体" w:eastAsia="宋体"/>
                <w:szCs w:val="21"/>
              </w:rPr>
            </w:pPr>
            <w:r>
              <w:rPr>
                <w:rFonts w:hint="eastAsia" w:ascii="宋体" w:hAnsi="宋体" w:eastAsia="宋体"/>
                <w:szCs w:val="21"/>
              </w:rPr>
              <w:t>/</w:t>
            </w:r>
          </w:p>
        </w:tc>
      </w:tr>
      <w:tr w14:paraId="05671B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680" w:hRule="atLeast"/>
          <w:jc w:val="center"/>
        </w:trPr>
        <w:tc>
          <w:tcPr>
            <w:tcW w:w="853" w:type="pct"/>
            <w:vMerge w:val="continue"/>
            <w:vAlign w:val="center"/>
          </w:tcPr>
          <w:p w14:paraId="188AD38F">
            <w:pPr>
              <w:adjustRightInd w:val="0"/>
              <w:snapToGrid w:val="0"/>
              <w:jc w:val="center"/>
              <w:rPr>
                <w:rFonts w:ascii="宋体" w:hAnsi="宋体" w:eastAsia="宋体"/>
                <w:szCs w:val="21"/>
              </w:rPr>
            </w:pPr>
          </w:p>
        </w:tc>
        <w:tc>
          <w:tcPr>
            <w:tcW w:w="997" w:type="pct"/>
            <w:vAlign w:val="center"/>
          </w:tcPr>
          <w:p w14:paraId="20E2C38F">
            <w:pPr>
              <w:adjustRightInd w:val="0"/>
              <w:snapToGrid w:val="0"/>
              <w:jc w:val="center"/>
              <w:rPr>
                <w:rFonts w:ascii="宋体" w:hAnsi="宋体" w:eastAsia="宋体"/>
                <w:szCs w:val="21"/>
              </w:rPr>
            </w:pPr>
            <w:r>
              <w:rPr>
                <w:rFonts w:hint="eastAsia" w:ascii="宋体" w:hAnsi="宋体" w:eastAsia="宋体"/>
                <w:szCs w:val="21"/>
              </w:rPr>
              <w:t>生活污水沉淀后用于井场周边绿化及浇洒</w:t>
            </w:r>
          </w:p>
        </w:tc>
        <w:tc>
          <w:tcPr>
            <w:tcW w:w="1140" w:type="pct"/>
            <w:vAlign w:val="center"/>
          </w:tcPr>
          <w:p w14:paraId="3674F7AD">
            <w:pPr>
              <w:adjustRightInd w:val="0"/>
              <w:snapToGrid w:val="0"/>
              <w:jc w:val="center"/>
              <w:rPr>
                <w:rFonts w:ascii="宋体" w:hAnsi="宋体" w:eastAsia="宋体"/>
                <w:szCs w:val="21"/>
              </w:rPr>
            </w:pPr>
            <w:r>
              <w:rPr>
                <w:rFonts w:hint="eastAsia" w:ascii="宋体" w:hAnsi="宋体" w:eastAsia="宋体"/>
                <w:szCs w:val="21"/>
              </w:rPr>
              <w:t>/</w:t>
            </w:r>
          </w:p>
        </w:tc>
        <w:tc>
          <w:tcPr>
            <w:tcW w:w="870" w:type="pct"/>
            <w:vAlign w:val="center"/>
          </w:tcPr>
          <w:p w14:paraId="404E8090">
            <w:pPr>
              <w:adjustRightInd w:val="0"/>
              <w:snapToGrid w:val="0"/>
              <w:jc w:val="center"/>
              <w:rPr>
                <w:rFonts w:ascii="宋体" w:hAnsi="宋体" w:eastAsia="宋体"/>
                <w:szCs w:val="21"/>
              </w:rPr>
            </w:pPr>
            <w:r>
              <w:rPr>
                <w:rFonts w:hint="eastAsia" w:ascii="宋体" w:hAnsi="宋体" w:eastAsia="宋体"/>
                <w:szCs w:val="21"/>
              </w:rPr>
              <w:t>/</w:t>
            </w:r>
          </w:p>
        </w:tc>
        <w:tc>
          <w:tcPr>
            <w:tcW w:w="1140" w:type="pct"/>
            <w:vAlign w:val="center"/>
          </w:tcPr>
          <w:p w14:paraId="1EA6F08D">
            <w:pPr>
              <w:adjustRightInd w:val="0"/>
              <w:snapToGrid w:val="0"/>
              <w:jc w:val="center"/>
              <w:rPr>
                <w:rFonts w:ascii="宋体" w:hAnsi="宋体" w:eastAsia="宋体"/>
                <w:szCs w:val="21"/>
              </w:rPr>
            </w:pPr>
            <w:r>
              <w:rPr>
                <w:rFonts w:hint="eastAsia" w:ascii="宋体" w:hAnsi="宋体" w:eastAsia="宋体"/>
                <w:szCs w:val="21"/>
              </w:rPr>
              <w:t>/</w:t>
            </w:r>
          </w:p>
        </w:tc>
      </w:tr>
      <w:tr w14:paraId="15955D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680" w:hRule="atLeast"/>
          <w:jc w:val="center"/>
        </w:trPr>
        <w:tc>
          <w:tcPr>
            <w:tcW w:w="853" w:type="pct"/>
            <w:vMerge w:val="continue"/>
            <w:vAlign w:val="center"/>
          </w:tcPr>
          <w:p w14:paraId="5F9E90FF">
            <w:pPr>
              <w:adjustRightInd w:val="0"/>
              <w:snapToGrid w:val="0"/>
              <w:jc w:val="center"/>
              <w:rPr>
                <w:rFonts w:ascii="宋体" w:hAnsi="宋体" w:eastAsia="宋体"/>
                <w:szCs w:val="21"/>
              </w:rPr>
            </w:pPr>
          </w:p>
        </w:tc>
        <w:tc>
          <w:tcPr>
            <w:tcW w:w="997" w:type="pct"/>
            <w:vAlign w:val="center"/>
          </w:tcPr>
          <w:p w14:paraId="612D60D9">
            <w:pPr>
              <w:adjustRightInd w:val="0"/>
              <w:snapToGrid w:val="0"/>
              <w:jc w:val="center"/>
              <w:rPr>
                <w:rFonts w:ascii="宋体" w:hAnsi="宋体" w:eastAsia="宋体"/>
                <w:szCs w:val="21"/>
              </w:rPr>
            </w:pPr>
            <w:r>
              <w:rPr>
                <w:rFonts w:ascii="宋体" w:hAnsi="宋体" w:eastAsia="宋体"/>
                <w:szCs w:val="21"/>
              </w:rPr>
              <w:t>/</w:t>
            </w:r>
          </w:p>
        </w:tc>
        <w:tc>
          <w:tcPr>
            <w:tcW w:w="1140" w:type="pct"/>
            <w:vAlign w:val="center"/>
          </w:tcPr>
          <w:p w14:paraId="24E95959">
            <w:pPr>
              <w:adjustRightInd w:val="0"/>
              <w:snapToGrid w:val="0"/>
              <w:jc w:val="center"/>
              <w:rPr>
                <w:rFonts w:ascii="宋体" w:hAnsi="宋体" w:eastAsia="宋体"/>
                <w:szCs w:val="21"/>
              </w:rPr>
            </w:pPr>
            <w:r>
              <w:rPr>
                <w:rFonts w:hint="eastAsia" w:ascii="宋体" w:hAnsi="宋体" w:eastAsia="宋体"/>
                <w:szCs w:val="21"/>
              </w:rPr>
              <w:t>/</w:t>
            </w:r>
          </w:p>
        </w:tc>
        <w:tc>
          <w:tcPr>
            <w:tcW w:w="870" w:type="pct"/>
            <w:vAlign w:val="center"/>
          </w:tcPr>
          <w:p w14:paraId="2715701E">
            <w:pPr>
              <w:adjustRightInd w:val="0"/>
              <w:snapToGrid w:val="0"/>
              <w:jc w:val="center"/>
              <w:rPr>
                <w:rFonts w:ascii="宋体" w:hAnsi="宋体" w:eastAsia="宋体"/>
                <w:szCs w:val="21"/>
              </w:rPr>
            </w:pPr>
            <w:r>
              <w:rPr>
                <w:rFonts w:hint="eastAsia" w:ascii="宋体" w:hAnsi="宋体" w:eastAsia="宋体"/>
                <w:szCs w:val="21"/>
              </w:rPr>
              <w:t>采出水经沉淀后作为周边其他井场钻井液及压裂液配置的清水使用，无法重复利用的，拉运至中联煤层气有限责任公司临兴西区</w:t>
            </w:r>
            <w:r>
              <w:rPr>
                <w:rFonts w:ascii="宋体" w:hAnsi="宋体" w:eastAsia="宋体"/>
                <w:szCs w:val="21"/>
              </w:rPr>
              <w:t>(山西区块)开发项目</w:t>
            </w:r>
            <w:r>
              <w:rPr>
                <w:rFonts w:hint="eastAsia" w:ascii="宋体" w:hAnsi="宋体" w:eastAsia="宋体"/>
                <w:szCs w:val="21"/>
              </w:rPr>
              <w:t>排采水处理</w:t>
            </w:r>
            <w:r>
              <w:rPr>
                <w:rFonts w:ascii="宋体" w:hAnsi="宋体" w:eastAsia="宋体"/>
                <w:szCs w:val="21"/>
              </w:rPr>
              <w:t>2站处理后回用，不外排</w:t>
            </w:r>
            <w:r>
              <w:rPr>
                <w:rFonts w:hint="eastAsia" w:ascii="宋体" w:hAnsi="宋体" w:eastAsia="宋体"/>
                <w:szCs w:val="21"/>
              </w:rPr>
              <w:t>。</w:t>
            </w:r>
          </w:p>
        </w:tc>
        <w:tc>
          <w:tcPr>
            <w:tcW w:w="1140" w:type="pct"/>
            <w:vAlign w:val="center"/>
          </w:tcPr>
          <w:p w14:paraId="7C7AFEFE">
            <w:pPr>
              <w:adjustRightInd w:val="0"/>
              <w:snapToGrid w:val="0"/>
              <w:jc w:val="center"/>
              <w:rPr>
                <w:rFonts w:ascii="宋体" w:hAnsi="宋体" w:eastAsia="宋体"/>
                <w:szCs w:val="21"/>
              </w:rPr>
            </w:pPr>
            <w:r>
              <w:rPr>
                <w:rFonts w:hint="eastAsia" w:ascii="宋体" w:hAnsi="宋体" w:eastAsia="宋体"/>
                <w:szCs w:val="21"/>
              </w:rPr>
              <w:t>采出水经沉淀后作为周边其他井场钻井液及压裂液配置的清水使用，无法重复利用的，拉运至中联煤层气有限责任公司临兴西区</w:t>
            </w:r>
            <w:r>
              <w:rPr>
                <w:rFonts w:ascii="宋体" w:hAnsi="宋体" w:eastAsia="宋体"/>
                <w:szCs w:val="21"/>
              </w:rPr>
              <w:t>(山西区块)开发项目</w:t>
            </w:r>
            <w:r>
              <w:rPr>
                <w:rFonts w:hint="eastAsia" w:ascii="宋体" w:hAnsi="宋体" w:eastAsia="宋体"/>
                <w:szCs w:val="21"/>
              </w:rPr>
              <w:t>排采水处理</w:t>
            </w:r>
            <w:r>
              <w:rPr>
                <w:rFonts w:ascii="宋体" w:hAnsi="宋体" w:eastAsia="宋体"/>
                <w:szCs w:val="21"/>
              </w:rPr>
              <w:t>2站处理后回用，不外排</w:t>
            </w:r>
            <w:r>
              <w:rPr>
                <w:rFonts w:hint="eastAsia" w:ascii="宋体" w:hAnsi="宋体" w:eastAsia="宋体"/>
                <w:szCs w:val="21"/>
              </w:rPr>
              <w:t>。</w:t>
            </w:r>
          </w:p>
        </w:tc>
      </w:tr>
      <w:tr w14:paraId="7097DE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680" w:hRule="atLeast"/>
          <w:jc w:val="center"/>
        </w:trPr>
        <w:tc>
          <w:tcPr>
            <w:tcW w:w="853" w:type="pct"/>
            <w:vAlign w:val="center"/>
          </w:tcPr>
          <w:p w14:paraId="1E232C7C">
            <w:pPr>
              <w:adjustRightInd w:val="0"/>
              <w:snapToGrid w:val="0"/>
              <w:jc w:val="center"/>
              <w:rPr>
                <w:rFonts w:ascii="宋体" w:hAnsi="宋体" w:eastAsia="宋体"/>
                <w:szCs w:val="21"/>
              </w:rPr>
            </w:pPr>
            <w:r>
              <w:rPr>
                <w:rFonts w:ascii="宋体" w:hAnsi="宋体" w:eastAsia="宋体"/>
                <w:szCs w:val="21"/>
              </w:rPr>
              <w:t>地下水及土壤环境</w:t>
            </w:r>
          </w:p>
        </w:tc>
        <w:tc>
          <w:tcPr>
            <w:tcW w:w="2137" w:type="pct"/>
            <w:gridSpan w:val="2"/>
            <w:vAlign w:val="center"/>
          </w:tcPr>
          <w:p w14:paraId="466E54EF">
            <w:pPr>
              <w:adjustRightInd w:val="0"/>
              <w:snapToGrid w:val="0"/>
              <w:jc w:val="center"/>
              <w:rPr>
                <w:rFonts w:ascii="宋体" w:hAnsi="宋体" w:eastAsia="宋体"/>
                <w:szCs w:val="21"/>
              </w:rPr>
            </w:pPr>
            <w:r>
              <w:rPr>
                <w:rFonts w:hint="eastAsia" w:ascii="宋体" w:hAnsi="宋体" w:eastAsia="宋体"/>
                <w:bCs/>
              </w:rPr>
              <w:t>钻井平台、泥浆池、压裂返排液罐、压裂液</w:t>
            </w:r>
            <w:r>
              <w:rPr>
                <w:rFonts w:ascii="宋体" w:hAnsi="宋体" w:eastAsia="宋体"/>
                <w:bCs/>
              </w:rPr>
              <w:t>罐、</w:t>
            </w:r>
            <w:r>
              <w:rPr>
                <w:rFonts w:hint="eastAsia" w:ascii="宋体" w:hAnsi="宋体" w:eastAsia="宋体"/>
                <w:bCs/>
              </w:rPr>
              <w:t>钻井液和压裂液材料场、柴油储罐区、撬装式危废贮存点</w:t>
            </w:r>
            <w:r>
              <w:rPr>
                <w:rFonts w:ascii="宋体" w:hAnsi="宋体" w:eastAsia="宋体"/>
                <w:bCs/>
              </w:rPr>
              <w:t>均进行防渗处理，实行分区防渗</w:t>
            </w:r>
          </w:p>
        </w:tc>
        <w:tc>
          <w:tcPr>
            <w:tcW w:w="870" w:type="pct"/>
            <w:vAlign w:val="center"/>
          </w:tcPr>
          <w:p w14:paraId="11BD1E08">
            <w:pPr>
              <w:adjustRightInd w:val="0"/>
              <w:snapToGrid w:val="0"/>
              <w:jc w:val="center"/>
              <w:rPr>
                <w:rFonts w:ascii="宋体" w:hAnsi="宋体" w:eastAsia="宋体"/>
                <w:szCs w:val="21"/>
              </w:rPr>
            </w:pPr>
            <w:r>
              <w:rPr>
                <w:rFonts w:hint="eastAsia" w:ascii="宋体" w:hAnsi="宋体" w:eastAsia="宋体"/>
                <w:szCs w:val="21"/>
              </w:rPr>
              <w:t>/</w:t>
            </w:r>
          </w:p>
        </w:tc>
        <w:tc>
          <w:tcPr>
            <w:tcW w:w="1140" w:type="pct"/>
            <w:vAlign w:val="center"/>
          </w:tcPr>
          <w:p w14:paraId="1F35DE24">
            <w:pPr>
              <w:adjustRightInd w:val="0"/>
              <w:snapToGrid w:val="0"/>
              <w:jc w:val="center"/>
              <w:rPr>
                <w:rFonts w:ascii="宋体" w:hAnsi="宋体" w:eastAsia="宋体"/>
                <w:szCs w:val="21"/>
              </w:rPr>
            </w:pPr>
            <w:r>
              <w:rPr>
                <w:rFonts w:hint="eastAsia" w:ascii="宋体" w:hAnsi="宋体" w:eastAsia="宋体"/>
                <w:szCs w:val="21"/>
              </w:rPr>
              <w:t>/</w:t>
            </w:r>
          </w:p>
        </w:tc>
      </w:tr>
      <w:tr w14:paraId="7130F4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680" w:hRule="atLeast"/>
          <w:jc w:val="center"/>
        </w:trPr>
        <w:tc>
          <w:tcPr>
            <w:tcW w:w="853" w:type="pct"/>
            <w:vMerge w:val="restart"/>
            <w:vAlign w:val="center"/>
          </w:tcPr>
          <w:p w14:paraId="0D4467E9">
            <w:pPr>
              <w:adjustRightInd w:val="0"/>
              <w:snapToGrid w:val="0"/>
              <w:jc w:val="center"/>
              <w:rPr>
                <w:rFonts w:ascii="宋体" w:hAnsi="宋体" w:eastAsia="宋体"/>
                <w:szCs w:val="21"/>
              </w:rPr>
            </w:pPr>
            <w:r>
              <w:rPr>
                <w:rFonts w:ascii="宋体" w:hAnsi="宋体" w:eastAsia="宋体"/>
                <w:szCs w:val="21"/>
              </w:rPr>
              <w:t>声环境</w:t>
            </w:r>
          </w:p>
        </w:tc>
        <w:tc>
          <w:tcPr>
            <w:tcW w:w="997" w:type="pct"/>
            <w:vAlign w:val="center"/>
          </w:tcPr>
          <w:p w14:paraId="145309B9">
            <w:pPr>
              <w:adjustRightInd w:val="0"/>
              <w:snapToGrid w:val="0"/>
              <w:jc w:val="center"/>
              <w:rPr>
                <w:rFonts w:ascii="宋体" w:hAnsi="宋体" w:eastAsia="宋体"/>
                <w:szCs w:val="21"/>
              </w:rPr>
            </w:pPr>
            <w:r>
              <w:rPr>
                <w:rFonts w:hint="eastAsia" w:ascii="宋体" w:hAnsi="宋体" w:eastAsia="宋体"/>
                <w:szCs w:val="21"/>
              </w:rPr>
              <w:t>合理安排施工时间</w:t>
            </w:r>
          </w:p>
        </w:tc>
        <w:tc>
          <w:tcPr>
            <w:tcW w:w="1140" w:type="pct"/>
            <w:vAlign w:val="center"/>
          </w:tcPr>
          <w:p w14:paraId="50A8BAE6">
            <w:pPr>
              <w:adjustRightInd w:val="0"/>
              <w:snapToGrid w:val="0"/>
              <w:jc w:val="center"/>
              <w:rPr>
                <w:rFonts w:ascii="宋体" w:hAnsi="宋体" w:eastAsia="宋体"/>
                <w:szCs w:val="21"/>
              </w:rPr>
            </w:pPr>
            <w:r>
              <w:rPr>
                <w:rFonts w:hint="eastAsia" w:ascii="宋体" w:hAnsi="宋体" w:eastAsia="宋体"/>
                <w:szCs w:val="21"/>
              </w:rPr>
              <w:t>/</w:t>
            </w:r>
          </w:p>
        </w:tc>
        <w:tc>
          <w:tcPr>
            <w:tcW w:w="870" w:type="pct"/>
            <w:vAlign w:val="center"/>
          </w:tcPr>
          <w:p w14:paraId="7416E856">
            <w:pPr>
              <w:adjustRightInd w:val="0"/>
              <w:snapToGrid w:val="0"/>
              <w:jc w:val="center"/>
              <w:rPr>
                <w:rFonts w:ascii="宋体" w:hAnsi="宋体" w:eastAsia="宋体"/>
                <w:szCs w:val="21"/>
              </w:rPr>
            </w:pPr>
            <w:r>
              <w:rPr>
                <w:rFonts w:hint="eastAsia" w:ascii="宋体" w:hAnsi="宋体" w:eastAsia="宋体"/>
                <w:szCs w:val="21"/>
              </w:rPr>
              <w:t>/</w:t>
            </w:r>
          </w:p>
        </w:tc>
        <w:tc>
          <w:tcPr>
            <w:tcW w:w="1140" w:type="pct"/>
            <w:vAlign w:val="center"/>
          </w:tcPr>
          <w:p w14:paraId="2DDC22D4">
            <w:pPr>
              <w:adjustRightInd w:val="0"/>
              <w:snapToGrid w:val="0"/>
              <w:jc w:val="center"/>
              <w:rPr>
                <w:rFonts w:ascii="宋体" w:hAnsi="宋体" w:eastAsia="宋体"/>
                <w:szCs w:val="21"/>
              </w:rPr>
            </w:pPr>
            <w:r>
              <w:rPr>
                <w:rFonts w:hint="eastAsia" w:ascii="宋体" w:hAnsi="宋体" w:eastAsia="宋体"/>
                <w:szCs w:val="21"/>
              </w:rPr>
              <w:t>/</w:t>
            </w:r>
          </w:p>
        </w:tc>
      </w:tr>
      <w:tr w14:paraId="61EB3C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680" w:hRule="atLeast"/>
          <w:jc w:val="center"/>
        </w:trPr>
        <w:tc>
          <w:tcPr>
            <w:tcW w:w="853" w:type="pct"/>
            <w:vMerge w:val="continue"/>
            <w:vAlign w:val="center"/>
          </w:tcPr>
          <w:p w14:paraId="7E3241F4">
            <w:pPr>
              <w:adjustRightInd w:val="0"/>
              <w:snapToGrid w:val="0"/>
              <w:jc w:val="center"/>
              <w:rPr>
                <w:rFonts w:ascii="宋体" w:hAnsi="宋体" w:eastAsia="宋体"/>
                <w:szCs w:val="21"/>
              </w:rPr>
            </w:pPr>
          </w:p>
        </w:tc>
        <w:tc>
          <w:tcPr>
            <w:tcW w:w="997" w:type="pct"/>
            <w:vAlign w:val="center"/>
          </w:tcPr>
          <w:p w14:paraId="69191DA8">
            <w:pPr>
              <w:adjustRightInd w:val="0"/>
              <w:snapToGrid w:val="0"/>
              <w:jc w:val="center"/>
              <w:rPr>
                <w:rFonts w:ascii="宋体" w:hAnsi="宋体" w:eastAsia="宋体"/>
                <w:szCs w:val="21"/>
              </w:rPr>
            </w:pPr>
            <w:r>
              <w:rPr>
                <w:rFonts w:hint="eastAsia" w:ascii="宋体" w:hAnsi="宋体" w:eastAsia="宋体"/>
                <w:szCs w:val="21"/>
              </w:rPr>
              <w:t>使用性能好、低噪音的设备，并对产噪设备采取减振、隔音等降噪措施</w:t>
            </w:r>
          </w:p>
        </w:tc>
        <w:tc>
          <w:tcPr>
            <w:tcW w:w="1140" w:type="pct"/>
            <w:vAlign w:val="center"/>
          </w:tcPr>
          <w:p w14:paraId="0393A527">
            <w:pPr>
              <w:adjustRightInd w:val="0"/>
              <w:snapToGrid w:val="0"/>
              <w:jc w:val="center"/>
              <w:rPr>
                <w:rFonts w:ascii="宋体" w:hAnsi="宋体" w:eastAsia="宋体"/>
                <w:szCs w:val="21"/>
              </w:rPr>
            </w:pPr>
            <w:r>
              <w:rPr>
                <w:rFonts w:hint="eastAsia" w:ascii="宋体" w:hAnsi="宋体" w:eastAsia="宋体"/>
                <w:szCs w:val="21"/>
              </w:rPr>
              <w:t>/</w:t>
            </w:r>
          </w:p>
        </w:tc>
        <w:tc>
          <w:tcPr>
            <w:tcW w:w="870" w:type="pct"/>
            <w:vAlign w:val="center"/>
          </w:tcPr>
          <w:p w14:paraId="52338AF4">
            <w:pPr>
              <w:adjustRightInd w:val="0"/>
              <w:snapToGrid w:val="0"/>
              <w:jc w:val="center"/>
              <w:rPr>
                <w:rFonts w:ascii="宋体" w:hAnsi="宋体" w:eastAsia="宋体"/>
                <w:szCs w:val="21"/>
              </w:rPr>
            </w:pPr>
            <w:r>
              <w:rPr>
                <w:rFonts w:hint="eastAsia" w:ascii="宋体" w:hAnsi="宋体" w:eastAsia="宋体"/>
                <w:szCs w:val="21"/>
              </w:rPr>
              <w:t>/</w:t>
            </w:r>
          </w:p>
        </w:tc>
        <w:tc>
          <w:tcPr>
            <w:tcW w:w="1140" w:type="pct"/>
            <w:vAlign w:val="center"/>
          </w:tcPr>
          <w:p w14:paraId="1E669EEA">
            <w:pPr>
              <w:adjustRightInd w:val="0"/>
              <w:snapToGrid w:val="0"/>
              <w:jc w:val="center"/>
              <w:rPr>
                <w:rFonts w:ascii="宋体" w:hAnsi="宋体" w:eastAsia="宋体"/>
                <w:szCs w:val="21"/>
              </w:rPr>
            </w:pPr>
            <w:r>
              <w:rPr>
                <w:rFonts w:hint="eastAsia" w:ascii="宋体" w:hAnsi="宋体" w:eastAsia="宋体"/>
                <w:szCs w:val="21"/>
              </w:rPr>
              <w:t>/</w:t>
            </w:r>
          </w:p>
        </w:tc>
      </w:tr>
      <w:tr w14:paraId="0F43D3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680" w:hRule="atLeast"/>
          <w:jc w:val="center"/>
        </w:trPr>
        <w:tc>
          <w:tcPr>
            <w:tcW w:w="853" w:type="pct"/>
            <w:vAlign w:val="center"/>
          </w:tcPr>
          <w:p w14:paraId="187E698E">
            <w:pPr>
              <w:adjustRightInd w:val="0"/>
              <w:snapToGrid w:val="0"/>
              <w:jc w:val="center"/>
              <w:rPr>
                <w:rFonts w:ascii="宋体" w:hAnsi="宋体" w:eastAsia="宋体"/>
                <w:szCs w:val="21"/>
              </w:rPr>
            </w:pPr>
            <w:r>
              <w:rPr>
                <w:rFonts w:ascii="宋体" w:hAnsi="宋体" w:eastAsia="宋体"/>
                <w:szCs w:val="21"/>
              </w:rPr>
              <w:t>振动</w:t>
            </w:r>
          </w:p>
        </w:tc>
        <w:tc>
          <w:tcPr>
            <w:tcW w:w="997" w:type="pct"/>
            <w:vAlign w:val="center"/>
          </w:tcPr>
          <w:p w14:paraId="44A423E2">
            <w:pPr>
              <w:adjustRightInd w:val="0"/>
              <w:snapToGrid w:val="0"/>
              <w:jc w:val="center"/>
              <w:rPr>
                <w:rFonts w:ascii="宋体" w:hAnsi="宋体" w:eastAsia="宋体"/>
                <w:szCs w:val="21"/>
              </w:rPr>
            </w:pPr>
            <w:r>
              <w:rPr>
                <w:rFonts w:hint="eastAsia" w:ascii="宋体" w:hAnsi="宋体" w:eastAsia="宋体"/>
                <w:szCs w:val="21"/>
              </w:rPr>
              <w:t>/</w:t>
            </w:r>
          </w:p>
        </w:tc>
        <w:tc>
          <w:tcPr>
            <w:tcW w:w="1140" w:type="pct"/>
            <w:vAlign w:val="center"/>
          </w:tcPr>
          <w:p w14:paraId="680170E3">
            <w:pPr>
              <w:adjustRightInd w:val="0"/>
              <w:snapToGrid w:val="0"/>
              <w:jc w:val="center"/>
              <w:rPr>
                <w:rFonts w:ascii="宋体" w:hAnsi="宋体" w:eastAsia="宋体"/>
                <w:szCs w:val="21"/>
              </w:rPr>
            </w:pPr>
            <w:r>
              <w:rPr>
                <w:rFonts w:hint="eastAsia" w:ascii="宋体" w:hAnsi="宋体" w:eastAsia="宋体"/>
                <w:szCs w:val="21"/>
              </w:rPr>
              <w:t>/</w:t>
            </w:r>
          </w:p>
        </w:tc>
        <w:tc>
          <w:tcPr>
            <w:tcW w:w="870" w:type="pct"/>
            <w:vAlign w:val="center"/>
          </w:tcPr>
          <w:p w14:paraId="1A54A1DD">
            <w:pPr>
              <w:adjustRightInd w:val="0"/>
              <w:snapToGrid w:val="0"/>
              <w:jc w:val="center"/>
              <w:rPr>
                <w:rFonts w:ascii="宋体" w:hAnsi="宋体" w:eastAsia="宋体"/>
                <w:szCs w:val="21"/>
              </w:rPr>
            </w:pPr>
            <w:r>
              <w:rPr>
                <w:rFonts w:hint="eastAsia" w:ascii="宋体" w:hAnsi="宋体" w:eastAsia="宋体"/>
                <w:szCs w:val="21"/>
              </w:rPr>
              <w:t>/</w:t>
            </w:r>
          </w:p>
        </w:tc>
        <w:tc>
          <w:tcPr>
            <w:tcW w:w="1140" w:type="pct"/>
            <w:vAlign w:val="center"/>
          </w:tcPr>
          <w:p w14:paraId="3BD25641">
            <w:pPr>
              <w:adjustRightInd w:val="0"/>
              <w:snapToGrid w:val="0"/>
              <w:jc w:val="center"/>
              <w:rPr>
                <w:rFonts w:ascii="宋体" w:hAnsi="宋体" w:eastAsia="宋体"/>
                <w:szCs w:val="21"/>
              </w:rPr>
            </w:pPr>
            <w:r>
              <w:rPr>
                <w:rFonts w:hint="eastAsia" w:ascii="宋体" w:hAnsi="宋体" w:eastAsia="宋体"/>
                <w:szCs w:val="21"/>
              </w:rPr>
              <w:t>/</w:t>
            </w:r>
          </w:p>
        </w:tc>
      </w:tr>
      <w:tr w14:paraId="171E5C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680" w:hRule="atLeast"/>
          <w:jc w:val="center"/>
        </w:trPr>
        <w:tc>
          <w:tcPr>
            <w:tcW w:w="853" w:type="pct"/>
            <w:vMerge w:val="restart"/>
            <w:vAlign w:val="center"/>
          </w:tcPr>
          <w:p w14:paraId="3818B80C">
            <w:pPr>
              <w:adjustRightInd w:val="0"/>
              <w:snapToGrid w:val="0"/>
              <w:jc w:val="center"/>
              <w:rPr>
                <w:rFonts w:ascii="宋体" w:hAnsi="宋体" w:eastAsia="宋体"/>
                <w:szCs w:val="21"/>
              </w:rPr>
            </w:pPr>
            <w:r>
              <w:rPr>
                <w:rFonts w:ascii="宋体" w:hAnsi="宋体" w:eastAsia="宋体"/>
                <w:szCs w:val="21"/>
              </w:rPr>
              <w:t>大气环境</w:t>
            </w:r>
          </w:p>
        </w:tc>
        <w:tc>
          <w:tcPr>
            <w:tcW w:w="997" w:type="pct"/>
            <w:vAlign w:val="center"/>
          </w:tcPr>
          <w:p w14:paraId="275971B0">
            <w:pPr>
              <w:adjustRightInd w:val="0"/>
              <w:snapToGrid w:val="0"/>
              <w:jc w:val="center"/>
              <w:rPr>
                <w:rFonts w:ascii="宋体" w:hAnsi="宋体" w:eastAsia="宋体"/>
                <w:szCs w:val="21"/>
              </w:rPr>
            </w:pPr>
            <w:r>
              <w:rPr>
                <w:rFonts w:hint="eastAsia" w:ascii="宋体" w:hAnsi="宋体" w:eastAsia="宋体"/>
                <w:szCs w:val="21"/>
              </w:rPr>
              <w:t>裸露地（含土方）覆盖、易扬尘物料覆盖及持续洒水降尘措施</w:t>
            </w:r>
          </w:p>
        </w:tc>
        <w:tc>
          <w:tcPr>
            <w:tcW w:w="1140" w:type="pct"/>
            <w:vMerge w:val="restart"/>
            <w:vAlign w:val="center"/>
          </w:tcPr>
          <w:p w14:paraId="2D6B31CC">
            <w:pPr>
              <w:adjustRightInd w:val="0"/>
              <w:snapToGrid w:val="0"/>
              <w:jc w:val="center"/>
              <w:rPr>
                <w:rFonts w:ascii="宋体" w:hAnsi="宋体" w:eastAsia="宋体"/>
                <w:szCs w:val="21"/>
              </w:rPr>
            </w:pPr>
            <w:r>
              <w:rPr>
                <w:rFonts w:hint="eastAsia" w:ascii="宋体" w:hAnsi="宋体" w:eastAsia="宋体"/>
                <w:szCs w:val="21"/>
              </w:rPr>
              <w:t>场界满足《大气污染物综合排放标准》（</w:t>
            </w:r>
            <w:r>
              <w:rPr>
                <w:rFonts w:ascii="宋体" w:hAnsi="宋体" w:eastAsia="宋体"/>
                <w:szCs w:val="21"/>
              </w:rPr>
              <w:t>GB16297-1996</w:t>
            </w:r>
            <w:r>
              <w:rPr>
                <w:rFonts w:hint="eastAsia" w:ascii="宋体" w:hAnsi="宋体" w:eastAsia="宋体"/>
                <w:szCs w:val="21"/>
              </w:rPr>
              <w:t>）中无组织监控浓度限值</w:t>
            </w:r>
          </w:p>
        </w:tc>
        <w:tc>
          <w:tcPr>
            <w:tcW w:w="870" w:type="pct"/>
            <w:vAlign w:val="center"/>
          </w:tcPr>
          <w:p w14:paraId="0462362E">
            <w:pPr>
              <w:adjustRightInd w:val="0"/>
              <w:snapToGrid w:val="0"/>
              <w:jc w:val="center"/>
              <w:rPr>
                <w:rFonts w:ascii="宋体" w:hAnsi="宋体" w:eastAsia="宋体"/>
                <w:szCs w:val="21"/>
              </w:rPr>
            </w:pPr>
            <w:r>
              <w:rPr>
                <w:rFonts w:hint="eastAsia" w:ascii="宋体" w:hAnsi="宋体" w:eastAsia="宋体"/>
                <w:szCs w:val="21"/>
              </w:rPr>
              <w:t>/</w:t>
            </w:r>
          </w:p>
        </w:tc>
        <w:tc>
          <w:tcPr>
            <w:tcW w:w="1140" w:type="pct"/>
            <w:vAlign w:val="center"/>
          </w:tcPr>
          <w:p w14:paraId="46C538BC">
            <w:pPr>
              <w:adjustRightInd w:val="0"/>
              <w:snapToGrid w:val="0"/>
              <w:jc w:val="center"/>
              <w:rPr>
                <w:rFonts w:ascii="宋体" w:hAnsi="宋体" w:eastAsia="宋体"/>
                <w:szCs w:val="21"/>
              </w:rPr>
            </w:pPr>
            <w:r>
              <w:rPr>
                <w:rFonts w:hint="eastAsia" w:ascii="宋体" w:hAnsi="宋体" w:eastAsia="宋体"/>
                <w:szCs w:val="21"/>
              </w:rPr>
              <w:t>/</w:t>
            </w:r>
          </w:p>
        </w:tc>
      </w:tr>
      <w:tr w14:paraId="025F43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680" w:hRule="atLeast"/>
          <w:jc w:val="center"/>
        </w:trPr>
        <w:tc>
          <w:tcPr>
            <w:tcW w:w="853" w:type="pct"/>
            <w:vMerge w:val="continue"/>
            <w:vAlign w:val="center"/>
          </w:tcPr>
          <w:p w14:paraId="02D798D9">
            <w:pPr>
              <w:adjustRightInd w:val="0"/>
              <w:snapToGrid w:val="0"/>
              <w:jc w:val="center"/>
              <w:rPr>
                <w:rFonts w:ascii="宋体" w:hAnsi="宋体" w:eastAsia="宋体"/>
                <w:szCs w:val="21"/>
              </w:rPr>
            </w:pPr>
          </w:p>
        </w:tc>
        <w:tc>
          <w:tcPr>
            <w:tcW w:w="997" w:type="pct"/>
            <w:vAlign w:val="center"/>
          </w:tcPr>
          <w:p w14:paraId="240F716F">
            <w:pPr>
              <w:adjustRightInd w:val="0"/>
              <w:snapToGrid w:val="0"/>
              <w:jc w:val="center"/>
              <w:rPr>
                <w:rFonts w:ascii="宋体" w:hAnsi="宋体" w:eastAsia="宋体"/>
                <w:szCs w:val="21"/>
              </w:rPr>
            </w:pPr>
            <w:r>
              <w:rPr>
                <w:rFonts w:hint="eastAsia" w:ascii="宋体" w:hAnsi="宋体" w:eastAsia="宋体"/>
                <w:szCs w:val="21"/>
              </w:rPr>
              <w:t>使用较清洁燃料，同时加强对施工车辆的作业管理</w:t>
            </w:r>
          </w:p>
        </w:tc>
        <w:tc>
          <w:tcPr>
            <w:tcW w:w="1140" w:type="pct"/>
            <w:vMerge w:val="continue"/>
            <w:vAlign w:val="center"/>
          </w:tcPr>
          <w:p w14:paraId="7F7F766E">
            <w:pPr>
              <w:adjustRightInd w:val="0"/>
              <w:snapToGrid w:val="0"/>
              <w:jc w:val="center"/>
              <w:rPr>
                <w:rFonts w:ascii="宋体" w:hAnsi="宋体" w:eastAsia="宋体"/>
                <w:szCs w:val="21"/>
              </w:rPr>
            </w:pPr>
          </w:p>
        </w:tc>
        <w:tc>
          <w:tcPr>
            <w:tcW w:w="870" w:type="pct"/>
            <w:vAlign w:val="center"/>
          </w:tcPr>
          <w:p w14:paraId="57EF5943">
            <w:pPr>
              <w:adjustRightInd w:val="0"/>
              <w:snapToGrid w:val="0"/>
              <w:jc w:val="center"/>
              <w:rPr>
                <w:rFonts w:ascii="宋体" w:hAnsi="宋体" w:eastAsia="宋体"/>
                <w:szCs w:val="21"/>
              </w:rPr>
            </w:pPr>
            <w:r>
              <w:rPr>
                <w:rFonts w:hint="eastAsia" w:ascii="宋体" w:hAnsi="宋体" w:eastAsia="宋体"/>
                <w:szCs w:val="21"/>
              </w:rPr>
              <w:t>/</w:t>
            </w:r>
          </w:p>
        </w:tc>
        <w:tc>
          <w:tcPr>
            <w:tcW w:w="1140" w:type="pct"/>
            <w:vAlign w:val="center"/>
          </w:tcPr>
          <w:p w14:paraId="1440508F">
            <w:pPr>
              <w:adjustRightInd w:val="0"/>
              <w:snapToGrid w:val="0"/>
              <w:jc w:val="center"/>
              <w:rPr>
                <w:rFonts w:ascii="宋体" w:hAnsi="宋体" w:eastAsia="宋体"/>
                <w:szCs w:val="21"/>
              </w:rPr>
            </w:pPr>
            <w:r>
              <w:rPr>
                <w:rFonts w:hint="eastAsia" w:ascii="宋体" w:hAnsi="宋体" w:eastAsia="宋体"/>
                <w:szCs w:val="21"/>
              </w:rPr>
              <w:t>/</w:t>
            </w:r>
          </w:p>
        </w:tc>
      </w:tr>
      <w:tr w14:paraId="3978FE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680" w:hRule="atLeast"/>
          <w:jc w:val="center"/>
        </w:trPr>
        <w:tc>
          <w:tcPr>
            <w:tcW w:w="853" w:type="pct"/>
            <w:vMerge w:val="continue"/>
            <w:vAlign w:val="center"/>
          </w:tcPr>
          <w:p w14:paraId="1B9B75E1">
            <w:pPr>
              <w:adjustRightInd w:val="0"/>
              <w:snapToGrid w:val="0"/>
              <w:jc w:val="center"/>
              <w:rPr>
                <w:rFonts w:ascii="宋体" w:hAnsi="宋体" w:eastAsia="宋体"/>
                <w:szCs w:val="21"/>
              </w:rPr>
            </w:pPr>
          </w:p>
        </w:tc>
        <w:tc>
          <w:tcPr>
            <w:tcW w:w="997" w:type="pct"/>
            <w:vAlign w:val="center"/>
          </w:tcPr>
          <w:p w14:paraId="360608C4">
            <w:pPr>
              <w:adjustRightInd w:val="0"/>
              <w:snapToGrid w:val="0"/>
              <w:jc w:val="center"/>
              <w:rPr>
                <w:rFonts w:ascii="宋体" w:hAnsi="宋体" w:eastAsia="宋体"/>
                <w:szCs w:val="21"/>
              </w:rPr>
            </w:pPr>
            <w:r>
              <w:rPr>
                <w:rFonts w:hint="eastAsia" w:ascii="宋体" w:hAnsi="宋体" w:eastAsia="宋体"/>
                <w:szCs w:val="21"/>
              </w:rPr>
              <w:t>使用含硫量低的柴油，调节好柴油机工况</w:t>
            </w:r>
          </w:p>
        </w:tc>
        <w:tc>
          <w:tcPr>
            <w:tcW w:w="1140" w:type="pct"/>
            <w:vAlign w:val="center"/>
          </w:tcPr>
          <w:p w14:paraId="208B1162">
            <w:pPr>
              <w:adjustRightInd w:val="0"/>
              <w:snapToGrid w:val="0"/>
              <w:jc w:val="center"/>
              <w:rPr>
                <w:rFonts w:ascii="宋体" w:hAnsi="宋体" w:eastAsia="宋体"/>
                <w:szCs w:val="21"/>
              </w:rPr>
            </w:pPr>
            <w:r>
              <w:rPr>
                <w:rFonts w:hint="eastAsia" w:ascii="宋体" w:hAnsi="宋体" w:eastAsia="宋体"/>
                <w:szCs w:val="21"/>
              </w:rPr>
              <w:t>场界满足</w:t>
            </w:r>
            <w:r>
              <w:rPr>
                <w:rFonts w:ascii="宋体" w:hAnsi="宋体" w:eastAsia="宋体"/>
                <w:szCs w:val="21"/>
              </w:rPr>
              <w:t>GB16297-1996</w:t>
            </w:r>
            <w:r>
              <w:rPr>
                <w:rFonts w:hint="eastAsia" w:ascii="宋体" w:hAnsi="宋体" w:eastAsia="宋体"/>
                <w:szCs w:val="21"/>
              </w:rPr>
              <w:t>中无组织监控浓度限值；污染物排放量满足</w:t>
            </w:r>
            <w:r>
              <w:rPr>
                <w:rFonts w:ascii="宋体" w:hAnsi="宋体" w:eastAsia="宋体"/>
                <w:szCs w:val="21"/>
              </w:rPr>
              <w:t>GB36886-2018</w:t>
            </w:r>
            <w:r>
              <w:rPr>
                <w:rFonts w:hint="eastAsia" w:ascii="宋体" w:hAnsi="宋体" w:eastAsia="宋体"/>
                <w:szCs w:val="21"/>
              </w:rPr>
              <w:t>和</w:t>
            </w:r>
            <w:r>
              <w:rPr>
                <w:rFonts w:ascii="宋体" w:hAnsi="宋体" w:eastAsia="宋体"/>
                <w:szCs w:val="21"/>
              </w:rPr>
              <w:t>GB20891-2014</w:t>
            </w:r>
            <w:r>
              <w:rPr>
                <w:rFonts w:hint="eastAsia" w:ascii="宋体" w:hAnsi="宋体" w:eastAsia="宋体"/>
                <w:szCs w:val="21"/>
              </w:rPr>
              <w:t>限值要求</w:t>
            </w:r>
          </w:p>
        </w:tc>
        <w:tc>
          <w:tcPr>
            <w:tcW w:w="870" w:type="pct"/>
            <w:vAlign w:val="center"/>
          </w:tcPr>
          <w:p w14:paraId="1226AFB3">
            <w:pPr>
              <w:adjustRightInd w:val="0"/>
              <w:snapToGrid w:val="0"/>
              <w:jc w:val="center"/>
              <w:rPr>
                <w:rFonts w:ascii="宋体" w:hAnsi="宋体" w:eastAsia="宋体"/>
                <w:szCs w:val="21"/>
              </w:rPr>
            </w:pPr>
            <w:r>
              <w:rPr>
                <w:rFonts w:hint="eastAsia" w:ascii="宋体" w:hAnsi="宋体" w:eastAsia="宋体"/>
                <w:szCs w:val="21"/>
              </w:rPr>
              <w:t>使用含硫量低的柴油，调节好柴油机工况</w:t>
            </w:r>
          </w:p>
        </w:tc>
        <w:tc>
          <w:tcPr>
            <w:tcW w:w="1140" w:type="pct"/>
            <w:vAlign w:val="center"/>
          </w:tcPr>
          <w:p w14:paraId="712F2A5C">
            <w:pPr>
              <w:adjustRightInd w:val="0"/>
              <w:snapToGrid w:val="0"/>
              <w:jc w:val="center"/>
              <w:rPr>
                <w:rFonts w:ascii="宋体" w:hAnsi="宋体" w:eastAsia="宋体"/>
                <w:szCs w:val="21"/>
              </w:rPr>
            </w:pPr>
            <w:r>
              <w:rPr>
                <w:rFonts w:hint="eastAsia" w:ascii="宋体" w:hAnsi="宋体" w:eastAsia="宋体"/>
                <w:szCs w:val="21"/>
              </w:rPr>
              <w:t>场界满足</w:t>
            </w:r>
            <w:r>
              <w:rPr>
                <w:rFonts w:ascii="宋体" w:hAnsi="宋体" w:eastAsia="宋体"/>
                <w:szCs w:val="21"/>
              </w:rPr>
              <w:t xml:space="preserve">GB16297-1996 </w:t>
            </w:r>
            <w:r>
              <w:rPr>
                <w:rFonts w:hint="eastAsia" w:ascii="宋体" w:hAnsi="宋体" w:eastAsia="宋体"/>
                <w:szCs w:val="21"/>
              </w:rPr>
              <w:t>中无组织监控浓度限值；污染物排放量满足</w:t>
            </w:r>
            <w:r>
              <w:rPr>
                <w:rFonts w:ascii="宋体" w:hAnsi="宋体" w:eastAsia="宋体"/>
                <w:szCs w:val="21"/>
              </w:rPr>
              <w:t xml:space="preserve">GB36886-2018 </w:t>
            </w:r>
            <w:r>
              <w:rPr>
                <w:rFonts w:hint="eastAsia" w:ascii="宋体" w:hAnsi="宋体" w:eastAsia="宋体"/>
                <w:szCs w:val="21"/>
              </w:rPr>
              <w:t>和</w:t>
            </w:r>
            <w:r>
              <w:rPr>
                <w:rFonts w:ascii="宋体" w:hAnsi="宋体" w:eastAsia="宋体"/>
                <w:szCs w:val="21"/>
              </w:rPr>
              <w:t>GB20891-2014</w:t>
            </w:r>
            <w:r>
              <w:rPr>
                <w:rFonts w:hint="eastAsia" w:ascii="宋体" w:hAnsi="宋体" w:eastAsia="宋体"/>
                <w:szCs w:val="21"/>
              </w:rPr>
              <w:t>限值要求</w:t>
            </w:r>
          </w:p>
        </w:tc>
      </w:tr>
      <w:tr w14:paraId="5CF1F3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680" w:hRule="atLeast"/>
          <w:jc w:val="center"/>
        </w:trPr>
        <w:tc>
          <w:tcPr>
            <w:tcW w:w="853" w:type="pct"/>
            <w:vMerge w:val="continue"/>
            <w:vAlign w:val="center"/>
          </w:tcPr>
          <w:p w14:paraId="71C5E1A1">
            <w:pPr>
              <w:adjustRightInd w:val="0"/>
              <w:snapToGrid w:val="0"/>
              <w:jc w:val="center"/>
              <w:rPr>
                <w:rFonts w:ascii="宋体" w:hAnsi="宋体" w:eastAsia="宋体"/>
                <w:szCs w:val="21"/>
              </w:rPr>
            </w:pPr>
          </w:p>
        </w:tc>
        <w:tc>
          <w:tcPr>
            <w:tcW w:w="997" w:type="pct"/>
            <w:vAlign w:val="center"/>
          </w:tcPr>
          <w:p w14:paraId="4F6DE09D">
            <w:pPr>
              <w:adjustRightInd w:val="0"/>
              <w:snapToGrid w:val="0"/>
              <w:jc w:val="center"/>
              <w:rPr>
                <w:rFonts w:ascii="宋体" w:hAnsi="宋体" w:eastAsia="宋体"/>
                <w:szCs w:val="21"/>
              </w:rPr>
            </w:pPr>
            <w:r>
              <w:rPr>
                <w:rFonts w:hint="eastAsia" w:ascii="宋体" w:hAnsi="宋体" w:eastAsia="宋体"/>
                <w:szCs w:val="21"/>
              </w:rPr>
              <w:t>/</w:t>
            </w:r>
          </w:p>
        </w:tc>
        <w:tc>
          <w:tcPr>
            <w:tcW w:w="1140" w:type="pct"/>
            <w:vAlign w:val="center"/>
          </w:tcPr>
          <w:p w14:paraId="454EBC14">
            <w:pPr>
              <w:adjustRightInd w:val="0"/>
              <w:snapToGrid w:val="0"/>
              <w:jc w:val="center"/>
              <w:rPr>
                <w:rFonts w:ascii="宋体" w:hAnsi="宋体" w:eastAsia="宋体"/>
                <w:szCs w:val="21"/>
              </w:rPr>
            </w:pPr>
            <w:r>
              <w:rPr>
                <w:rFonts w:hint="eastAsia" w:ascii="宋体" w:hAnsi="宋体" w:eastAsia="宋体"/>
                <w:szCs w:val="21"/>
              </w:rPr>
              <w:t>/</w:t>
            </w:r>
          </w:p>
        </w:tc>
        <w:tc>
          <w:tcPr>
            <w:tcW w:w="870" w:type="pct"/>
            <w:vAlign w:val="center"/>
          </w:tcPr>
          <w:p w14:paraId="78922B52">
            <w:pPr>
              <w:adjustRightInd w:val="0"/>
              <w:snapToGrid w:val="0"/>
              <w:jc w:val="center"/>
              <w:rPr>
                <w:rFonts w:ascii="宋体" w:hAnsi="宋体" w:eastAsia="宋体"/>
                <w:szCs w:val="21"/>
              </w:rPr>
            </w:pPr>
            <w:r>
              <w:rPr>
                <w:rFonts w:hint="eastAsia" w:ascii="宋体" w:hAnsi="宋体" w:eastAsia="宋体"/>
                <w:szCs w:val="21"/>
              </w:rPr>
              <w:t>各井场均建有点火方箱，试气期将</w:t>
            </w:r>
            <w:r>
              <w:rPr>
                <w:rFonts w:hint="eastAsia"/>
              </w:rPr>
              <w:t>致密气</w:t>
            </w:r>
            <w:r>
              <w:rPr>
                <w:rFonts w:hint="eastAsia" w:ascii="宋体" w:hAnsi="宋体" w:eastAsia="宋体"/>
                <w:szCs w:val="21"/>
              </w:rPr>
              <w:t>通过点火方箱点火排空</w:t>
            </w:r>
          </w:p>
        </w:tc>
        <w:tc>
          <w:tcPr>
            <w:tcW w:w="1140" w:type="pct"/>
            <w:vAlign w:val="center"/>
          </w:tcPr>
          <w:p w14:paraId="1A94E3C0">
            <w:pPr>
              <w:adjustRightInd w:val="0"/>
              <w:snapToGrid w:val="0"/>
              <w:jc w:val="center"/>
              <w:rPr>
                <w:rFonts w:ascii="宋体" w:hAnsi="宋体" w:eastAsia="宋体"/>
                <w:szCs w:val="21"/>
              </w:rPr>
            </w:pPr>
            <w:r>
              <w:rPr>
                <w:rFonts w:hint="eastAsia" w:ascii="宋体" w:hAnsi="宋体" w:eastAsia="宋体"/>
                <w:szCs w:val="21"/>
              </w:rPr>
              <w:t>禁止</w:t>
            </w:r>
            <w:r>
              <w:rPr>
                <w:rFonts w:hint="eastAsia"/>
              </w:rPr>
              <w:t>致密气</w:t>
            </w:r>
            <w:r>
              <w:rPr>
                <w:rFonts w:hint="eastAsia" w:ascii="宋体" w:hAnsi="宋体" w:eastAsia="宋体"/>
                <w:szCs w:val="21"/>
              </w:rPr>
              <w:t>直接排放</w:t>
            </w:r>
          </w:p>
        </w:tc>
      </w:tr>
      <w:tr w14:paraId="1DD923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680" w:hRule="atLeast"/>
          <w:jc w:val="center"/>
        </w:trPr>
        <w:tc>
          <w:tcPr>
            <w:tcW w:w="853" w:type="pct"/>
            <w:vMerge w:val="restart"/>
            <w:vAlign w:val="center"/>
          </w:tcPr>
          <w:p w14:paraId="4906EDD4">
            <w:pPr>
              <w:adjustRightInd w:val="0"/>
              <w:snapToGrid w:val="0"/>
              <w:jc w:val="center"/>
              <w:rPr>
                <w:rFonts w:ascii="宋体" w:hAnsi="宋体" w:eastAsia="宋体"/>
                <w:szCs w:val="21"/>
              </w:rPr>
            </w:pPr>
            <w:r>
              <w:rPr>
                <w:rFonts w:ascii="宋体" w:hAnsi="宋体" w:eastAsia="宋体"/>
                <w:szCs w:val="21"/>
              </w:rPr>
              <w:t>固体废物</w:t>
            </w:r>
          </w:p>
        </w:tc>
        <w:tc>
          <w:tcPr>
            <w:tcW w:w="997" w:type="pct"/>
            <w:vAlign w:val="center"/>
          </w:tcPr>
          <w:p w14:paraId="29DEB443">
            <w:pPr>
              <w:adjustRightInd w:val="0"/>
              <w:snapToGrid w:val="0"/>
              <w:jc w:val="center"/>
              <w:rPr>
                <w:rFonts w:ascii="宋体" w:hAnsi="宋体" w:eastAsia="宋体"/>
                <w:szCs w:val="21"/>
              </w:rPr>
            </w:pPr>
            <w:r>
              <w:rPr>
                <w:rFonts w:hint="eastAsia" w:ascii="宋体" w:hAnsi="宋体" w:eastAsia="宋体"/>
                <w:szCs w:val="21"/>
              </w:rPr>
              <w:t>构筑土坝、泥浆池土方回填、井场土地复垦、地基挖高填低处理</w:t>
            </w:r>
          </w:p>
        </w:tc>
        <w:tc>
          <w:tcPr>
            <w:tcW w:w="1140" w:type="pct"/>
            <w:vAlign w:val="center"/>
          </w:tcPr>
          <w:p w14:paraId="5FB62470">
            <w:pPr>
              <w:adjustRightInd w:val="0"/>
              <w:snapToGrid w:val="0"/>
              <w:jc w:val="center"/>
              <w:rPr>
                <w:rFonts w:ascii="宋体" w:hAnsi="宋体" w:eastAsia="宋体"/>
                <w:szCs w:val="21"/>
              </w:rPr>
            </w:pPr>
            <w:r>
              <w:rPr>
                <w:rFonts w:hint="eastAsia" w:ascii="宋体" w:hAnsi="宋体" w:eastAsia="宋体"/>
                <w:szCs w:val="21"/>
              </w:rPr>
              <w:t>土方平衡、无弃渣</w:t>
            </w:r>
          </w:p>
        </w:tc>
        <w:tc>
          <w:tcPr>
            <w:tcW w:w="870" w:type="pct"/>
            <w:vAlign w:val="center"/>
          </w:tcPr>
          <w:p w14:paraId="69A0BC12">
            <w:pPr>
              <w:adjustRightInd w:val="0"/>
              <w:snapToGrid w:val="0"/>
              <w:jc w:val="center"/>
              <w:rPr>
                <w:rFonts w:ascii="宋体" w:hAnsi="宋体" w:eastAsia="宋体"/>
                <w:szCs w:val="21"/>
              </w:rPr>
            </w:pPr>
            <w:r>
              <w:rPr>
                <w:rFonts w:hint="eastAsia" w:ascii="宋体" w:hAnsi="宋体" w:eastAsia="宋体"/>
                <w:szCs w:val="21"/>
              </w:rPr>
              <w:t>/</w:t>
            </w:r>
          </w:p>
        </w:tc>
        <w:tc>
          <w:tcPr>
            <w:tcW w:w="1140" w:type="pct"/>
            <w:vAlign w:val="center"/>
          </w:tcPr>
          <w:p w14:paraId="565BE125">
            <w:pPr>
              <w:adjustRightInd w:val="0"/>
              <w:snapToGrid w:val="0"/>
              <w:jc w:val="center"/>
              <w:rPr>
                <w:rFonts w:ascii="宋体" w:hAnsi="宋体" w:eastAsia="宋体"/>
                <w:szCs w:val="21"/>
              </w:rPr>
            </w:pPr>
            <w:r>
              <w:rPr>
                <w:rFonts w:hint="eastAsia" w:ascii="宋体" w:hAnsi="宋体" w:eastAsia="宋体"/>
                <w:szCs w:val="21"/>
              </w:rPr>
              <w:t>/</w:t>
            </w:r>
          </w:p>
        </w:tc>
      </w:tr>
      <w:tr w14:paraId="4EEBC4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680" w:hRule="atLeast"/>
          <w:jc w:val="center"/>
        </w:trPr>
        <w:tc>
          <w:tcPr>
            <w:tcW w:w="853" w:type="pct"/>
            <w:vMerge w:val="continue"/>
            <w:vAlign w:val="center"/>
          </w:tcPr>
          <w:p w14:paraId="2E3E733E">
            <w:pPr>
              <w:adjustRightInd w:val="0"/>
              <w:snapToGrid w:val="0"/>
              <w:jc w:val="center"/>
              <w:rPr>
                <w:rFonts w:ascii="宋体" w:hAnsi="宋体" w:eastAsia="宋体"/>
                <w:szCs w:val="21"/>
              </w:rPr>
            </w:pPr>
          </w:p>
        </w:tc>
        <w:tc>
          <w:tcPr>
            <w:tcW w:w="997" w:type="pct"/>
            <w:vAlign w:val="center"/>
          </w:tcPr>
          <w:p w14:paraId="2CD7E538">
            <w:pPr>
              <w:adjustRightInd w:val="0"/>
              <w:snapToGrid w:val="0"/>
              <w:jc w:val="center"/>
              <w:rPr>
                <w:rFonts w:ascii="宋体" w:hAnsi="宋体" w:eastAsia="宋体"/>
                <w:szCs w:val="21"/>
              </w:rPr>
            </w:pPr>
            <w:r>
              <w:rPr>
                <w:rFonts w:hint="eastAsia" w:ascii="宋体" w:hAnsi="宋体" w:eastAsia="宋体"/>
                <w:szCs w:val="21"/>
              </w:rPr>
              <w:t>振动筛将岩屑从泥浆中分离出来排入循环池。待干化后和废泥浆一并无害化处理</w:t>
            </w:r>
          </w:p>
        </w:tc>
        <w:tc>
          <w:tcPr>
            <w:tcW w:w="1140" w:type="pct"/>
            <w:vMerge w:val="restart"/>
            <w:vAlign w:val="center"/>
          </w:tcPr>
          <w:p w14:paraId="71816B0F">
            <w:pPr>
              <w:adjustRightInd w:val="0"/>
              <w:snapToGrid w:val="0"/>
              <w:jc w:val="center"/>
              <w:rPr>
                <w:rFonts w:ascii="宋体" w:hAnsi="宋体" w:eastAsia="宋体"/>
                <w:szCs w:val="21"/>
              </w:rPr>
            </w:pPr>
            <w:r>
              <w:rPr>
                <w:rFonts w:hint="eastAsia" w:ascii="宋体" w:hAnsi="宋体" w:eastAsia="宋体"/>
                <w:szCs w:val="21"/>
              </w:rPr>
              <w:t>《一般工业固体废物贮存和填埋污染控制标准》（</w:t>
            </w:r>
            <w:r>
              <w:rPr>
                <w:rFonts w:ascii="宋体" w:hAnsi="宋体" w:eastAsia="宋体"/>
                <w:szCs w:val="21"/>
              </w:rPr>
              <w:t>GB18599-2020</w:t>
            </w:r>
            <w:r>
              <w:rPr>
                <w:rFonts w:hint="eastAsia" w:ascii="宋体" w:hAnsi="宋体" w:eastAsia="宋体"/>
                <w:szCs w:val="21"/>
              </w:rPr>
              <w:t>）</w:t>
            </w:r>
          </w:p>
        </w:tc>
        <w:tc>
          <w:tcPr>
            <w:tcW w:w="870" w:type="pct"/>
            <w:vAlign w:val="center"/>
          </w:tcPr>
          <w:p w14:paraId="0CF516DD">
            <w:pPr>
              <w:adjustRightInd w:val="0"/>
              <w:snapToGrid w:val="0"/>
              <w:jc w:val="center"/>
              <w:rPr>
                <w:rFonts w:ascii="宋体" w:hAnsi="宋体" w:eastAsia="宋体"/>
                <w:szCs w:val="21"/>
              </w:rPr>
            </w:pPr>
            <w:r>
              <w:rPr>
                <w:rFonts w:hint="eastAsia" w:ascii="宋体" w:hAnsi="宋体" w:eastAsia="宋体"/>
                <w:szCs w:val="21"/>
              </w:rPr>
              <w:t>/</w:t>
            </w:r>
          </w:p>
        </w:tc>
        <w:tc>
          <w:tcPr>
            <w:tcW w:w="1140" w:type="pct"/>
            <w:vAlign w:val="center"/>
          </w:tcPr>
          <w:p w14:paraId="317ACBDE">
            <w:pPr>
              <w:adjustRightInd w:val="0"/>
              <w:snapToGrid w:val="0"/>
              <w:jc w:val="center"/>
              <w:rPr>
                <w:rFonts w:ascii="宋体" w:hAnsi="宋体" w:eastAsia="宋体"/>
                <w:szCs w:val="21"/>
              </w:rPr>
            </w:pPr>
            <w:r>
              <w:rPr>
                <w:rFonts w:hint="eastAsia" w:ascii="宋体" w:hAnsi="宋体" w:eastAsia="宋体"/>
                <w:szCs w:val="21"/>
              </w:rPr>
              <w:t>/</w:t>
            </w:r>
          </w:p>
        </w:tc>
      </w:tr>
      <w:tr w14:paraId="1AB7AF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680" w:hRule="atLeast"/>
          <w:jc w:val="center"/>
        </w:trPr>
        <w:tc>
          <w:tcPr>
            <w:tcW w:w="853" w:type="pct"/>
            <w:vMerge w:val="continue"/>
            <w:vAlign w:val="center"/>
          </w:tcPr>
          <w:p w14:paraId="45D421AA">
            <w:pPr>
              <w:adjustRightInd w:val="0"/>
              <w:snapToGrid w:val="0"/>
              <w:jc w:val="center"/>
              <w:rPr>
                <w:rFonts w:ascii="宋体" w:hAnsi="宋体" w:eastAsia="宋体"/>
                <w:szCs w:val="21"/>
              </w:rPr>
            </w:pPr>
          </w:p>
        </w:tc>
        <w:tc>
          <w:tcPr>
            <w:tcW w:w="997" w:type="pct"/>
            <w:vAlign w:val="center"/>
          </w:tcPr>
          <w:p w14:paraId="761C57DD">
            <w:pPr>
              <w:adjustRightInd w:val="0"/>
              <w:snapToGrid w:val="0"/>
              <w:jc w:val="center"/>
              <w:rPr>
                <w:rFonts w:ascii="宋体" w:hAnsi="宋体" w:eastAsia="宋体"/>
                <w:szCs w:val="21"/>
              </w:rPr>
            </w:pPr>
            <w:r>
              <w:rPr>
                <w:rFonts w:hint="eastAsia" w:ascii="宋体" w:hAnsi="宋体" w:eastAsia="宋体"/>
                <w:szCs w:val="21"/>
              </w:rPr>
              <w:t>泥浆池采用防渗处理；废泥浆采用泥浆处理剂处理脱水后再行固化、无害化处理</w:t>
            </w:r>
          </w:p>
        </w:tc>
        <w:tc>
          <w:tcPr>
            <w:tcW w:w="1140" w:type="pct"/>
            <w:vMerge w:val="continue"/>
            <w:vAlign w:val="center"/>
          </w:tcPr>
          <w:p w14:paraId="3863A2B6">
            <w:pPr>
              <w:adjustRightInd w:val="0"/>
              <w:snapToGrid w:val="0"/>
              <w:jc w:val="center"/>
              <w:rPr>
                <w:rFonts w:ascii="宋体" w:hAnsi="宋体" w:eastAsia="宋体"/>
                <w:szCs w:val="21"/>
              </w:rPr>
            </w:pPr>
          </w:p>
        </w:tc>
        <w:tc>
          <w:tcPr>
            <w:tcW w:w="870" w:type="pct"/>
            <w:vAlign w:val="center"/>
          </w:tcPr>
          <w:p w14:paraId="6165E978">
            <w:pPr>
              <w:adjustRightInd w:val="0"/>
              <w:snapToGrid w:val="0"/>
              <w:jc w:val="center"/>
              <w:rPr>
                <w:rFonts w:ascii="宋体" w:hAnsi="宋体" w:eastAsia="宋体"/>
                <w:szCs w:val="21"/>
              </w:rPr>
            </w:pPr>
            <w:r>
              <w:rPr>
                <w:rFonts w:hint="eastAsia" w:ascii="宋体" w:hAnsi="宋体" w:eastAsia="宋体"/>
                <w:szCs w:val="21"/>
              </w:rPr>
              <w:t>/</w:t>
            </w:r>
          </w:p>
        </w:tc>
        <w:tc>
          <w:tcPr>
            <w:tcW w:w="1140" w:type="pct"/>
            <w:vAlign w:val="center"/>
          </w:tcPr>
          <w:p w14:paraId="1DBA9A21">
            <w:pPr>
              <w:adjustRightInd w:val="0"/>
              <w:snapToGrid w:val="0"/>
              <w:jc w:val="center"/>
              <w:rPr>
                <w:rFonts w:ascii="宋体" w:hAnsi="宋体" w:eastAsia="宋体"/>
                <w:szCs w:val="21"/>
              </w:rPr>
            </w:pPr>
            <w:r>
              <w:rPr>
                <w:rFonts w:hint="eastAsia" w:ascii="宋体" w:hAnsi="宋体" w:eastAsia="宋体"/>
                <w:szCs w:val="21"/>
              </w:rPr>
              <w:t>/</w:t>
            </w:r>
          </w:p>
        </w:tc>
      </w:tr>
      <w:tr w14:paraId="5B6B33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680" w:hRule="atLeast"/>
          <w:jc w:val="center"/>
        </w:trPr>
        <w:tc>
          <w:tcPr>
            <w:tcW w:w="853" w:type="pct"/>
            <w:vMerge w:val="continue"/>
            <w:vAlign w:val="center"/>
          </w:tcPr>
          <w:p w14:paraId="13CC98C8">
            <w:pPr>
              <w:adjustRightInd w:val="0"/>
              <w:snapToGrid w:val="0"/>
              <w:jc w:val="center"/>
              <w:rPr>
                <w:rFonts w:ascii="宋体" w:hAnsi="宋体" w:eastAsia="宋体"/>
                <w:szCs w:val="21"/>
              </w:rPr>
            </w:pPr>
          </w:p>
        </w:tc>
        <w:tc>
          <w:tcPr>
            <w:tcW w:w="997" w:type="pct"/>
            <w:vAlign w:val="center"/>
          </w:tcPr>
          <w:p w14:paraId="2B0DDD8A">
            <w:pPr>
              <w:adjustRightInd w:val="0"/>
              <w:snapToGrid w:val="0"/>
              <w:jc w:val="center"/>
              <w:rPr>
                <w:rFonts w:ascii="宋体" w:hAnsi="宋体" w:eastAsia="宋体"/>
                <w:szCs w:val="21"/>
              </w:rPr>
            </w:pPr>
            <w:r>
              <w:rPr>
                <w:rFonts w:hint="eastAsia" w:ascii="宋体" w:hAnsi="宋体" w:eastAsia="宋体"/>
                <w:szCs w:val="21"/>
              </w:rPr>
              <w:t>废矿物油、废油桶、废棉纱、</w:t>
            </w:r>
            <w:r>
              <w:rPr>
                <w:rFonts w:ascii="宋体" w:hAnsi="宋体" w:eastAsia="宋体"/>
                <w:szCs w:val="21"/>
              </w:rPr>
              <w:t>废</w:t>
            </w:r>
            <w:r>
              <w:rPr>
                <w:rFonts w:hint="eastAsia" w:ascii="宋体" w:hAnsi="宋体" w:eastAsia="宋体"/>
                <w:szCs w:val="21"/>
              </w:rPr>
              <w:t>手套暂存于各井场设置的</w:t>
            </w:r>
            <w:r>
              <w:rPr>
                <w:rFonts w:ascii="宋体" w:hAnsi="宋体" w:eastAsia="宋体"/>
                <w:szCs w:val="21"/>
              </w:rPr>
              <w:t>10m</w:t>
            </w:r>
            <w:r>
              <w:rPr>
                <w:rFonts w:ascii="宋体" w:hAnsi="宋体" w:eastAsia="宋体"/>
                <w:szCs w:val="21"/>
                <w:vertAlign w:val="superscript"/>
              </w:rPr>
              <w:t>2</w:t>
            </w:r>
            <w:r>
              <w:rPr>
                <w:rFonts w:hint="eastAsia" w:ascii="宋体" w:hAnsi="宋体" w:eastAsia="宋体"/>
                <w:szCs w:val="21"/>
              </w:rPr>
              <w:t>撬装式危废贮存点，定期交由具有资质的危废处理单位处理</w:t>
            </w:r>
          </w:p>
        </w:tc>
        <w:tc>
          <w:tcPr>
            <w:tcW w:w="1140" w:type="pct"/>
            <w:vAlign w:val="center"/>
          </w:tcPr>
          <w:p w14:paraId="4DF8C967">
            <w:pPr>
              <w:adjustRightInd w:val="0"/>
              <w:snapToGrid w:val="0"/>
              <w:jc w:val="center"/>
              <w:rPr>
                <w:rFonts w:ascii="宋体" w:hAnsi="宋体" w:eastAsia="宋体"/>
                <w:szCs w:val="21"/>
              </w:rPr>
            </w:pPr>
            <w:r>
              <w:rPr>
                <w:rFonts w:hint="eastAsia" w:ascii="宋体" w:hAnsi="宋体" w:eastAsia="宋体"/>
                <w:szCs w:val="21"/>
              </w:rPr>
              <w:t>危险废物执行《危险废物贮存污染控制标准》</w:t>
            </w:r>
            <w:r>
              <w:rPr>
                <w:rFonts w:ascii="宋体" w:hAnsi="宋体" w:eastAsia="宋体"/>
                <w:szCs w:val="21"/>
              </w:rPr>
              <w:t>(GB18597-2023)、《危险废物储存、贮存、运输技术规范》（HJ2025-2012）、《建设项目危险废物环境影响评价指南》（环境保护部2017年第43号公告）的有关规定。危险废物贮存库设置标志执行《危险废物识别标志设置技术规范（HJ1276-2022）》、《环境保护图形标志—固体废物贮存（处置）场》（GB15562.2-1995）修改单（生态环境部公告2023年第5号）</w:t>
            </w:r>
          </w:p>
        </w:tc>
        <w:tc>
          <w:tcPr>
            <w:tcW w:w="870" w:type="pct"/>
            <w:vAlign w:val="center"/>
          </w:tcPr>
          <w:p w14:paraId="5C535F30">
            <w:pPr>
              <w:adjustRightInd w:val="0"/>
              <w:snapToGrid w:val="0"/>
              <w:jc w:val="center"/>
              <w:rPr>
                <w:rFonts w:ascii="宋体" w:hAnsi="宋体" w:eastAsia="宋体"/>
                <w:szCs w:val="21"/>
              </w:rPr>
            </w:pPr>
            <w:r>
              <w:rPr>
                <w:rFonts w:hint="eastAsia" w:ascii="宋体" w:hAnsi="宋体" w:eastAsia="宋体"/>
                <w:szCs w:val="21"/>
              </w:rPr>
              <w:t>废矿物油、废油桶、废棉纱、</w:t>
            </w:r>
            <w:r>
              <w:rPr>
                <w:rFonts w:ascii="宋体" w:hAnsi="宋体" w:eastAsia="宋体"/>
                <w:szCs w:val="21"/>
              </w:rPr>
              <w:t>废</w:t>
            </w:r>
            <w:r>
              <w:rPr>
                <w:rFonts w:hint="eastAsia" w:ascii="宋体" w:hAnsi="宋体" w:eastAsia="宋体"/>
                <w:szCs w:val="21"/>
              </w:rPr>
              <w:t>手套暂存于各井场设置的</w:t>
            </w:r>
            <w:r>
              <w:rPr>
                <w:rFonts w:ascii="宋体" w:hAnsi="宋体" w:eastAsia="宋体"/>
                <w:szCs w:val="21"/>
              </w:rPr>
              <w:t>10m</w:t>
            </w:r>
            <w:r>
              <w:rPr>
                <w:rFonts w:ascii="宋体" w:hAnsi="宋体" w:eastAsia="宋体"/>
                <w:szCs w:val="21"/>
                <w:vertAlign w:val="superscript"/>
              </w:rPr>
              <w:t>2</w:t>
            </w:r>
            <w:r>
              <w:rPr>
                <w:rFonts w:hint="eastAsia" w:ascii="宋体" w:hAnsi="宋体" w:eastAsia="宋体"/>
                <w:szCs w:val="21"/>
              </w:rPr>
              <w:t>危撬装式危废贮存点，定期交由具有资质的危废处理单位处理</w:t>
            </w:r>
          </w:p>
        </w:tc>
        <w:tc>
          <w:tcPr>
            <w:tcW w:w="1140" w:type="pct"/>
            <w:vAlign w:val="center"/>
          </w:tcPr>
          <w:p w14:paraId="0577AE6D">
            <w:pPr>
              <w:adjustRightInd w:val="0"/>
              <w:snapToGrid w:val="0"/>
              <w:jc w:val="center"/>
              <w:rPr>
                <w:rFonts w:ascii="宋体" w:hAnsi="宋体" w:eastAsia="宋体"/>
                <w:szCs w:val="21"/>
              </w:rPr>
            </w:pPr>
            <w:r>
              <w:rPr>
                <w:rFonts w:hint="eastAsia" w:ascii="宋体" w:hAnsi="宋体" w:eastAsia="宋体"/>
                <w:szCs w:val="21"/>
              </w:rPr>
              <w:t>危险废物执行《危险废物贮存污染控制标准》</w:t>
            </w:r>
            <w:r>
              <w:rPr>
                <w:rFonts w:ascii="宋体" w:hAnsi="宋体" w:eastAsia="宋体"/>
                <w:szCs w:val="21"/>
              </w:rPr>
              <w:t>(GB18597-2023)、《危险废物储存、贮存、运输技术规范》（HJ2025-2012）、《建设项目危险废物环境影响评价指南》（环境保护部2017年第43号公告）的有关规定。危险废物贮存库设置标志执行《危险废物识别标志设置技术规范（HJ1276-2022）》、《环境保护图形标志—固体废物贮存（处置）场》（GB15562.2-1995）修改单（生态环境部公告2023年第5号）</w:t>
            </w:r>
          </w:p>
        </w:tc>
      </w:tr>
      <w:tr w14:paraId="18C29F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680" w:hRule="atLeast"/>
          <w:jc w:val="center"/>
        </w:trPr>
        <w:tc>
          <w:tcPr>
            <w:tcW w:w="853" w:type="pct"/>
            <w:vMerge w:val="continue"/>
            <w:vAlign w:val="center"/>
          </w:tcPr>
          <w:p w14:paraId="3AB620B7">
            <w:pPr>
              <w:adjustRightInd w:val="0"/>
              <w:snapToGrid w:val="0"/>
              <w:jc w:val="center"/>
              <w:rPr>
                <w:rFonts w:ascii="宋体" w:hAnsi="宋体" w:eastAsia="宋体"/>
                <w:szCs w:val="21"/>
              </w:rPr>
            </w:pPr>
          </w:p>
        </w:tc>
        <w:tc>
          <w:tcPr>
            <w:tcW w:w="2137" w:type="pct"/>
            <w:gridSpan w:val="2"/>
            <w:vAlign w:val="center"/>
          </w:tcPr>
          <w:p w14:paraId="7811E1F8">
            <w:pPr>
              <w:adjustRightInd w:val="0"/>
              <w:snapToGrid w:val="0"/>
              <w:jc w:val="center"/>
              <w:rPr>
                <w:rFonts w:ascii="宋体" w:hAnsi="宋体" w:eastAsia="宋体"/>
                <w:szCs w:val="21"/>
              </w:rPr>
            </w:pPr>
            <w:r>
              <w:rPr>
                <w:rFonts w:hint="eastAsia" w:ascii="宋体" w:hAnsi="宋体" w:eastAsia="宋体"/>
                <w:szCs w:val="21"/>
              </w:rPr>
              <w:t>各井场设生活垃圾桶进行收集，定期送当地环卫部门指定地点，由当地环卫部门统一处理。</w:t>
            </w:r>
          </w:p>
        </w:tc>
        <w:tc>
          <w:tcPr>
            <w:tcW w:w="870" w:type="pct"/>
            <w:vAlign w:val="center"/>
          </w:tcPr>
          <w:p w14:paraId="6116F0F6">
            <w:pPr>
              <w:adjustRightInd w:val="0"/>
              <w:snapToGrid w:val="0"/>
              <w:jc w:val="center"/>
              <w:rPr>
                <w:rFonts w:ascii="宋体" w:hAnsi="宋体" w:eastAsia="宋体"/>
                <w:szCs w:val="21"/>
              </w:rPr>
            </w:pPr>
            <w:r>
              <w:rPr>
                <w:rFonts w:hint="eastAsia" w:ascii="宋体" w:hAnsi="宋体" w:eastAsia="宋体"/>
                <w:szCs w:val="21"/>
              </w:rPr>
              <w:t>/</w:t>
            </w:r>
          </w:p>
        </w:tc>
        <w:tc>
          <w:tcPr>
            <w:tcW w:w="1140" w:type="pct"/>
            <w:vAlign w:val="center"/>
          </w:tcPr>
          <w:p w14:paraId="4826EF99">
            <w:pPr>
              <w:adjustRightInd w:val="0"/>
              <w:snapToGrid w:val="0"/>
              <w:jc w:val="center"/>
              <w:rPr>
                <w:rFonts w:ascii="宋体" w:hAnsi="宋体" w:eastAsia="宋体"/>
                <w:szCs w:val="21"/>
              </w:rPr>
            </w:pPr>
            <w:r>
              <w:rPr>
                <w:rFonts w:hint="eastAsia" w:ascii="宋体" w:hAnsi="宋体" w:eastAsia="宋体"/>
                <w:szCs w:val="21"/>
              </w:rPr>
              <w:t>/</w:t>
            </w:r>
          </w:p>
        </w:tc>
      </w:tr>
      <w:tr w14:paraId="34D627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680" w:hRule="atLeast"/>
          <w:jc w:val="center"/>
        </w:trPr>
        <w:tc>
          <w:tcPr>
            <w:tcW w:w="853" w:type="pct"/>
            <w:vAlign w:val="center"/>
          </w:tcPr>
          <w:p w14:paraId="7D6B8A3D">
            <w:pPr>
              <w:adjustRightInd w:val="0"/>
              <w:snapToGrid w:val="0"/>
              <w:jc w:val="center"/>
              <w:rPr>
                <w:rFonts w:ascii="宋体" w:hAnsi="宋体" w:eastAsia="宋体"/>
                <w:szCs w:val="21"/>
              </w:rPr>
            </w:pPr>
            <w:r>
              <w:rPr>
                <w:rFonts w:ascii="宋体" w:hAnsi="宋体" w:eastAsia="宋体"/>
                <w:szCs w:val="21"/>
              </w:rPr>
              <w:t>电磁环境</w:t>
            </w:r>
          </w:p>
        </w:tc>
        <w:tc>
          <w:tcPr>
            <w:tcW w:w="997" w:type="pct"/>
            <w:vAlign w:val="center"/>
          </w:tcPr>
          <w:p w14:paraId="21A33E59">
            <w:pPr>
              <w:adjustRightInd w:val="0"/>
              <w:snapToGrid w:val="0"/>
              <w:jc w:val="center"/>
              <w:rPr>
                <w:rFonts w:ascii="宋体" w:hAnsi="宋体" w:eastAsia="宋体"/>
                <w:szCs w:val="21"/>
              </w:rPr>
            </w:pPr>
            <w:r>
              <w:rPr>
                <w:rFonts w:hint="eastAsia" w:ascii="宋体" w:hAnsi="宋体" w:eastAsia="宋体"/>
                <w:szCs w:val="21"/>
              </w:rPr>
              <w:t>/</w:t>
            </w:r>
          </w:p>
        </w:tc>
        <w:tc>
          <w:tcPr>
            <w:tcW w:w="1140" w:type="pct"/>
            <w:vAlign w:val="center"/>
          </w:tcPr>
          <w:p w14:paraId="0E9B9D4C">
            <w:pPr>
              <w:adjustRightInd w:val="0"/>
              <w:snapToGrid w:val="0"/>
              <w:jc w:val="center"/>
              <w:rPr>
                <w:rFonts w:ascii="宋体" w:hAnsi="宋体" w:eastAsia="宋体"/>
                <w:szCs w:val="21"/>
              </w:rPr>
            </w:pPr>
            <w:r>
              <w:rPr>
                <w:rFonts w:hint="eastAsia" w:ascii="宋体" w:hAnsi="宋体" w:eastAsia="宋体"/>
                <w:szCs w:val="21"/>
              </w:rPr>
              <w:t>/</w:t>
            </w:r>
          </w:p>
        </w:tc>
        <w:tc>
          <w:tcPr>
            <w:tcW w:w="870" w:type="pct"/>
            <w:vAlign w:val="center"/>
          </w:tcPr>
          <w:p w14:paraId="02EE3299">
            <w:pPr>
              <w:adjustRightInd w:val="0"/>
              <w:snapToGrid w:val="0"/>
              <w:jc w:val="center"/>
              <w:rPr>
                <w:rFonts w:ascii="宋体" w:hAnsi="宋体" w:eastAsia="宋体"/>
                <w:szCs w:val="21"/>
              </w:rPr>
            </w:pPr>
            <w:r>
              <w:rPr>
                <w:rFonts w:hint="eastAsia" w:ascii="宋体" w:hAnsi="宋体" w:eastAsia="宋体"/>
                <w:szCs w:val="21"/>
              </w:rPr>
              <w:t>/</w:t>
            </w:r>
          </w:p>
        </w:tc>
        <w:tc>
          <w:tcPr>
            <w:tcW w:w="1140" w:type="pct"/>
            <w:vAlign w:val="center"/>
          </w:tcPr>
          <w:p w14:paraId="0717BDB9">
            <w:pPr>
              <w:adjustRightInd w:val="0"/>
              <w:snapToGrid w:val="0"/>
              <w:jc w:val="center"/>
              <w:rPr>
                <w:rFonts w:ascii="宋体" w:hAnsi="宋体" w:eastAsia="宋体"/>
                <w:szCs w:val="21"/>
              </w:rPr>
            </w:pPr>
            <w:r>
              <w:rPr>
                <w:rFonts w:hint="eastAsia" w:ascii="宋体" w:hAnsi="宋体" w:eastAsia="宋体"/>
                <w:szCs w:val="21"/>
              </w:rPr>
              <w:t>/</w:t>
            </w:r>
          </w:p>
        </w:tc>
      </w:tr>
      <w:tr w14:paraId="157CE2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680" w:hRule="atLeast"/>
          <w:jc w:val="center"/>
        </w:trPr>
        <w:tc>
          <w:tcPr>
            <w:tcW w:w="853" w:type="pct"/>
            <w:vAlign w:val="center"/>
          </w:tcPr>
          <w:p w14:paraId="16A8851C">
            <w:pPr>
              <w:adjustRightInd w:val="0"/>
              <w:snapToGrid w:val="0"/>
              <w:jc w:val="center"/>
              <w:rPr>
                <w:rFonts w:ascii="宋体" w:hAnsi="宋体" w:eastAsia="宋体"/>
                <w:szCs w:val="21"/>
              </w:rPr>
            </w:pPr>
            <w:r>
              <w:rPr>
                <w:rFonts w:ascii="宋体" w:hAnsi="宋体" w:eastAsia="宋体"/>
                <w:szCs w:val="21"/>
              </w:rPr>
              <w:t>环境风险</w:t>
            </w:r>
          </w:p>
        </w:tc>
        <w:tc>
          <w:tcPr>
            <w:tcW w:w="2137" w:type="pct"/>
            <w:gridSpan w:val="2"/>
            <w:vAlign w:val="center"/>
          </w:tcPr>
          <w:p w14:paraId="5A07431F">
            <w:pPr>
              <w:adjustRightInd w:val="0"/>
              <w:snapToGrid w:val="0"/>
              <w:jc w:val="center"/>
              <w:rPr>
                <w:rFonts w:ascii="宋体" w:hAnsi="宋体" w:eastAsia="宋体"/>
                <w:szCs w:val="21"/>
              </w:rPr>
            </w:pPr>
            <w:r>
              <w:rPr>
                <w:rFonts w:hint="eastAsia" w:ascii="宋体" w:hAnsi="宋体" w:eastAsia="宋体"/>
                <w:bCs/>
                <w:szCs w:val="21"/>
              </w:rPr>
              <w:t>泥浆水中加入防止漏失的药剂，泥浆系统、油罐区、废水收集池、柴油机布置区、撬装式危废贮存点等</w:t>
            </w:r>
            <w:r>
              <w:rPr>
                <w:rFonts w:ascii="宋体" w:hAnsi="宋体" w:eastAsia="宋体"/>
                <w:bCs/>
                <w:szCs w:val="21"/>
              </w:rPr>
              <w:t>重点防渗区需按要求防渗</w:t>
            </w:r>
          </w:p>
        </w:tc>
        <w:tc>
          <w:tcPr>
            <w:tcW w:w="2010" w:type="pct"/>
            <w:gridSpan w:val="2"/>
            <w:vAlign w:val="center"/>
          </w:tcPr>
          <w:p w14:paraId="63A6EA71">
            <w:pPr>
              <w:adjustRightInd w:val="0"/>
              <w:snapToGrid w:val="0"/>
              <w:jc w:val="center"/>
              <w:rPr>
                <w:rFonts w:ascii="宋体" w:hAnsi="宋体" w:eastAsia="宋体"/>
                <w:szCs w:val="21"/>
              </w:rPr>
            </w:pPr>
            <w:r>
              <w:rPr>
                <w:rFonts w:hint="eastAsia" w:ascii="宋体" w:hAnsi="宋体" w:eastAsia="宋体"/>
                <w:szCs w:val="21"/>
              </w:rPr>
              <w:t>达标</w:t>
            </w:r>
            <w:r>
              <w:rPr>
                <w:rFonts w:ascii="宋体" w:hAnsi="宋体" w:eastAsia="宋体"/>
                <w:szCs w:val="21"/>
              </w:rPr>
              <w:t>固井</w:t>
            </w:r>
            <w:r>
              <w:rPr>
                <w:rFonts w:hint="eastAsia" w:ascii="宋体" w:hAnsi="宋体" w:eastAsia="宋体"/>
                <w:szCs w:val="21"/>
              </w:rPr>
              <w:t>；</w:t>
            </w:r>
            <w:r>
              <w:rPr>
                <w:rFonts w:hint="eastAsia" w:ascii="宋体" w:hAnsi="宋体" w:eastAsia="宋体"/>
                <w:bCs/>
                <w:szCs w:val="21"/>
              </w:rPr>
              <w:t>油罐区、柴油机布置区、撬装式危废贮存点等</w:t>
            </w:r>
            <w:r>
              <w:rPr>
                <w:rFonts w:ascii="宋体" w:hAnsi="宋体" w:eastAsia="宋体"/>
                <w:bCs/>
                <w:szCs w:val="21"/>
              </w:rPr>
              <w:t>重点防渗区需按要求防渗</w:t>
            </w:r>
          </w:p>
        </w:tc>
      </w:tr>
      <w:tr w14:paraId="58F4A8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680" w:hRule="atLeast"/>
          <w:jc w:val="center"/>
        </w:trPr>
        <w:tc>
          <w:tcPr>
            <w:tcW w:w="853" w:type="pct"/>
            <w:vAlign w:val="center"/>
          </w:tcPr>
          <w:p w14:paraId="72F89689">
            <w:pPr>
              <w:adjustRightInd w:val="0"/>
              <w:snapToGrid w:val="0"/>
              <w:jc w:val="center"/>
              <w:rPr>
                <w:rFonts w:ascii="宋体" w:hAnsi="宋体" w:eastAsia="宋体"/>
                <w:szCs w:val="21"/>
              </w:rPr>
            </w:pPr>
            <w:r>
              <w:rPr>
                <w:rFonts w:ascii="宋体" w:hAnsi="宋体" w:eastAsia="宋体"/>
                <w:szCs w:val="21"/>
              </w:rPr>
              <w:t>环境监测</w:t>
            </w:r>
          </w:p>
        </w:tc>
        <w:tc>
          <w:tcPr>
            <w:tcW w:w="997" w:type="pct"/>
            <w:vAlign w:val="center"/>
          </w:tcPr>
          <w:p w14:paraId="45B3FE1B">
            <w:pPr>
              <w:adjustRightInd w:val="0"/>
              <w:snapToGrid w:val="0"/>
              <w:jc w:val="center"/>
              <w:rPr>
                <w:rFonts w:ascii="宋体" w:hAnsi="宋体" w:eastAsia="宋体"/>
                <w:szCs w:val="21"/>
              </w:rPr>
            </w:pPr>
            <w:r>
              <w:rPr>
                <w:rFonts w:hint="eastAsia" w:ascii="宋体" w:hAnsi="宋体" w:eastAsia="宋体"/>
                <w:szCs w:val="21"/>
              </w:rPr>
              <w:t>/</w:t>
            </w:r>
          </w:p>
        </w:tc>
        <w:tc>
          <w:tcPr>
            <w:tcW w:w="1140" w:type="pct"/>
            <w:vAlign w:val="center"/>
          </w:tcPr>
          <w:p w14:paraId="252820DC">
            <w:pPr>
              <w:adjustRightInd w:val="0"/>
              <w:snapToGrid w:val="0"/>
              <w:jc w:val="center"/>
              <w:rPr>
                <w:rFonts w:ascii="宋体" w:hAnsi="宋体" w:eastAsia="宋体"/>
                <w:szCs w:val="21"/>
              </w:rPr>
            </w:pPr>
            <w:r>
              <w:rPr>
                <w:rFonts w:hint="eastAsia" w:ascii="宋体" w:hAnsi="宋体" w:eastAsia="宋体"/>
                <w:szCs w:val="21"/>
              </w:rPr>
              <w:t>/</w:t>
            </w:r>
          </w:p>
        </w:tc>
        <w:tc>
          <w:tcPr>
            <w:tcW w:w="870" w:type="pct"/>
            <w:vAlign w:val="center"/>
          </w:tcPr>
          <w:p w14:paraId="0F81639A">
            <w:pPr>
              <w:adjustRightInd w:val="0"/>
              <w:snapToGrid w:val="0"/>
              <w:jc w:val="center"/>
              <w:rPr>
                <w:rFonts w:ascii="宋体" w:hAnsi="宋体" w:eastAsia="宋体"/>
                <w:szCs w:val="21"/>
              </w:rPr>
            </w:pPr>
            <w:r>
              <w:rPr>
                <w:rFonts w:hint="eastAsia" w:ascii="宋体" w:hAnsi="宋体" w:eastAsia="宋体"/>
                <w:szCs w:val="21"/>
              </w:rPr>
              <w:t>/</w:t>
            </w:r>
          </w:p>
        </w:tc>
        <w:tc>
          <w:tcPr>
            <w:tcW w:w="1140" w:type="pct"/>
            <w:vAlign w:val="center"/>
          </w:tcPr>
          <w:p w14:paraId="71D6CFF4">
            <w:pPr>
              <w:adjustRightInd w:val="0"/>
              <w:snapToGrid w:val="0"/>
              <w:jc w:val="center"/>
              <w:rPr>
                <w:rFonts w:ascii="宋体" w:hAnsi="宋体" w:eastAsia="宋体"/>
                <w:szCs w:val="21"/>
              </w:rPr>
            </w:pPr>
            <w:r>
              <w:rPr>
                <w:rFonts w:hint="eastAsia" w:ascii="宋体" w:hAnsi="宋体" w:eastAsia="宋体"/>
                <w:szCs w:val="21"/>
              </w:rPr>
              <w:t>/</w:t>
            </w:r>
          </w:p>
        </w:tc>
      </w:tr>
      <w:tr w14:paraId="13A530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680" w:hRule="atLeast"/>
          <w:jc w:val="center"/>
        </w:trPr>
        <w:tc>
          <w:tcPr>
            <w:tcW w:w="853" w:type="pct"/>
            <w:vAlign w:val="center"/>
          </w:tcPr>
          <w:p w14:paraId="3CF69616">
            <w:pPr>
              <w:adjustRightInd w:val="0"/>
              <w:snapToGrid w:val="0"/>
              <w:jc w:val="center"/>
              <w:rPr>
                <w:rFonts w:ascii="宋体" w:hAnsi="宋体" w:eastAsia="宋体"/>
                <w:szCs w:val="21"/>
              </w:rPr>
            </w:pPr>
            <w:r>
              <w:rPr>
                <w:rFonts w:ascii="宋体" w:hAnsi="宋体" w:eastAsia="宋体"/>
                <w:szCs w:val="21"/>
              </w:rPr>
              <w:t>其他</w:t>
            </w:r>
          </w:p>
        </w:tc>
        <w:tc>
          <w:tcPr>
            <w:tcW w:w="997" w:type="pct"/>
            <w:vAlign w:val="center"/>
          </w:tcPr>
          <w:p w14:paraId="5AE8A328">
            <w:pPr>
              <w:adjustRightInd w:val="0"/>
              <w:snapToGrid w:val="0"/>
              <w:jc w:val="center"/>
              <w:rPr>
                <w:rFonts w:ascii="宋体" w:hAnsi="宋体" w:eastAsia="宋体"/>
                <w:szCs w:val="21"/>
              </w:rPr>
            </w:pPr>
            <w:r>
              <w:rPr>
                <w:rFonts w:hint="eastAsia" w:ascii="宋体" w:hAnsi="宋体" w:eastAsia="宋体"/>
                <w:szCs w:val="21"/>
              </w:rPr>
              <w:t>/</w:t>
            </w:r>
          </w:p>
        </w:tc>
        <w:tc>
          <w:tcPr>
            <w:tcW w:w="1140" w:type="pct"/>
            <w:vAlign w:val="center"/>
          </w:tcPr>
          <w:p w14:paraId="29C81537">
            <w:pPr>
              <w:adjustRightInd w:val="0"/>
              <w:snapToGrid w:val="0"/>
              <w:jc w:val="center"/>
              <w:rPr>
                <w:rFonts w:ascii="宋体" w:hAnsi="宋体" w:eastAsia="宋体"/>
                <w:szCs w:val="21"/>
              </w:rPr>
            </w:pPr>
            <w:r>
              <w:rPr>
                <w:rFonts w:hint="eastAsia" w:ascii="宋体" w:hAnsi="宋体" w:eastAsia="宋体"/>
                <w:szCs w:val="21"/>
              </w:rPr>
              <w:t>/</w:t>
            </w:r>
          </w:p>
        </w:tc>
        <w:tc>
          <w:tcPr>
            <w:tcW w:w="870" w:type="pct"/>
            <w:vAlign w:val="center"/>
          </w:tcPr>
          <w:p w14:paraId="7BE2B718">
            <w:pPr>
              <w:adjustRightInd w:val="0"/>
              <w:snapToGrid w:val="0"/>
              <w:jc w:val="center"/>
              <w:rPr>
                <w:rFonts w:ascii="宋体" w:hAnsi="宋体" w:eastAsia="宋体"/>
                <w:szCs w:val="21"/>
              </w:rPr>
            </w:pPr>
            <w:r>
              <w:rPr>
                <w:rFonts w:hint="eastAsia" w:ascii="宋体" w:hAnsi="宋体" w:eastAsia="宋体"/>
                <w:szCs w:val="21"/>
              </w:rPr>
              <w:t>/</w:t>
            </w:r>
          </w:p>
        </w:tc>
        <w:tc>
          <w:tcPr>
            <w:tcW w:w="1140" w:type="pct"/>
            <w:vAlign w:val="center"/>
          </w:tcPr>
          <w:p w14:paraId="439704EF">
            <w:pPr>
              <w:adjustRightInd w:val="0"/>
              <w:snapToGrid w:val="0"/>
              <w:jc w:val="center"/>
              <w:rPr>
                <w:rFonts w:ascii="宋体" w:hAnsi="宋体" w:eastAsia="宋体"/>
                <w:szCs w:val="21"/>
              </w:rPr>
            </w:pPr>
            <w:r>
              <w:rPr>
                <w:rFonts w:hint="eastAsia" w:ascii="宋体" w:hAnsi="宋体" w:eastAsia="宋体"/>
                <w:szCs w:val="21"/>
              </w:rPr>
              <w:t>/</w:t>
            </w:r>
          </w:p>
        </w:tc>
      </w:tr>
    </w:tbl>
    <w:p w14:paraId="433C92E9">
      <w:pPr>
        <w:rPr>
          <w:snapToGrid w:val="0"/>
        </w:rPr>
      </w:pPr>
    </w:p>
    <w:p w14:paraId="05DCC08D">
      <w:pPr>
        <w:spacing w:line="14" w:lineRule="auto"/>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br w:type="page"/>
      </w:r>
    </w:p>
    <w:p w14:paraId="00D394C7">
      <w:pPr>
        <w:spacing w:before="192" w:beforeLines="80"/>
        <w:jc w:val="center"/>
        <w:outlineLvl w:val="0"/>
        <w:rPr>
          <w:rStyle w:val="404"/>
        </w:rPr>
      </w:pPr>
      <w:bookmarkStart w:id="112" w:name="_Toc164890581"/>
      <w:bookmarkStart w:id="113" w:name="_Toc165210005"/>
      <w:bookmarkStart w:id="114" w:name="_Toc165211519"/>
      <w:bookmarkStart w:id="115" w:name="_Toc168031018"/>
      <w:bookmarkStart w:id="116" w:name="_Toc169766000"/>
      <w:bookmarkStart w:id="117" w:name="_Toc171579811"/>
      <w:r>
        <w:rPr>
          <w:rStyle w:val="404"/>
        </w:rPr>
        <w:t>七、结论</w:t>
      </w:r>
      <w:bookmarkEnd w:id="112"/>
      <w:bookmarkEnd w:id="113"/>
      <w:bookmarkEnd w:id="114"/>
      <w:bookmarkEnd w:id="115"/>
      <w:bookmarkEnd w:id="116"/>
      <w:bookmarkEnd w:id="117"/>
    </w:p>
    <w:tbl>
      <w:tblPr>
        <w:tblStyle w:val="72"/>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 w:type="dxa"/>
          <w:bottom w:w="0" w:type="dxa"/>
          <w:right w:w="10" w:type="dxa"/>
        </w:tblCellMar>
      </w:tblPr>
      <w:tblGrid>
        <w:gridCol w:w="9289"/>
      </w:tblGrid>
      <w:tr w14:paraId="0F8FDE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 w:type="dxa"/>
            <w:bottom w:w="0" w:type="dxa"/>
            <w:right w:w="10" w:type="dxa"/>
          </w:tblCellMar>
        </w:tblPrEx>
        <w:trPr>
          <w:trHeight w:val="12349" w:hRule="atLeast"/>
          <w:jc w:val="center"/>
        </w:trPr>
        <w:tc>
          <w:tcPr>
            <w:tcW w:w="9289" w:type="dxa"/>
            <w:vAlign w:val="center"/>
          </w:tcPr>
          <w:p w14:paraId="4FFF4892">
            <w:pPr>
              <w:pStyle w:val="96"/>
              <w:ind w:firstLine="480"/>
            </w:pPr>
            <w:r>
              <w:rPr>
                <w:rFonts w:hint="eastAsia"/>
              </w:rPr>
              <w:t>临兴东尚义区气田开发项目（二期）勘探井的建设符合国家及地方的产业政策，认真贯彻执行国家的环保法律、法规，认真落实设计和评价提出的各种污染防治措施和生态保护措施，可最大限度地减少对周围环境的影响。从环境保护的角度分析，本项目的建设是可行的。</w:t>
            </w:r>
          </w:p>
        </w:tc>
      </w:tr>
    </w:tbl>
    <w:p w14:paraId="654688FA">
      <w:pPr>
        <w:widowControl/>
        <w:adjustRightInd w:val="0"/>
        <w:snapToGrid w:val="0"/>
        <w:spacing w:before="192" w:beforeLines="80"/>
        <w:jc w:val="left"/>
        <w:sectPr>
          <w:pgSz w:w="11906" w:h="16838"/>
          <w:pgMar w:top="1440" w:right="1800" w:bottom="1440" w:left="1800" w:header="851" w:footer="1077" w:gutter="0"/>
          <w:cols w:space="425" w:num="1"/>
          <w:docGrid w:linePitch="312" w:charSpace="0"/>
        </w:sectPr>
      </w:pPr>
    </w:p>
    <w:p w14:paraId="2E1D5D6B">
      <w:pPr>
        <w:pStyle w:val="19"/>
        <w:keepNext/>
        <w:jc w:val="left"/>
        <w:rPr>
          <w:rStyle w:val="404"/>
          <w:b w:val="0"/>
        </w:rPr>
      </w:pPr>
      <w:r>
        <w:rPr>
          <w:rStyle w:val="404"/>
          <w:rFonts w:hint="eastAsia"/>
          <w:b w:val="0"/>
        </w:rPr>
        <w:t>八、</w:t>
      </w:r>
      <w:r>
        <w:rPr>
          <w:rStyle w:val="404"/>
          <w:b w:val="0"/>
        </w:rPr>
        <w:t>附图</w:t>
      </w:r>
    </w:p>
    <w:p w14:paraId="37959EE6">
      <w:pPr>
        <w:keepNext/>
        <w:widowControl/>
        <w:adjustRightInd w:val="0"/>
        <w:snapToGrid w:val="0"/>
        <w:spacing w:before="192" w:beforeLines="80"/>
        <w:jc w:val="center"/>
      </w:pPr>
      <w:r>
        <w:drawing>
          <wp:inline distT="0" distB="0" distL="0" distR="0">
            <wp:extent cx="7174865" cy="5076825"/>
            <wp:effectExtent l="0" t="0" r="6985" b="9525"/>
            <wp:docPr id="9779800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80055" name="图片 1"/>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189520" cy="5087320"/>
                    </a:xfrm>
                    <a:prstGeom prst="rect">
                      <a:avLst/>
                    </a:prstGeom>
                  </pic:spPr>
                </pic:pic>
              </a:graphicData>
            </a:graphic>
          </wp:inline>
        </w:drawing>
      </w:r>
    </w:p>
    <w:p w14:paraId="01FDACE8">
      <w:pPr>
        <w:pStyle w:val="19"/>
      </w:pPr>
      <w:r>
        <w:t xml:space="preserve">附图 </w:t>
      </w:r>
      <w:r>
        <w:fldChar w:fldCharType="begin"/>
      </w:r>
      <w:r>
        <w:instrText xml:space="preserve"> SEQ 附图 \* ARABIC </w:instrText>
      </w:r>
      <w:r>
        <w:fldChar w:fldCharType="separate"/>
      </w:r>
      <w:r>
        <w:t>1</w:t>
      </w:r>
      <w:r>
        <w:fldChar w:fldCharType="end"/>
      </w:r>
      <w:r>
        <w:rPr>
          <w:rFonts w:hint="eastAsia"/>
        </w:rPr>
        <w:t>本项目地理位置图</w:t>
      </w:r>
    </w:p>
    <w:p w14:paraId="3842ED3C">
      <w:pPr>
        <w:keepNext/>
        <w:jc w:val="center"/>
      </w:pPr>
      <w:r>
        <w:rPr>
          <w:rFonts w:hint="eastAsia"/>
          <w14:ligatures w14:val="none"/>
        </w:rPr>
        <w:drawing>
          <wp:inline distT="0" distB="0" distL="0" distR="0">
            <wp:extent cx="7753350" cy="5486400"/>
            <wp:effectExtent l="0" t="0" r="0" b="0"/>
            <wp:docPr id="160588858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888586" name="图片 11"/>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783610" cy="5507622"/>
                    </a:xfrm>
                    <a:prstGeom prst="rect">
                      <a:avLst/>
                    </a:prstGeom>
                  </pic:spPr>
                </pic:pic>
              </a:graphicData>
            </a:graphic>
          </wp:inline>
        </w:drawing>
      </w:r>
    </w:p>
    <w:p w14:paraId="04EFBBA7">
      <w:pPr>
        <w:pStyle w:val="19"/>
      </w:pPr>
      <w:bookmarkStart w:id="118" w:name="_Ref169208828"/>
      <w:bookmarkStart w:id="119" w:name="_Ref169208838"/>
      <w:r>
        <w:t xml:space="preserve">附图 </w:t>
      </w:r>
      <w:r>
        <w:fldChar w:fldCharType="begin"/>
      </w:r>
      <w:r>
        <w:instrText xml:space="preserve"> SEQ 附图 \* ARABIC </w:instrText>
      </w:r>
      <w:r>
        <w:fldChar w:fldCharType="separate"/>
      </w:r>
      <w:r>
        <w:t>2</w:t>
      </w:r>
      <w:r>
        <w:fldChar w:fldCharType="end"/>
      </w:r>
      <w:bookmarkEnd w:id="118"/>
      <w:r>
        <w:rPr>
          <w:rFonts w:hint="eastAsia"/>
        </w:rPr>
        <w:t>临兴东尚义区与临兴东区的相对位置关系图</w:t>
      </w:r>
      <w:bookmarkEnd w:id="119"/>
    </w:p>
    <w:p w14:paraId="45414718">
      <w:pPr>
        <w:sectPr>
          <w:pgSz w:w="16838" w:h="11906" w:orient="landscape"/>
          <w:pgMar w:top="720" w:right="720" w:bottom="720" w:left="720" w:header="851" w:footer="1077" w:gutter="0"/>
          <w:cols w:space="425" w:num="1"/>
          <w:docGrid w:linePitch="312" w:charSpace="0"/>
        </w:sectPr>
      </w:pPr>
    </w:p>
    <w:p w14:paraId="3548337C">
      <w:pPr>
        <w:keepNext/>
        <w:jc w:val="center"/>
      </w:pPr>
      <w:r>
        <w:rPr>
          <w:rFonts w:hint="eastAsia"/>
        </w:rPr>
        <w:drawing>
          <wp:inline distT="0" distB="0" distL="0" distR="0">
            <wp:extent cx="6109970" cy="8634730"/>
            <wp:effectExtent l="0" t="0" r="5080" b="0"/>
            <wp:docPr id="2359238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923812" name="图片 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10239" cy="8635131"/>
                    </a:xfrm>
                    <a:prstGeom prst="rect">
                      <a:avLst/>
                    </a:prstGeom>
                  </pic:spPr>
                </pic:pic>
              </a:graphicData>
            </a:graphic>
          </wp:inline>
        </w:drawing>
      </w:r>
    </w:p>
    <w:p w14:paraId="2DEBF331">
      <w:pPr>
        <w:pStyle w:val="19"/>
      </w:pPr>
      <w:r>
        <w:t xml:space="preserve">附图 </w:t>
      </w:r>
      <w:r>
        <w:fldChar w:fldCharType="begin"/>
      </w:r>
      <w:r>
        <w:instrText xml:space="preserve"> SEQ 附图 \* ARABIC </w:instrText>
      </w:r>
      <w:r>
        <w:fldChar w:fldCharType="separate"/>
      </w:r>
      <w:r>
        <w:t>3</w:t>
      </w:r>
      <w:r>
        <w:fldChar w:fldCharType="end"/>
      </w:r>
      <w:r>
        <w:rPr>
          <w:rFonts w:hint="eastAsia"/>
        </w:rPr>
        <w:t>吕梁市生态环境管控单元图</w:t>
      </w:r>
    </w:p>
    <w:p w14:paraId="5977E0C0">
      <w:pPr>
        <w:sectPr>
          <w:pgSz w:w="11906" w:h="16838"/>
          <w:pgMar w:top="720" w:right="720" w:bottom="720" w:left="720" w:header="851" w:footer="1077" w:gutter="0"/>
          <w:cols w:space="425" w:num="1"/>
          <w:docGrid w:linePitch="312" w:charSpace="0"/>
        </w:sectPr>
      </w:pPr>
    </w:p>
    <w:p w14:paraId="7A174F0A">
      <w:pPr>
        <w:keepNext/>
        <w:jc w:val="center"/>
      </w:pPr>
      <w:r>
        <w:rPr>
          <w:rFonts w:hint="eastAsia"/>
        </w:rPr>
        <w:drawing>
          <wp:inline distT="0" distB="0" distL="0" distR="0">
            <wp:extent cx="7781290" cy="5506085"/>
            <wp:effectExtent l="0" t="0" r="0" b="0"/>
            <wp:docPr id="20295616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561677" name="图片 2"/>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781730" cy="5506370"/>
                    </a:xfrm>
                    <a:prstGeom prst="rect">
                      <a:avLst/>
                    </a:prstGeom>
                  </pic:spPr>
                </pic:pic>
              </a:graphicData>
            </a:graphic>
          </wp:inline>
        </w:drawing>
      </w:r>
    </w:p>
    <w:p w14:paraId="6B4019BB">
      <w:pPr>
        <w:pStyle w:val="19"/>
      </w:pPr>
      <w:r>
        <w:t xml:space="preserve">附图 </w:t>
      </w:r>
      <w:r>
        <w:fldChar w:fldCharType="begin"/>
      </w:r>
      <w:r>
        <w:instrText xml:space="preserve"> SEQ 附图 \* ARABIC </w:instrText>
      </w:r>
      <w:r>
        <w:fldChar w:fldCharType="separate"/>
      </w:r>
      <w:r>
        <w:t>4</w:t>
      </w:r>
      <w:r>
        <w:fldChar w:fldCharType="end"/>
      </w:r>
      <w:r>
        <w:rPr>
          <w:rFonts w:hint="eastAsia"/>
        </w:rPr>
        <w:t>兴县县域国土空间控制线规划图</w:t>
      </w:r>
    </w:p>
    <w:p w14:paraId="33AD55BA">
      <w:pPr>
        <w:keepNext/>
        <w:jc w:val="center"/>
      </w:pPr>
      <w:r>
        <w:rPr>
          <w:rFonts w:hint="eastAsia"/>
        </w:rPr>
        <w:drawing>
          <wp:inline distT="0" distB="0" distL="0" distR="0">
            <wp:extent cx="7790180" cy="5512435"/>
            <wp:effectExtent l="0" t="0" r="1270" b="0"/>
            <wp:docPr id="19752336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233640" name="图片 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790617" cy="5512659"/>
                    </a:xfrm>
                    <a:prstGeom prst="rect">
                      <a:avLst/>
                    </a:prstGeom>
                  </pic:spPr>
                </pic:pic>
              </a:graphicData>
            </a:graphic>
          </wp:inline>
        </w:drawing>
      </w:r>
    </w:p>
    <w:p w14:paraId="1BBE7EB0">
      <w:pPr>
        <w:pStyle w:val="19"/>
      </w:pPr>
      <w:r>
        <w:t xml:space="preserve">附图 </w:t>
      </w:r>
      <w:r>
        <w:fldChar w:fldCharType="begin"/>
      </w:r>
      <w:r>
        <w:instrText xml:space="preserve"> SEQ 附图 \* ARABIC </w:instrText>
      </w:r>
      <w:r>
        <w:fldChar w:fldCharType="separate"/>
      </w:r>
      <w:r>
        <w:t>5</w:t>
      </w:r>
      <w:r>
        <w:fldChar w:fldCharType="end"/>
      </w:r>
      <w:r>
        <w:rPr>
          <w:rFonts w:hint="eastAsia"/>
        </w:rPr>
        <w:t>兴县县域矿产资源规划图</w:t>
      </w:r>
    </w:p>
    <w:p w14:paraId="28412F71"/>
    <w:p w14:paraId="2AE81EA4"/>
    <w:p w14:paraId="71D2B0BE">
      <w:pPr>
        <w:keepNext/>
        <w:jc w:val="center"/>
      </w:pPr>
      <w:r>
        <w:rPr>
          <w:rFonts w:hint="eastAsia"/>
          <w14:ligatures w14:val="none"/>
        </w:rPr>
        <w:drawing>
          <wp:inline distT="0" distB="0" distL="0" distR="0">
            <wp:extent cx="7717790" cy="5461000"/>
            <wp:effectExtent l="0" t="0" r="0" b="6350"/>
            <wp:docPr id="122484718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847184" name="图片 1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738891" cy="5476057"/>
                    </a:xfrm>
                    <a:prstGeom prst="rect">
                      <a:avLst/>
                    </a:prstGeom>
                  </pic:spPr>
                </pic:pic>
              </a:graphicData>
            </a:graphic>
          </wp:inline>
        </w:drawing>
      </w:r>
    </w:p>
    <w:p w14:paraId="75A2490A">
      <w:pPr>
        <w:pStyle w:val="19"/>
      </w:pPr>
      <w:bookmarkStart w:id="120" w:name="_Ref169210969"/>
      <w:bookmarkStart w:id="121" w:name="_Ref169210978"/>
      <w:r>
        <w:t xml:space="preserve">附图 </w:t>
      </w:r>
      <w:r>
        <w:fldChar w:fldCharType="begin"/>
      </w:r>
      <w:r>
        <w:instrText xml:space="preserve"> SEQ 附图 \* ARABIC </w:instrText>
      </w:r>
      <w:r>
        <w:fldChar w:fldCharType="separate"/>
      </w:r>
      <w:r>
        <w:t>6</w:t>
      </w:r>
      <w:r>
        <w:fldChar w:fldCharType="end"/>
      </w:r>
      <w:bookmarkEnd w:id="120"/>
      <w:r>
        <w:rPr>
          <w:rFonts w:hint="eastAsia"/>
        </w:rPr>
        <w:t>本项目与文物单位的相对位置关系图</w:t>
      </w:r>
      <w:bookmarkEnd w:id="121"/>
    </w:p>
    <w:p w14:paraId="3DB9FB4C">
      <w:pPr>
        <w:adjustRightInd w:val="0"/>
        <w:snapToGrid w:val="0"/>
        <w:jc w:val="center"/>
        <w:outlineLvl w:val="0"/>
        <w:rPr>
          <w:rFonts w:ascii="Times New Roman" w:hAnsi="Times New Roman" w:eastAsia="黑体"/>
          <w:szCs w:val="20"/>
        </w:rPr>
        <w:sectPr>
          <w:pgSz w:w="16838" w:h="11906" w:orient="landscape"/>
          <w:pgMar w:top="720" w:right="720" w:bottom="720" w:left="720" w:header="851" w:footer="1077" w:gutter="0"/>
          <w:cols w:space="425" w:num="1"/>
          <w:docGrid w:linePitch="312" w:charSpace="0"/>
        </w:sectPr>
      </w:pPr>
    </w:p>
    <w:p w14:paraId="360D42C5">
      <w:pPr>
        <w:keepNext/>
        <w:widowControl/>
        <w:adjustRightInd w:val="0"/>
        <w:snapToGrid w:val="0"/>
        <w:jc w:val="center"/>
      </w:pPr>
      <w:r>
        <w:rPr>
          <w14:ligatures w14:val="none"/>
        </w:rPr>
        <w:drawing>
          <wp:inline distT="0" distB="0" distL="0" distR="0">
            <wp:extent cx="7603490" cy="5377180"/>
            <wp:effectExtent l="0" t="0" r="0" b="0"/>
            <wp:docPr id="18754218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421865" name="图片 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621890" cy="5389912"/>
                    </a:xfrm>
                    <a:prstGeom prst="rect">
                      <a:avLst/>
                    </a:prstGeom>
                  </pic:spPr>
                </pic:pic>
              </a:graphicData>
            </a:graphic>
          </wp:inline>
        </w:drawing>
      </w:r>
    </w:p>
    <w:p w14:paraId="35C75CB4">
      <w:pPr>
        <w:pStyle w:val="19"/>
        <w:rPr>
          <w:b w:val="0"/>
        </w:rPr>
      </w:pPr>
      <w:bookmarkStart w:id="122" w:name="_Ref168000341"/>
      <w:r>
        <w:t xml:space="preserve">附图 </w:t>
      </w:r>
      <w:r>
        <w:fldChar w:fldCharType="begin"/>
      </w:r>
      <w:r>
        <w:instrText xml:space="preserve"> SEQ 附图 \* ARABIC </w:instrText>
      </w:r>
      <w:r>
        <w:fldChar w:fldCharType="separate"/>
      </w:r>
      <w:r>
        <w:t>7</w:t>
      </w:r>
      <w:r>
        <w:fldChar w:fldCharType="end"/>
      </w:r>
      <w:bookmarkEnd w:id="122"/>
      <w:r>
        <w:rPr>
          <w:rFonts w:hint="eastAsia"/>
        </w:rPr>
        <w:t>LXD12-8井场钻井期工程总平面布置图</w:t>
      </w:r>
    </w:p>
    <w:p w14:paraId="6D0DBAB8">
      <w:pPr>
        <w:jc w:val="center"/>
      </w:pPr>
      <w:r>
        <w:rPr>
          <w:rFonts w:hint="eastAsia"/>
          <w14:ligatures w14:val="none"/>
        </w:rPr>
        <w:drawing>
          <wp:inline distT="0" distB="0" distL="0" distR="0">
            <wp:extent cx="7651750" cy="5410835"/>
            <wp:effectExtent l="0" t="0" r="6350" b="0"/>
            <wp:docPr id="11630708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070868" name="图片 3"/>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723710" cy="5461915"/>
                    </a:xfrm>
                    <a:prstGeom prst="rect">
                      <a:avLst/>
                    </a:prstGeom>
                  </pic:spPr>
                </pic:pic>
              </a:graphicData>
            </a:graphic>
          </wp:inline>
        </w:drawing>
      </w:r>
    </w:p>
    <w:p w14:paraId="42C1038E">
      <w:pPr>
        <w:pStyle w:val="19"/>
      </w:pPr>
      <w:bookmarkStart w:id="123" w:name="_Ref168000348"/>
      <w:r>
        <w:t xml:space="preserve">附图 </w:t>
      </w:r>
      <w:r>
        <w:fldChar w:fldCharType="begin"/>
      </w:r>
      <w:r>
        <w:instrText xml:space="preserve"> SEQ 附图 \* ARABIC </w:instrText>
      </w:r>
      <w:r>
        <w:fldChar w:fldCharType="separate"/>
      </w:r>
      <w:r>
        <w:t>8</w:t>
      </w:r>
      <w:r>
        <w:fldChar w:fldCharType="end"/>
      </w:r>
      <w:bookmarkEnd w:id="123"/>
      <w:r>
        <w:rPr>
          <w:rFonts w:hint="eastAsia"/>
        </w:rPr>
        <w:t xml:space="preserve"> LXD12-8井场完井期工程总平面布置图</w:t>
      </w:r>
    </w:p>
    <w:p w14:paraId="44F675DF">
      <w:pPr>
        <w:sectPr>
          <w:pgSz w:w="16838" w:h="11906" w:orient="landscape"/>
          <w:pgMar w:top="720" w:right="720" w:bottom="720" w:left="720" w:header="851" w:footer="1077" w:gutter="0"/>
          <w:cols w:space="425" w:num="1"/>
          <w:docGrid w:linePitch="312" w:charSpace="0"/>
        </w:sectPr>
      </w:pPr>
    </w:p>
    <w:p w14:paraId="2AD59A2C">
      <w:pPr>
        <w:keepNext/>
        <w:widowControl/>
        <w:adjustRightInd w:val="0"/>
        <w:snapToGrid w:val="0"/>
        <w:jc w:val="center"/>
      </w:pPr>
      <w:r>
        <w:rPr>
          <w14:ligatures w14:val="none"/>
        </w:rPr>
        <w:drawing>
          <wp:inline distT="0" distB="0" distL="0" distR="0">
            <wp:extent cx="7603490" cy="5377180"/>
            <wp:effectExtent l="0" t="0" r="0" b="0"/>
            <wp:docPr id="17498896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889675" name="图片 4"/>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625489" cy="5392457"/>
                    </a:xfrm>
                    <a:prstGeom prst="rect">
                      <a:avLst/>
                    </a:prstGeom>
                  </pic:spPr>
                </pic:pic>
              </a:graphicData>
            </a:graphic>
          </wp:inline>
        </w:drawing>
      </w:r>
    </w:p>
    <w:p w14:paraId="5F884A33">
      <w:pPr>
        <w:pStyle w:val="19"/>
        <w:rPr>
          <w:b w:val="0"/>
        </w:rPr>
      </w:pPr>
      <w:bookmarkStart w:id="124" w:name="_Ref168000354"/>
      <w:r>
        <w:t xml:space="preserve">附图 </w:t>
      </w:r>
      <w:r>
        <w:fldChar w:fldCharType="begin"/>
      </w:r>
      <w:r>
        <w:instrText xml:space="preserve"> SEQ 附图 \* ARABIC </w:instrText>
      </w:r>
      <w:r>
        <w:fldChar w:fldCharType="separate"/>
      </w:r>
      <w:r>
        <w:t>9</w:t>
      </w:r>
      <w:r>
        <w:fldChar w:fldCharType="end"/>
      </w:r>
      <w:bookmarkEnd w:id="124"/>
      <w:r>
        <w:rPr>
          <w:rFonts w:hint="eastAsia"/>
        </w:rPr>
        <w:t>LXD12-8井场试采阶段工程总平面布置图</w:t>
      </w:r>
    </w:p>
    <w:p w14:paraId="66A01782">
      <w:pPr>
        <w:adjustRightInd w:val="0"/>
        <w:snapToGrid w:val="0"/>
        <w:jc w:val="center"/>
        <w:outlineLvl w:val="0"/>
        <w:rPr>
          <w:rFonts w:ascii="Times New Roman" w:hAnsi="Times New Roman" w:eastAsia="黑体"/>
          <w:szCs w:val="20"/>
        </w:rPr>
        <w:sectPr>
          <w:pgSz w:w="16838" w:h="11906" w:orient="landscape"/>
          <w:pgMar w:top="720" w:right="720" w:bottom="720" w:left="720" w:header="851" w:footer="1077" w:gutter="0"/>
          <w:cols w:space="425" w:num="1"/>
          <w:docGrid w:linePitch="312" w:charSpace="0"/>
        </w:sectPr>
      </w:pPr>
    </w:p>
    <w:p w14:paraId="748FE614">
      <w:pPr>
        <w:keepNext/>
        <w:widowControl/>
        <w:adjustRightInd w:val="0"/>
        <w:snapToGrid w:val="0"/>
        <w:jc w:val="center"/>
      </w:pPr>
      <w:r>
        <w:rPr>
          <w:b/>
        </w:rPr>
        <w:drawing>
          <wp:inline distT="0" distB="0" distL="0" distR="0">
            <wp:extent cx="7507605" cy="5309235"/>
            <wp:effectExtent l="0" t="0" r="0" b="571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518114" cy="5316620"/>
                    </a:xfrm>
                    <a:prstGeom prst="rect">
                      <a:avLst/>
                    </a:prstGeom>
                    <a:noFill/>
                    <a:ln>
                      <a:noFill/>
                    </a:ln>
                  </pic:spPr>
                </pic:pic>
              </a:graphicData>
            </a:graphic>
          </wp:inline>
        </w:drawing>
      </w:r>
    </w:p>
    <w:p w14:paraId="4F7A7E68">
      <w:pPr>
        <w:pStyle w:val="19"/>
        <w:rPr>
          <w:b w:val="0"/>
        </w:rPr>
      </w:pPr>
      <w:r>
        <w:t xml:space="preserve">附图 </w:t>
      </w:r>
      <w:r>
        <w:fldChar w:fldCharType="begin"/>
      </w:r>
      <w:r>
        <w:instrText xml:space="preserve"> SEQ 附图 \* ARABIC </w:instrText>
      </w:r>
      <w:r>
        <w:fldChar w:fldCharType="separate"/>
      </w:r>
      <w:r>
        <w:t>10</w:t>
      </w:r>
      <w:r>
        <w:fldChar w:fldCharType="end"/>
      </w:r>
      <w:r>
        <w:rPr>
          <w:rFonts w:hint="eastAsia"/>
        </w:rPr>
        <w:t xml:space="preserve">  LXD12-8井场</w:t>
      </w:r>
      <w:r>
        <w:t>典型</w:t>
      </w:r>
      <w:r>
        <w:rPr>
          <w:rFonts w:hint="eastAsia"/>
        </w:rPr>
        <w:t>生态恢复</w:t>
      </w:r>
      <w:r>
        <w:t>措施设计图</w:t>
      </w:r>
    </w:p>
    <w:p w14:paraId="2F459F9B">
      <w:pPr>
        <w:pStyle w:val="19"/>
        <w:keepNext/>
        <w:jc w:val="left"/>
      </w:pPr>
      <w:bookmarkStart w:id="125" w:name="_Ref169202567"/>
      <w:bookmarkStart w:id="126" w:name="_Ref169202574"/>
      <w:r>
        <w:t xml:space="preserve">附表 </w:t>
      </w:r>
      <w:r>
        <w:fldChar w:fldCharType="begin"/>
      </w:r>
      <w:r>
        <w:instrText xml:space="preserve"> SEQ 附表 \* ARABIC </w:instrText>
      </w:r>
      <w:r>
        <w:fldChar w:fldCharType="separate"/>
      </w:r>
      <w:r>
        <w:t>1</w:t>
      </w:r>
      <w:r>
        <w:fldChar w:fldCharType="end"/>
      </w:r>
      <w:bookmarkEnd w:id="125"/>
      <w:r>
        <w:rPr>
          <w:rFonts w:hint="eastAsia"/>
        </w:rPr>
        <w:t>吕梁市生态环境总体准入清单</w:t>
      </w:r>
      <w:bookmarkEnd w:id="126"/>
    </w:p>
    <w:tbl>
      <w:tblPr>
        <w:tblStyle w:val="73"/>
        <w:tblW w:w="4996"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21"/>
        <w:gridCol w:w="240"/>
        <w:gridCol w:w="1095"/>
        <w:gridCol w:w="8653"/>
        <w:gridCol w:w="3329"/>
        <w:gridCol w:w="1464"/>
      </w:tblGrid>
      <w:tr w14:paraId="5D7A38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91" w:type="pct"/>
            <w:gridSpan w:val="3"/>
            <w:vAlign w:val="center"/>
          </w:tcPr>
          <w:p w14:paraId="16E1CDB3">
            <w:pPr>
              <w:overflowPunct w:val="0"/>
              <w:autoSpaceDE w:val="0"/>
              <w:autoSpaceDN w:val="0"/>
              <w:adjustRightInd w:val="0"/>
              <w:snapToGrid w:val="0"/>
              <w:spacing w:line="240" w:lineRule="exact"/>
              <w:jc w:val="center"/>
              <w:textAlignment w:val="baseline"/>
              <w:rPr>
                <w:rFonts w:ascii="宋体" w:hAnsi="宋体" w:eastAsia="宋体" w:cs="宋体"/>
                <w:b/>
                <w:szCs w:val="21"/>
              </w:rPr>
            </w:pPr>
            <w:bookmarkStart w:id="127" w:name="_Ref153468433"/>
            <w:bookmarkEnd w:id="127"/>
            <w:bookmarkStart w:id="128" w:name="_Ref165971405"/>
            <w:r>
              <w:rPr>
                <w:rFonts w:hint="eastAsia" w:ascii="宋体" w:hAnsi="宋体" w:eastAsia="宋体" w:cs="宋体"/>
                <w:b/>
                <w:szCs w:val="21"/>
              </w:rPr>
              <w:t>管控类别</w:t>
            </w:r>
          </w:p>
        </w:tc>
        <w:tc>
          <w:tcPr>
            <w:tcW w:w="2773" w:type="pct"/>
            <w:vAlign w:val="center"/>
          </w:tcPr>
          <w:p w14:paraId="6F9D142E">
            <w:pPr>
              <w:overflowPunct w:val="0"/>
              <w:autoSpaceDE w:val="0"/>
              <w:autoSpaceDN w:val="0"/>
              <w:adjustRightInd w:val="0"/>
              <w:snapToGrid w:val="0"/>
              <w:spacing w:line="240" w:lineRule="exact"/>
              <w:jc w:val="center"/>
              <w:textAlignment w:val="baseline"/>
              <w:rPr>
                <w:rFonts w:ascii="宋体" w:hAnsi="宋体" w:eastAsia="宋体" w:cs="宋体"/>
                <w:b/>
                <w:szCs w:val="21"/>
              </w:rPr>
            </w:pPr>
            <w:r>
              <w:rPr>
                <w:rFonts w:hint="eastAsia" w:ascii="宋体" w:hAnsi="宋体" w:eastAsia="宋体" w:cs="宋体"/>
                <w:b/>
                <w:szCs w:val="21"/>
              </w:rPr>
              <w:t>管控要求</w:t>
            </w:r>
          </w:p>
        </w:tc>
        <w:tc>
          <w:tcPr>
            <w:tcW w:w="1067" w:type="pct"/>
            <w:vAlign w:val="center"/>
          </w:tcPr>
          <w:p w14:paraId="781C25D7">
            <w:pPr>
              <w:overflowPunct w:val="0"/>
              <w:autoSpaceDE w:val="0"/>
              <w:autoSpaceDN w:val="0"/>
              <w:adjustRightInd w:val="0"/>
              <w:snapToGrid w:val="0"/>
              <w:spacing w:line="240" w:lineRule="exact"/>
              <w:jc w:val="center"/>
              <w:textAlignment w:val="baseline"/>
              <w:rPr>
                <w:rFonts w:ascii="宋体" w:hAnsi="宋体" w:eastAsia="宋体" w:cs="宋体"/>
                <w:b/>
                <w:szCs w:val="21"/>
              </w:rPr>
            </w:pPr>
            <w:r>
              <w:rPr>
                <w:rFonts w:hint="eastAsia" w:ascii="宋体" w:hAnsi="宋体" w:eastAsia="宋体" w:cs="宋体"/>
                <w:b/>
                <w:szCs w:val="21"/>
              </w:rPr>
              <w:t>本项目建设情况</w:t>
            </w:r>
          </w:p>
        </w:tc>
        <w:tc>
          <w:tcPr>
            <w:tcW w:w="469" w:type="pct"/>
            <w:vAlign w:val="center"/>
          </w:tcPr>
          <w:p w14:paraId="6AE49021">
            <w:pPr>
              <w:overflowPunct w:val="0"/>
              <w:autoSpaceDE w:val="0"/>
              <w:autoSpaceDN w:val="0"/>
              <w:adjustRightInd w:val="0"/>
              <w:snapToGrid w:val="0"/>
              <w:spacing w:line="240" w:lineRule="exact"/>
              <w:jc w:val="center"/>
              <w:textAlignment w:val="baseline"/>
              <w:rPr>
                <w:rFonts w:ascii="宋体" w:hAnsi="宋体" w:eastAsia="宋体" w:cs="宋体"/>
                <w:b/>
                <w:szCs w:val="21"/>
              </w:rPr>
            </w:pPr>
            <w:r>
              <w:rPr>
                <w:rFonts w:hint="eastAsia" w:ascii="宋体" w:hAnsi="宋体" w:eastAsia="宋体" w:cs="宋体"/>
                <w:b/>
                <w:szCs w:val="21"/>
              </w:rPr>
              <w:t>符合性</w:t>
            </w:r>
          </w:p>
        </w:tc>
      </w:tr>
      <w:tr w14:paraId="474DAA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63" w:type="pct"/>
            <w:vMerge w:val="restart"/>
            <w:vAlign w:val="center"/>
          </w:tcPr>
          <w:p w14:paraId="34E5B396">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空间布局约束</w:t>
            </w:r>
          </w:p>
        </w:tc>
        <w:tc>
          <w:tcPr>
            <w:tcW w:w="428" w:type="pct"/>
            <w:gridSpan w:val="2"/>
            <w:vMerge w:val="restart"/>
            <w:vAlign w:val="center"/>
          </w:tcPr>
          <w:p w14:paraId="6B2747C6">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禁止开发建设活动的要求</w:t>
            </w:r>
          </w:p>
        </w:tc>
        <w:tc>
          <w:tcPr>
            <w:tcW w:w="2773" w:type="pct"/>
            <w:vAlign w:val="center"/>
          </w:tcPr>
          <w:p w14:paraId="5CF95F4E">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1、禁止新建、扩建高排放、高污染项目。</w:t>
            </w:r>
          </w:p>
          <w:p w14:paraId="65CA0E39">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2、禁煤区内，禁止新建、扩建燃用高污染燃料设施；除燃煤电厂、集中供热站和原料生产使用企业外，禁止销售、储存、运输、燃用煤炭及其制品。</w:t>
            </w:r>
          </w:p>
          <w:p w14:paraId="13908736">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3、不得新建、改建、扩建列入高污染行业退出目录的工业项目；不得生产、进口、销售、使用列入淘汰目录的设备和产品；不得采用列入淘汰目录的工艺。</w:t>
            </w:r>
          </w:p>
          <w:p w14:paraId="2A9FE8AD">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4、不得在市、县（市、区）人民政府禁止的时段和区域燃放烟花爆竹和露天烧烤。</w:t>
            </w:r>
          </w:p>
          <w:p w14:paraId="53AE0851">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5、不得在本行政区域内露天焚烧秸秆、树枝、落叶等产生烟尘污染的物质；不得露天焚烧沥青、油毡、橡胶、塑料、皮革、垃圾以及其他产生有毒有害烟尘和恶臭气体的物质。</w:t>
            </w:r>
          </w:p>
        </w:tc>
        <w:tc>
          <w:tcPr>
            <w:tcW w:w="1067" w:type="pct"/>
            <w:vAlign w:val="center"/>
          </w:tcPr>
          <w:p w14:paraId="5681F29A">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1、本项目不属于两高项目；</w:t>
            </w:r>
          </w:p>
          <w:p w14:paraId="5244DC5B">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2、本项目不属于高污染燃料设施，本次不燃用煤炭及其制品；</w:t>
            </w:r>
          </w:p>
          <w:p w14:paraId="36C663CE">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3、本项目属于产业结构调整指导目录的鼓励类项目，不属于淘汰的行业、设备及工艺；</w:t>
            </w:r>
          </w:p>
          <w:p w14:paraId="73EF9A05">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4、本项目建设不涉及上述禁止的行为。</w:t>
            </w:r>
          </w:p>
        </w:tc>
        <w:tc>
          <w:tcPr>
            <w:tcW w:w="469" w:type="pct"/>
            <w:vAlign w:val="center"/>
          </w:tcPr>
          <w:p w14:paraId="49F496E5">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符合</w:t>
            </w:r>
          </w:p>
        </w:tc>
      </w:tr>
      <w:tr w14:paraId="7D398E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63" w:type="pct"/>
            <w:vMerge w:val="continue"/>
            <w:vAlign w:val="center"/>
          </w:tcPr>
          <w:p w14:paraId="098E2741">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428" w:type="pct"/>
            <w:gridSpan w:val="2"/>
            <w:vMerge w:val="continue"/>
            <w:vAlign w:val="center"/>
          </w:tcPr>
          <w:p w14:paraId="2D849E30">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2773" w:type="pct"/>
            <w:vAlign w:val="center"/>
          </w:tcPr>
          <w:p w14:paraId="53B56C68">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1、禁止新建、扩建高污染、高耗能、高耗水、高风险项目。</w:t>
            </w:r>
          </w:p>
          <w:p w14:paraId="720CAADE">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2、含有毒有害污染物的工业废水分类收集和处理，不得稀释排放。</w:t>
            </w:r>
          </w:p>
          <w:p w14:paraId="6B0405B9">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3、不得利用渗井、渗坑、裂隙、溶洞灌注或者私设暗管等方式排放水污染物。</w:t>
            </w:r>
          </w:p>
          <w:p w14:paraId="145C8CCF">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4、禁止利用无防渗漏措施的渠道、坑塘、溪沟等输送或者存贮含有毒、有害污染物的废水、含病原体的污水和其他废弃物。</w:t>
            </w:r>
          </w:p>
          <w:p w14:paraId="3D92ABC1">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5、禁止利用有毒有害的废弃物做肥料；禁止使用剧毒、高毒、高残留农药。</w:t>
            </w:r>
          </w:p>
          <w:p w14:paraId="3ED3DAB0">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6、勘探、采矿、开采地下水、人工回灌补给地下水以及建设地下工程和污水输送管道，应当采取防护措施，不得污染地下水。</w:t>
            </w:r>
          </w:p>
          <w:p w14:paraId="60796807">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7、在城市建成区内，任何单位和个人不得向雨水收集口和雨水管道排放或者倾倒污水、污物、垃圾、危险废物。</w:t>
            </w:r>
          </w:p>
        </w:tc>
        <w:tc>
          <w:tcPr>
            <w:tcW w:w="1067" w:type="pct"/>
            <w:vAlign w:val="center"/>
          </w:tcPr>
          <w:p w14:paraId="2C98C96F">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1、本项目不属于高污染、高耗能、高耗水、高风险项目；</w:t>
            </w:r>
          </w:p>
          <w:p w14:paraId="7C746895">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2、本项目各类废水处理后回用，不外排；</w:t>
            </w:r>
          </w:p>
          <w:p w14:paraId="18DD245A">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3、本项目无废水外排；本项目在城市建成区内无建设工程，不涉及上述禁止类行为。</w:t>
            </w:r>
          </w:p>
        </w:tc>
        <w:tc>
          <w:tcPr>
            <w:tcW w:w="469" w:type="pct"/>
            <w:vAlign w:val="center"/>
          </w:tcPr>
          <w:p w14:paraId="76C84CDC">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符合</w:t>
            </w:r>
          </w:p>
        </w:tc>
      </w:tr>
      <w:tr w14:paraId="0DBDFC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63" w:type="pct"/>
            <w:vMerge w:val="continue"/>
            <w:vAlign w:val="center"/>
          </w:tcPr>
          <w:p w14:paraId="24228AE4">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428" w:type="pct"/>
            <w:gridSpan w:val="2"/>
            <w:vMerge w:val="continue"/>
            <w:vAlign w:val="center"/>
          </w:tcPr>
          <w:p w14:paraId="5C3707CC">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2773" w:type="pct"/>
            <w:vAlign w:val="center"/>
          </w:tcPr>
          <w:p w14:paraId="4632F513">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1、横泉水库一级保护区内，禁止从事下列活动：</w:t>
            </w:r>
          </w:p>
          <w:p w14:paraId="2BF0BD2F">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（1）新建、改建、扩建与供水设施和保护水源无关的建设项目；</w:t>
            </w:r>
          </w:p>
          <w:p w14:paraId="4D968166">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（2）设置排污口；</w:t>
            </w:r>
          </w:p>
          <w:p w14:paraId="21EF1147">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（3）放养禽畜、网箱养殖、旅游、游泳、垂钓或者其他可能污染水体的活动；</w:t>
            </w:r>
          </w:p>
          <w:p w14:paraId="6B76A7DB">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（4）新增农业种植和经济林。</w:t>
            </w:r>
          </w:p>
          <w:p w14:paraId="42127F4F">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2、横泉水库二级保护区内，禁止从事下列活动：</w:t>
            </w:r>
          </w:p>
          <w:p w14:paraId="5AAAD230">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（1）新建、改建、扩建排放污染物的建设项目；</w:t>
            </w:r>
          </w:p>
          <w:p w14:paraId="664E6921">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（2）设置排污口；</w:t>
            </w:r>
          </w:p>
          <w:p w14:paraId="69241431">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（3）处置城镇生活垃圾；</w:t>
            </w:r>
          </w:p>
          <w:p w14:paraId="282789A6">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（4）建设未采取防渗漏措施的城镇生活垃圾转运站；</w:t>
            </w:r>
          </w:p>
          <w:p w14:paraId="0FD863B9">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（5）建设易溶性、有毒有害废弃物暂存和转运站；</w:t>
            </w:r>
          </w:p>
          <w:p w14:paraId="7B766F71">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（6）建设化工原料、危险化学品、矿物油类及有毒有害矿产品的堆放场所。</w:t>
            </w:r>
          </w:p>
          <w:p w14:paraId="099E4DF2">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3、横泉水库准保护区内，禁止从事下列活动：</w:t>
            </w:r>
          </w:p>
          <w:p w14:paraId="1920F530">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（1）新建、扩建对水体污染严重的建设项目；</w:t>
            </w:r>
          </w:p>
          <w:p w14:paraId="206AF5BA">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（2）改建增加排污量的建设项目；</w:t>
            </w:r>
          </w:p>
          <w:p w14:paraId="42619864">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（3）建设易溶性、有毒有害废弃物暂存和转运站；</w:t>
            </w:r>
          </w:p>
          <w:p w14:paraId="35201A88">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（4）从事采砂、毁林等活动。</w:t>
            </w:r>
          </w:p>
          <w:p w14:paraId="2BA6A3F5">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4、任何单位和个人不得侵占、损坏或者人为干扰监测设施及监控设备。</w:t>
            </w:r>
          </w:p>
        </w:tc>
        <w:tc>
          <w:tcPr>
            <w:tcW w:w="1067" w:type="pct"/>
            <w:vAlign w:val="center"/>
          </w:tcPr>
          <w:p w14:paraId="32ECAB99">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临兴东尚义区块范围内不涉及横泉水库及其保护区，临兴东尚义区南矿界距离保护区约60km</w:t>
            </w:r>
          </w:p>
        </w:tc>
        <w:tc>
          <w:tcPr>
            <w:tcW w:w="469" w:type="pct"/>
            <w:vAlign w:val="center"/>
          </w:tcPr>
          <w:p w14:paraId="3C7FCBE6">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符合</w:t>
            </w:r>
          </w:p>
        </w:tc>
      </w:tr>
      <w:tr w14:paraId="393FA5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63" w:type="pct"/>
            <w:vMerge w:val="continue"/>
            <w:vAlign w:val="center"/>
          </w:tcPr>
          <w:p w14:paraId="4C93C660">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428" w:type="pct"/>
            <w:gridSpan w:val="2"/>
            <w:vMerge w:val="continue"/>
            <w:vAlign w:val="center"/>
          </w:tcPr>
          <w:p w14:paraId="5C2E33EE">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2773" w:type="pct"/>
            <w:vAlign w:val="center"/>
          </w:tcPr>
          <w:p w14:paraId="738B103E">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1、在河道管理范围内，禁止从事下列活动：</w:t>
            </w:r>
          </w:p>
          <w:p w14:paraId="38FB121C">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（1）建设或者弃置妨碍行洪的建筑物、构筑物；</w:t>
            </w:r>
          </w:p>
          <w:p w14:paraId="12F2921E">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（2）设置拦河渔具；</w:t>
            </w:r>
          </w:p>
          <w:p w14:paraId="7EDC497C">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（3）倾倒、堆放、掩埋矿渣、石渣、煤灰、垃圾；</w:t>
            </w:r>
          </w:p>
          <w:p w14:paraId="63FC09EA">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（4）清洗装贮过油类或者有毒污染物的车辆、容器；</w:t>
            </w:r>
          </w:p>
          <w:p w14:paraId="57153730">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（5）超标排放污水；</w:t>
            </w:r>
          </w:p>
          <w:p w14:paraId="63F31CD4">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（6）影响河势稳定、危害河岸堤防安全、妨碍河道行洪的其他活动。</w:t>
            </w:r>
          </w:p>
          <w:p w14:paraId="00A5DC8B">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2、在行洪河道内，禁止种植阻碍行洪的高秆作物、林木（堤防防护林、河道防浪林除外）。</w:t>
            </w:r>
          </w:p>
          <w:p w14:paraId="760A66B5">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3、在河道水面，禁止布设妨碍行洪、影响水环境的光能风能发电、餐饮娱乐、旅游等设施。</w:t>
            </w:r>
          </w:p>
          <w:p w14:paraId="08132006">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4、不得擅自围垦围占河道、围库（湖）造地、围占水库（湖）水域和人工水道。</w:t>
            </w:r>
          </w:p>
          <w:p w14:paraId="60C04558">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5、在堤防和护堤地，禁止建房、安装设施（河道和水工程管理设施除外）、放牧、开渠、打井、耕种、挖窖、葬坟、晒粮、存放物料（防汛物料除外）、开采地下资源、考古发掘以及开展集市贸易活动。</w:t>
            </w:r>
          </w:p>
          <w:p w14:paraId="4B311F87">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6、在堤防保护范围内，禁止从事危害堤防安全的活动。</w:t>
            </w:r>
          </w:p>
          <w:p w14:paraId="369360B9">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7、护堤护岸林木，由河道管理单位组织营造和管理，其他任何单位和个人不得擅自砍伐、侵占或者破坏。</w:t>
            </w:r>
          </w:p>
          <w:p w14:paraId="4EF27B83">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8、未经依法批准，不得在河道水系内填堵、缩减或者废除原有河道沟叉、贮水湖塘洼淀和废除原有防洪围堤，不得调整河道水系。</w:t>
            </w:r>
          </w:p>
          <w:p w14:paraId="4779366B">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9、河道滩地不得作为基本农田或者占补平衡用地。</w:t>
            </w:r>
          </w:p>
          <w:p w14:paraId="10297AF2">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10、河道岸线不得擅自占用。</w:t>
            </w:r>
          </w:p>
          <w:p w14:paraId="225E41C0">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11、山区河道易发山体崩塌、滑坡、泥石流等地质灾害的河段，禁止从事开山采石、采矿、开荒等危及山体稳定的活动。</w:t>
            </w:r>
          </w:p>
          <w:p w14:paraId="150D2032">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12、禁止损毁、侵占堤防、护岸、闸坝等水工程建筑物和防汛、水文、水工观测、通信照明等设施。</w:t>
            </w:r>
          </w:p>
        </w:tc>
        <w:tc>
          <w:tcPr>
            <w:tcW w:w="1067" w:type="pct"/>
            <w:vAlign w:val="center"/>
          </w:tcPr>
          <w:p w14:paraId="3398CF8B">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本项目建设工程均不在河道，井场避让了赵家坪沟、孟家坪沟河道岸线，距离黄河最近建设工程</w:t>
            </w:r>
            <w:r>
              <w:rPr>
                <w:rStyle w:val="95"/>
                <w:rFonts w:hint="eastAsia"/>
                <w:color w:val="auto"/>
              </w:rPr>
              <w:t>为</w:t>
            </w:r>
            <w:r>
              <w:rPr>
                <w:rStyle w:val="95"/>
                <w:color w:val="auto"/>
              </w:rPr>
              <w:t>LXD12-7井场，距离1352m，距离</w:t>
            </w:r>
            <w:r>
              <w:rPr>
                <w:rStyle w:val="95"/>
                <w:rFonts w:hint="eastAsia"/>
                <w:color w:val="auto"/>
              </w:rPr>
              <w:t>赵家坪沟</w:t>
            </w:r>
            <w:r>
              <w:rPr>
                <w:rStyle w:val="95"/>
                <w:color w:val="auto"/>
              </w:rPr>
              <w:t>最近工程为LXD</w:t>
            </w:r>
            <w:r>
              <w:rPr>
                <w:rStyle w:val="95"/>
                <w:rFonts w:hint="eastAsia"/>
                <w:color w:val="auto"/>
              </w:rPr>
              <w:t>3-9</w:t>
            </w:r>
            <w:r>
              <w:rPr>
                <w:rStyle w:val="95"/>
                <w:color w:val="auto"/>
              </w:rPr>
              <w:t>，距离为</w:t>
            </w:r>
            <w:r>
              <w:rPr>
                <w:rStyle w:val="95"/>
                <w:rFonts w:hint="eastAsia"/>
                <w:color w:val="auto"/>
              </w:rPr>
              <w:t>41</w:t>
            </w:r>
            <w:r>
              <w:rPr>
                <w:rStyle w:val="95"/>
                <w:color w:val="auto"/>
              </w:rPr>
              <w:t>0m，距离孟家坪沟最近建设工程为LXD</w:t>
            </w:r>
            <w:r>
              <w:rPr>
                <w:rStyle w:val="95"/>
                <w:rFonts w:hint="eastAsia"/>
                <w:color w:val="auto"/>
              </w:rPr>
              <w:t>G-13</w:t>
            </w:r>
            <w:r>
              <w:rPr>
                <w:rStyle w:val="95"/>
                <w:color w:val="auto"/>
              </w:rPr>
              <w:t>井场，距离为</w:t>
            </w:r>
            <w:r>
              <w:rPr>
                <w:rStyle w:val="95"/>
                <w:rFonts w:hint="eastAsia"/>
                <w:color w:val="auto"/>
              </w:rPr>
              <w:t>696</w:t>
            </w:r>
            <w:r>
              <w:rPr>
                <w:rStyle w:val="95"/>
                <w:color w:val="auto"/>
              </w:rPr>
              <w:t>m</w:t>
            </w:r>
            <w:r>
              <w:rPr>
                <w:rStyle w:val="95"/>
                <w:rFonts w:hint="eastAsia"/>
                <w:color w:val="auto"/>
              </w:rPr>
              <w:t>。</w:t>
            </w:r>
          </w:p>
        </w:tc>
        <w:tc>
          <w:tcPr>
            <w:tcW w:w="469" w:type="pct"/>
            <w:vAlign w:val="center"/>
          </w:tcPr>
          <w:p w14:paraId="085ED5E0">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符合</w:t>
            </w:r>
          </w:p>
        </w:tc>
      </w:tr>
      <w:tr w14:paraId="0DBBF6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63" w:type="pct"/>
            <w:vMerge w:val="continue"/>
            <w:vAlign w:val="center"/>
          </w:tcPr>
          <w:p w14:paraId="59C4AE20">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428" w:type="pct"/>
            <w:gridSpan w:val="2"/>
            <w:vMerge w:val="continue"/>
            <w:vAlign w:val="center"/>
          </w:tcPr>
          <w:p w14:paraId="6958E341">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2773" w:type="pct"/>
            <w:vAlign w:val="center"/>
          </w:tcPr>
          <w:p w14:paraId="12132875">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1、柳林泉域一级保护区内，禁止从事下列活动：</w:t>
            </w:r>
          </w:p>
          <w:p w14:paraId="0403BCF1">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（1）新建、改建、扩建与供水设施和保护水源无关的建设项目；</w:t>
            </w:r>
          </w:p>
          <w:p w14:paraId="1E741204">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（2）擅自挖泉、截流、引水；</w:t>
            </w:r>
          </w:p>
          <w:p w14:paraId="65E3DA39">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（3）将不同含水层的地下水混合开采；</w:t>
            </w:r>
          </w:p>
          <w:p w14:paraId="7137B471">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（4）新开凿用于农村生活饮用水以外的岩溶水井；</w:t>
            </w:r>
          </w:p>
          <w:p w14:paraId="011236EF">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（5）矿井直接排放岩溶水；</w:t>
            </w:r>
          </w:p>
          <w:p w14:paraId="32D2273F">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（6）倾倒、排放工业废渣和城市生活垃圾、污水及其他废弃物；</w:t>
            </w:r>
          </w:p>
          <w:p w14:paraId="43386D1C">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（7）衬砌封闭河道底板；</w:t>
            </w:r>
          </w:p>
          <w:p w14:paraId="66BEAC9D">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（8）在泉水出露带进行采煤、开矿、开山采石和兴建地下工程。</w:t>
            </w:r>
          </w:p>
          <w:p w14:paraId="3BF0F8AC">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2、柳林泉域二级保护区内，禁止从事下列活动：</w:t>
            </w:r>
          </w:p>
          <w:p w14:paraId="2680BF12">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（1）新建、改建、扩建耗水量大或者对水资源有污染的建设项目；</w:t>
            </w:r>
          </w:p>
          <w:p w14:paraId="342ECE30">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（2）衬砌封闭河道底板；</w:t>
            </w:r>
          </w:p>
          <w:p w14:paraId="02A8C735">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（3）利用河道、渗坑、渗井、裂隙等排放污水和其他有害废物；</w:t>
            </w:r>
          </w:p>
          <w:p w14:paraId="1FEEDF79">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（4）利用透水层储存石油、天然气、放射性物质、有害有毒化工原料、农药；</w:t>
            </w:r>
          </w:p>
          <w:p w14:paraId="29FFE6AC">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（5）建设城市垃圾、粪便和易溶、有害有毒废弃物堆放场。</w:t>
            </w:r>
          </w:p>
          <w:p w14:paraId="59412A6D">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3、在柳林泉域一、二级保护区外的其他保护区内，禁止从事下列活动：</w:t>
            </w:r>
          </w:p>
          <w:p w14:paraId="34057E8D">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（1）利用渗坑、渗井、溶洞、废弃钻孔等排放工业废水、城市生活污水，倾倒污物、废渣和城市生活垃圾；</w:t>
            </w:r>
          </w:p>
          <w:p w14:paraId="51D4B0BA">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（2）对不同含水层地下水混合开采。</w:t>
            </w:r>
          </w:p>
          <w:p w14:paraId="678CB0AD">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4、在柳林泉域地面标高低于805米的区域内，严禁新开凿岩溶地下水井。</w:t>
            </w:r>
          </w:p>
        </w:tc>
        <w:tc>
          <w:tcPr>
            <w:tcW w:w="1067" w:type="pct"/>
            <w:vAlign w:val="center"/>
          </w:tcPr>
          <w:p w14:paraId="1B62C646">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本项目建设工程不涉及柳林泉域</w:t>
            </w:r>
          </w:p>
        </w:tc>
        <w:tc>
          <w:tcPr>
            <w:tcW w:w="469" w:type="pct"/>
            <w:vAlign w:val="center"/>
          </w:tcPr>
          <w:p w14:paraId="375D34B6">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符合</w:t>
            </w:r>
          </w:p>
        </w:tc>
      </w:tr>
      <w:tr w14:paraId="48FDE0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63" w:type="pct"/>
            <w:vMerge w:val="continue"/>
            <w:vAlign w:val="center"/>
          </w:tcPr>
          <w:p w14:paraId="7EE57736">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428" w:type="pct"/>
            <w:gridSpan w:val="2"/>
            <w:vMerge w:val="restart"/>
            <w:vAlign w:val="center"/>
          </w:tcPr>
          <w:p w14:paraId="441B4123">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限制开发建设活动的要求</w:t>
            </w:r>
          </w:p>
        </w:tc>
        <w:tc>
          <w:tcPr>
            <w:tcW w:w="2773" w:type="pct"/>
            <w:vAlign w:val="center"/>
          </w:tcPr>
          <w:p w14:paraId="649EB28E">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1、城乡建设和发展不得擅自占用河道滩地，确需占用的，应当符合行洪和供水要求。</w:t>
            </w:r>
          </w:p>
          <w:p w14:paraId="3734DF6F">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2、在河道管理范围内进行下列活动，应当经市、县 (市、区)人民政府审批部门批准：</w:t>
            </w:r>
          </w:p>
          <w:p w14:paraId="026C63BE">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（1）采砂、采石、取土、弃置砂石或者泥土；</w:t>
            </w:r>
          </w:p>
          <w:p w14:paraId="133B2F44">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（2）爆破、钻探、挖筑鱼塘；</w:t>
            </w:r>
          </w:p>
          <w:p w14:paraId="609102DE">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（3）在河道滩地存放物料、开采地下资源及进行考古发掘；</w:t>
            </w:r>
          </w:p>
          <w:p w14:paraId="3627F436">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（4）种植、养殖、经营旅游、水上训练、举办赛事、影视拍摄等；</w:t>
            </w:r>
          </w:p>
          <w:p w14:paraId="35D0953B">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（5）其他妨碍行洪安全、水工程安全的活动。</w:t>
            </w:r>
          </w:p>
          <w:p w14:paraId="1DF9DB91">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3、在河道管理范围内从事开采矿产资源、建设地下工程或者考古发掘活动，不得影响河道和堤防工程安全。</w:t>
            </w:r>
          </w:p>
        </w:tc>
        <w:tc>
          <w:tcPr>
            <w:tcW w:w="1067" w:type="pct"/>
            <w:vAlign w:val="center"/>
          </w:tcPr>
          <w:p w14:paraId="15690911">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本项目建设工程均不在河道，井场避让了赵家坪沟、孟家坪沟河道岸线，距离黄河最近建设工程</w:t>
            </w:r>
            <w:r>
              <w:rPr>
                <w:rStyle w:val="95"/>
                <w:rFonts w:hint="eastAsia"/>
                <w:color w:val="auto"/>
              </w:rPr>
              <w:t>为</w:t>
            </w:r>
            <w:r>
              <w:rPr>
                <w:rStyle w:val="95"/>
                <w:color w:val="auto"/>
              </w:rPr>
              <w:t>LXD12-7井场，距离1352m，距离</w:t>
            </w:r>
            <w:r>
              <w:rPr>
                <w:rStyle w:val="95"/>
                <w:rFonts w:hint="eastAsia"/>
                <w:color w:val="auto"/>
              </w:rPr>
              <w:t>赵家坪沟</w:t>
            </w:r>
            <w:r>
              <w:rPr>
                <w:rStyle w:val="95"/>
                <w:color w:val="auto"/>
              </w:rPr>
              <w:t>最近工程为LXD</w:t>
            </w:r>
            <w:r>
              <w:rPr>
                <w:rStyle w:val="95"/>
                <w:rFonts w:hint="eastAsia"/>
                <w:color w:val="auto"/>
              </w:rPr>
              <w:t>3-9</w:t>
            </w:r>
            <w:r>
              <w:rPr>
                <w:rStyle w:val="95"/>
                <w:color w:val="auto"/>
              </w:rPr>
              <w:t>，距离为</w:t>
            </w:r>
            <w:r>
              <w:rPr>
                <w:rStyle w:val="95"/>
                <w:rFonts w:hint="eastAsia"/>
                <w:color w:val="auto"/>
              </w:rPr>
              <w:t>41</w:t>
            </w:r>
            <w:r>
              <w:rPr>
                <w:rStyle w:val="95"/>
                <w:color w:val="auto"/>
              </w:rPr>
              <w:t>0m，距离孟家坪沟最近建设工程为LXD</w:t>
            </w:r>
            <w:r>
              <w:rPr>
                <w:rStyle w:val="95"/>
                <w:rFonts w:hint="eastAsia"/>
                <w:color w:val="auto"/>
              </w:rPr>
              <w:t>G-13</w:t>
            </w:r>
            <w:r>
              <w:rPr>
                <w:rStyle w:val="95"/>
                <w:color w:val="auto"/>
              </w:rPr>
              <w:t>井场，距离为</w:t>
            </w:r>
            <w:r>
              <w:rPr>
                <w:rStyle w:val="95"/>
                <w:rFonts w:hint="eastAsia"/>
                <w:color w:val="auto"/>
              </w:rPr>
              <w:t>696</w:t>
            </w:r>
            <w:r>
              <w:rPr>
                <w:rStyle w:val="95"/>
                <w:color w:val="auto"/>
              </w:rPr>
              <w:t>m</w:t>
            </w:r>
            <w:r>
              <w:rPr>
                <w:rStyle w:val="95"/>
                <w:rFonts w:hint="eastAsia"/>
                <w:color w:val="auto"/>
              </w:rPr>
              <w:t>。</w:t>
            </w:r>
          </w:p>
        </w:tc>
        <w:tc>
          <w:tcPr>
            <w:tcW w:w="469" w:type="pct"/>
            <w:vAlign w:val="center"/>
          </w:tcPr>
          <w:p w14:paraId="798D9E46">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符合</w:t>
            </w:r>
          </w:p>
        </w:tc>
      </w:tr>
      <w:tr w14:paraId="1633B7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63" w:type="pct"/>
            <w:vMerge w:val="continue"/>
            <w:vAlign w:val="center"/>
          </w:tcPr>
          <w:p w14:paraId="4E8B759A">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428" w:type="pct"/>
            <w:gridSpan w:val="2"/>
            <w:vMerge w:val="continue"/>
            <w:vAlign w:val="center"/>
          </w:tcPr>
          <w:p w14:paraId="572B7035">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2773" w:type="pct"/>
            <w:vAlign w:val="center"/>
          </w:tcPr>
          <w:p w14:paraId="387C843C">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1、在柳林泉域一、二级保护区外的其他保护区，应当遵守下列规定：</w:t>
            </w:r>
          </w:p>
          <w:p w14:paraId="1BE9C99E">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（1）控制岩溶地下水开采；</w:t>
            </w:r>
          </w:p>
          <w:p w14:paraId="72E86160">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（2）合理开发孔隙裂隙地下水；</w:t>
            </w:r>
          </w:p>
          <w:p w14:paraId="57EC9BCE">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（3）严格控制兴建耗水量大或对水资源有污染的建设项目；</w:t>
            </w:r>
          </w:p>
          <w:p w14:paraId="2B221876">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（4）在地表水工程供水范围内，实施地下水关井压采。</w:t>
            </w:r>
          </w:p>
        </w:tc>
        <w:tc>
          <w:tcPr>
            <w:tcW w:w="1067" w:type="pct"/>
            <w:vAlign w:val="center"/>
          </w:tcPr>
          <w:p w14:paraId="56112C8D">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本项目建设工程不涉及柳林泉域</w:t>
            </w:r>
          </w:p>
        </w:tc>
        <w:tc>
          <w:tcPr>
            <w:tcW w:w="469" w:type="pct"/>
            <w:vAlign w:val="center"/>
          </w:tcPr>
          <w:p w14:paraId="6BE6F436">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符合</w:t>
            </w:r>
          </w:p>
        </w:tc>
      </w:tr>
      <w:tr w14:paraId="6DCCB6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63" w:type="pct"/>
            <w:vMerge w:val="continue"/>
            <w:vAlign w:val="center"/>
          </w:tcPr>
          <w:p w14:paraId="590FA097">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428" w:type="pct"/>
            <w:gridSpan w:val="2"/>
            <w:vMerge w:val="restart"/>
            <w:vAlign w:val="center"/>
          </w:tcPr>
          <w:p w14:paraId="4790A735">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不符合空间布局要求活动的退出要求</w:t>
            </w:r>
          </w:p>
        </w:tc>
        <w:tc>
          <w:tcPr>
            <w:tcW w:w="2773" w:type="pct"/>
            <w:vAlign w:val="center"/>
          </w:tcPr>
          <w:p w14:paraId="136B7ABE">
            <w:pPr>
              <w:overflowPunct w:val="0"/>
              <w:autoSpaceDE w:val="0"/>
              <w:autoSpaceDN w:val="0"/>
              <w:adjustRightInd w:val="0"/>
              <w:snapToGrid w:val="0"/>
              <w:spacing w:line="240" w:lineRule="exact"/>
              <w:textAlignment w:val="baseline"/>
              <w:rPr>
                <w:rFonts w:ascii="宋体" w:hAnsi="宋体" w:eastAsia="宋体" w:cs="宋体"/>
                <w:kern w:val="0"/>
                <w:szCs w:val="21"/>
              </w:rPr>
            </w:pPr>
            <w:r>
              <w:rPr>
                <w:rFonts w:hint="eastAsia" w:ascii="宋体" w:hAnsi="宋体" w:eastAsia="宋体" w:cs="宋体"/>
                <w:szCs w:val="21"/>
              </w:rPr>
              <w:t>1、对列入高污染行业退出目录的项目有计划地调整退出，支持高污染项目实施技术改造或者自愿关闭、搬迁、转产。</w:t>
            </w:r>
          </w:p>
        </w:tc>
        <w:tc>
          <w:tcPr>
            <w:tcW w:w="1067" w:type="pct"/>
            <w:vAlign w:val="center"/>
          </w:tcPr>
          <w:p w14:paraId="1D508060">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本项目不属于高污染项目</w:t>
            </w:r>
          </w:p>
        </w:tc>
        <w:tc>
          <w:tcPr>
            <w:tcW w:w="469" w:type="pct"/>
            <w:vAlign w:val="center"/>
          </w:tcPr>
          <w:p w14:paraId="3459A2F1">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符合</w:t>
            </w:r>
          </w:p>
        </w:tc>
      </w:tr>
      <w:tr w14:paraId="35D31E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263" w:type="pct"/>
            <w:vMerge w:val="continue"/>
            <w:vAlign w:val="center"/>
          </w:tcPr>
          <w:p w14:paraId="6187892B">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428" w:type="pct"/>
            <w:gridSpan w:val="2"/>
            <w:vMerge w:val="continue"/>
            <w:vAlign w:val="center"/>
          </w:tcPr>
          <w:p w14:paraId="27A61D80">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2773" w:type="pct"/>
            <w:vAlign w:val="center"/>
          </w:tcPr>
          <w:p w14:paraId="2AC67A0A">
            <w:pPr>
              <w:overflowPunct w:val="0"/>
              <w:autoSpaceDE w:val="0"/>
              <w:autoSpaceDN w:val="0"/>
              <w:adjustRightInd w:val="0"/>
              <w:snapToGrid w:val="0"/>
              <w:spacing w:line="240" w:lineRule="exact"/>
              <w:textAlignment w:val="baseline"/>
              <w:rPr>
                <w:rFonts w:ascii="宋体" w:hAnsi="宋体" w:eastAsia="宋体" w:cs="宋体"/>
                <w:szCs w:val="21"/>
              </w:rPr>
            </w:pPr>
            <w:r>
              <w:rPr>
                <w:rFonts w:hint="eastAsia" w:ascii="宋体" w:hAnsi="宋体" w:eastAsia="宋体" w:cs="宋体"/>
                <w:szCs w:val="21"/>
              </w:rPr>
              <w:t>1、合理布局开发区、工业聚集区产业和规模，新建、改建、扩建项目充分考虑园区环境容量的承载能力，引导企业项目有序进入和退出园区。</w:t>
            </w:r>
          </w:p>
          <w:p w14:paraId="1B449080">
            <w:pPr>
              <w:overflowPunct w:val="0"/>
              <w:autoSpaceDE w:val="0"/>
              <w:autoSpaceDN w:val="0"/>
              <w:adjustRightInd w:val="0"/>
              <w:snapToGrid w:val="0"/>
              <w:spacing w:line="240" w:lineRule="exact"/>
              <w:textAlignment w:val="baseline"/>
              <w:rPr>
                <w:rFonts w:ascii="宋体" w:hAnsi="宋体" w:eastAsia="宋体" w:cs="宋体"/>
                <w:szCs w:val="21"/>
              </w:rPr>
            </w:pPr>
            <w:r>
              <w:rPr>
                <w:rFonts w:hint="eastAsia" w:ascii="宋体" w:hAnsi="宋体" w:eastAsia="宋体" w:cs="宋体"/>
                <w:szCs w:val="21"/>
              </w:rPr>
              <w:t>2、依法对水污染较重的企业实施技术改造或者关闭、搬迁、转产。</w:t>
            </w:r>
          </w:p>
          <w:p w14:paraId="30684130">
            <w:pPr>
              <w:overflowPunct w:val="0"/>
              <w:autoSpaceDE w:val="0"/>
              <w:autoSpaceDN w:val="0"/>
              <w:adjustRightInd w:val="0"/>
              <w:snapToGrid w:val="0"/>
              <w:spacing w:line="240" w:lineRule="exact"/>
              <w:textAlignment w:val="baseline"/>
              <w:rPr>
                <w:rFonts w:ascii="宋体" w:hAnsi="宋体" w:eastAsia="宋体" w:cs="宋体"/>
                <w:szCs w:val="21"/>
              </w:rPr>
            </w:pPr>
            <w:r>
              <w:rPr>
                <w:rFonts w:hint="eastAsia" w:ascii="宋体" w:hAnsi="宋体" w:eastAsia="宋体" w:cs="宋体"/>
                <w:szCs w:val="21"/>
              </w:rPr>
              <w:t>3、依法淘汰严重污染水环境的落后工艺和设备。　</w:t>
            </w:r>
          </w:p>
        </w:tc>
        <w:tc>
          <w:tcPr>
            <w:tcW w:w="1067" w:type="pct"/>
            <w:vAlign w:val="center"/>
          </w:tcPr>
          <w:p w14:paraId="2A999B3E">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本项目不属于工业集聚区，本项目钻井压裂废水处理后回用于钻井压裂液配置；分离水处理后建设期回用，运营期无法回用时蒸发处置，不外排</w:t>
            </w:r>
          </w:p>
        </w:tc>
        <w:tc>
          <w:tcPr>
            <w:tcW w:w="469" w:type="pct"/>
            <w:vAlign w:val="center"/>
          </w:tcPr>
          <w:p w14:paraId="61E553F7">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符合</w:t>
            </w:r>
          </w:p>
        </w:tc>
      </w:tr>
      <w:tr w14:paraId="1D9883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63" w:type="pct"/>
            <w:vMerge w:val="continue"/>
            <w:vAlign w:val="center"/>
          </w:tcPr>
          <w:p w14:paraId="7F4B79B4">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428" w:type="pct"/>
            <w:gridSpan w:val="2"/>
            <w:vMerge w:val="continue"/>
            <w:vAlign w:val="center"/>
          </w:tcPr>
          <w:p w14:paraId="0D88DF76">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2773" w:type="pct"/>
            <w:vAlign w:val="center"/>
          </w:tcPr>
          <w:p w14:paraId="56F16917">
            <w:pPr>
              <w:overflowPunct w:val="0"/>
              <w:autoSpaceDE w:val="0"/>
              <w:autoSpaceDN w:val="0"/>
              <w:adjustRightInd w:val="0"/>
              <w:snapToGrid w:val="0"/>
              <w:spacing w:line="240" w:lineRule="exact"/>
              <w:textAlignment w:val="baseline"/>
              <w:rPr>
                <w:rFonts w:ascii="宋体" w:hAnsi="宋体" w:eastAsia="宋体" w:cs="宋体"/>
                <w:szCs w:val="21"/>
              </w:rPr>
            </w:pPr>
            <w:r>
              <w:rPr>
                <w:rFonts w:hint="eastAsia" w:ascii="宋体" w:hAnsi="宋体" w:eastAsia="宋体" w:cs="宋体"/>
                <w:szCs w:val="21"/>
              </w:rPr>
              <w:t>1、一级保护区内已建成的与供水设施和保护水源无关的建设项目，由县级以上人民政府责令拆除或者关闭。</w:t>
            </w:r>
          </w:p>
          <w:p w14:paraId="06596C2E">
            <w:pPr>
              <w:overflowPunct w:val="0"/>
              <w:autoSpaceDE w:val="0"/>
              <w:autoSpaceDN w:val="0"/>
              <w:adjustRightInd w:val="0"/>
              <w:snapToGrid w:val="0"/>
              <w:spacing w:line="240" w:lineRule="exact"/>
              <w:textAlignment w:val="baseline"/>
              <w:rPr>
                <w:rFonts w:ascii="宋体" w:hAnsi="宋体" w:eastAsia="宋体" w:cs="宋体"/>
                <w:szCs w:val="21"/>
              </w:rPr>
            </w:pPr>
            <w:r>
              <w:rPr>
                <w:rFonts w:hint="eastAsia" w:ascii="宋体" w:hAnsi="宋体" w:eastAsia="宋体" w:cs="宋体"/>
                <w:szCs w:val="21"/>
              </w:rPr>
              <w:t>2、二级保护区内已建成的排放污染物的建设项目，由县级以上人民政府责令拆除或者关闭。</w:t>
            </w:r>
          </w:p>
        </w:tc>
        <w:tc>
          <w:tcPr>
            <w:tcW w:w="1067" w:type="pct"/>
            <w:vAlign w:val="center"/>
          </w:tcPr>
          <w:p w14:paraId="2F97C581">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本项目建设工程均已避让水源保护区</w:t>
            </w:r>
          </w:p>
        </w:tc>
        <w:tc>
          <w:tcPr>
            <w:tcW w:w="469" w:type="pct"/>
            <w:vAlign w:val="center"/>
          </w:tcPr>
          <w:p w14:paraId="6C80A074">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符合</w:t>
            </w:r>
          </w:p>
        </w:tc>
      </w:tr>
      <w:tr w14:paraId="02DBB4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63" w:type="pct"/>
            <w:vMerge w:val="continue"/>
            <w:vAlign w:val="center"/>
          </w:tcPr>
          <w:p w14:paraId="7F0C78DE">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428" w:type="pct"/>
            <w:gridSpan w:val="2"/>
            <w:vMerge w:val="continue"/>
            <w:vAlign w:val="center"/>
          </w:tcPr>
          <w:p w14:paraId="1C85D56F">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2773" w:type="pct"/>
            <w:vAlign w:val="center"/>
          </w:tcPr>
          <w:p w14:paraId="5559D5AB">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1、对壅水、阻水严重的桥梁、引道、码头和其他跨河、穿河、临河工程设施，根据国家规定的防洪标准，由县（市、区）人民政府水行政主管部门报请同级人民政府责令限期改建或者拆除。</w:t>
            </w:r>
          </w:p>
          <w:p w14:paraId="7266F2DC">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2、擅自围垦或者围占河道、围库（湖）造地、围占水库（湖）水域和人工水道的，由市、县(市、区)人民政府依法予以清退。</w:t>
            </w:r>
          </w:p>
          <w:p w14:paraId="727FD7C8">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3、对于已作为农村集体土地承包给农民耕种的滩地，所在地人民政府应当有计划地组织农民退耕还滩；对于农民擅自占用的滩地，由所在地人民政府依法予以清退。</w:t>
            </w:r>
          </w:p>
        </w:tc>
        <w:tc>
          <w:tcPr>
            <w:tcW w:w="1067" w:type="pct"/>
            <w:vAlign w:val="center"/>
          </w:tcPr>
          <w:p w14:paraId="2D860938">
            <w:pPr>
              <w:pStyle w:val="94"/>
              <w:rPr>
                <w:color w:val="auto"/>
              </w:rPr>
            </w:pPr>
            <w:r>
              <w:rPr>
                <w:rFonts w:hint="eastAsia"/>
                <w:color w:val="auto"/>
              </w:rPr>
              <w:t>本项目建设工程均不在河道，</w:t>
            </w:r>
            <w:r>
              <w:rPr>
                <w:color w:val="auto"/>
              </w:rPr>
              <w:t>距离</w:t>
            </w:r>
            <w:r>
              <w:rPr>
                <w:rFonts w:hint="eastAsia"/>
                <w:color w:val="auto"/>
              </w:rPr>
              <w:t>赵家坪沟</w:t>
            </w:r>
            <w:r>
              <w:rPr>
                <w:color w:val="auto"/>
              </w:rPr>
              <w:t>最近工程为</w:t>
            </w:r>
            <w:r>
              <w:rPr>
                <w:rFonts w:ascii="Times New Roman" w:hAnsi="Times New Roman"/>
                <w:color w:val="auto"/>
              </w:rPr>
              <w:t>LXD</w:t>
            </w:r>
            <w:r>
              <w:rPr>
                <w:rFonts w:hint="eastAsia" w:ascii="Times New Roman" w:hAnsi="Times New Roman"/>
                <w:color w:val="auto"/>
              </w:rPr>
              <w:t>3-9</w:t>
            </w:r>
            <w:r>
              <w:rPr>
                <w:color w:val="auto"/>
              </w:rPr>
              <w:t>，距离为</w:t>
            </w:r>
            <w:r>
              <w:rPr>
                <w:rFonts w:hint="eastAsia" w:ascii="Times New Roman" w:hAnsi="Times New Roman"/>
                <w:color w:val="auto"/>
              </w:rPr>
              <w:t>41</w:t>
            </w:r>
            <w:r>
              <w:rPr>
                <w:rFonts w:ascii="Times New Roman" w:hAnsi="Times New Roman"/>
                <w:color w:val="auto"/>
              </w:rPr>
              <w:t>0m</w:t>
            </w:r>
            <w:r>
              <w:rPr>
                <w:rFonts w:hint="eastAsia"/>
                <w:color w:val="auto"/>
              </w:rPr>
              <w:t>，</w:t>
            </w:r>
            <w:r>
              <w:rPr>
                <w:color w:val="auto"/>
              </w:rPr>
              <w:t>距离</w:t>
            </w:r>
            <w:r>
              <w:rPr>
                <w:rFonts w:hint="eastAsia"/>
                <w:color w:val="auto"/>
              </w:rPr>
              <w:t>孟家坪沟</w:t>
            </w:r>
            <w:r>
              <w:rPr>
                <w:color w:val="auto"/>
              </w:rPr>
              <w:t>最近建设工程为</w:t>
            </w:r>
            <w:r>
              <w:rPr>
                <w:rFonts w:ascii="Times New Roman" w:hAnsi="Times New Roman"/>
                <w:color w:val="auto"/>
              </w:rPr>
              <w:t>LXD</w:t>
            </w:r>
            <w:r>
              <w:rPr>
                <w:rFonts w:hint="eastAsia" w:ascii="Times New Roman" w:hAnsi="Times New Roman"/>
                <w:color w:val="auto"/>
              </w:rPr>
              <w:t>G-13</w:t>
            </w:r>
            <w:r>
              <w:rPr>
                <w:color w:val="auto"/>
              </w:rPr>
              <w:t>井场，距离为</w:t>
            </w:r>
            <w:r>
              <w:rPr>
                <w:rFonts w:hint="eastAsia" w:ascii="Times New Roman" w:hAnsi="Times New Roman"/>
                <w:color w:val="auto"/>
              </w:rPr>
              <w:t>696</w:t>
            </w:r>
            <w:r>
              <w:rPr>
                <w:rFonts w:ascii="Times New Roman" w:hAnsi="Times New Roman"/>
                <w:color w:val="auto"/>
              </w:rPr>
              <w:t>m</w:t>
            </w:r>
            <w:r>
              <w:rPr>
                <w:rFonts w:hint="eastAsia"/>
                <w:color w:val="auto"/>
              </w:rPr>
              <w:t>，</w:t>
            </w:r>
            <w:r>
              <w:rPr>
                <w:color w:val="auto"/>
              </w:rPr>
              <w:t>距离</w:t>
            </w:r>
            <w:r>
              <w:rPr>
                <w:rFonts w:hint="eastAsia"/>
                <w:color w:val="auto"/>
              </w:rPr>
              <w:t>黄河</w:t>
            </w:r>
            <w:r>
              <w:rPr>
                <w:color w:val="auto"/>
              </w:rPr>
              <w:t>最近建设工程为</w:t>
            </w:r>
            <w:r>
              <w:rPr>
                <w:rFonts w:ascii="Times New Roman" w:hAnsi="Times New Roman"/>
                <w:color w:val="auto"/>
              </w:rPr>
              <w:t>LXD</w:t>
            </w:r>
            <w:r>
              <w:rPr>
                <w:rFonts w:hint="eastAsia" w:ascii="Times New Roman" w:hAnsi="Times New Roman"/>
                <w:color w:val="auto"/>
              </w:rPr>
              <w:t>12-7</w:t>
            </w:r>
            <w:r>
              <w:rPr>
                <w:color w:val="auto"/>
              </w:rPr>
              <w:t>井场，距离</w:t>
            </w:r>
            <w:r>
              <w:rPr>
                <w:rFonts w:hint="eastAsia" w:ascii="Times New Roman" w:hAnsi="Times New Roman"/>
                <w:color w:val="auto"/>
              </w:rPr>
              <w:t>1352</w:t>
            </w:r>
            <w:r>
              <w:rPr>
                <w:rFonts w:ascii="Times New Roman" w:hAnsi="Times New Roman"/>
                <w:color w:val="auto"/>
              </w:rPr>
              <w:t>m</w:t>
            </w:r>
          </w:p>
        </w:tc>
        <w:tc>
          <w:tcPr>
            <w:tcW w:w="469" w:type="pct"/>
            <w:vAlign w:val="center"/>
          </w:tcPr>
          <w:p w14:paraId="0A1C8309">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符合</w:t>
            </w:r>
          </w:p>
        </w:tc>
      </w:tr>
      <w:tr w14:paraId="77A745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63" w:type="pct"/>
            <w:vMerge w:val="continue"/>
            <w:vAlign w:val="center"/>
          </w:tcPr>
          <w:p w14:paraId="41956BFF">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428" w:type="pct"/>
            <w:gridSpan w:val="2"/>
            <w:vMerge w:val="continue"/>
            <w:vAlign w:val="center"/>
          </w:tcPr>
          <w:p w14:paraId="1C5CE31E">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2773" w:type="pct"/>
            <w:vAlign w:val="center"/>
          </w:tcPr>
          <w:p w14:paraId="3281B956">
            <w:pPr>
              <w:tabs>
                <w:tab w:val="left" w:pos="2865"/>
                <w:tab w:val="center" w:pos="3719"/>
              </w:tabs>
              <w:overflowPunct w:val="0"/>
              <w:autoSpaceDE w:val="0"/>
              <w:autoSpaceDN w:val="0"/>
              <w:adjustRightInd w:val="0"/>
              <w:snapToGrid w:val="0"/>
              <w:spacing w:line="240" w:lineRule="exact"/>
              <w:jc w:val="left"/>
              <w:textAlignment w:val="baseline"/>
              <w:rPr>
                <w:rFonts w:ascii="宋体" w:hAnsi="宋体" w:eastAsia="宋体" w:cs="宋体"/>
                <w:kern w:val="0"/>
                <w:szCs w:val="21"/>
              </w:rPr>
            </w:pPr>
            <w:r>
              <w:rPr>
                <w:rFonts w:hint="eastAsia" w:ascii="宋体" w:hAnsi="宋体" w:eastAsia="宋体" w:cs="宋体"/>
                <w:kern w:val="0"/>
                <w:szCs w:val="21"/>
              </w:rPr>
              <w:t>1、市、县（区）人民政府应当加强管理，对直接影响柳林泉域水资源的采矿工程，采取限采、停采或者封闭措施；对直接影响柳林泉域水资源的取水工程，采取限量取水、停止取水或者封闭措施。</w:t>
            </w:r>
          </w:p>
        </w:tc>
        <w:tc>
          <w:tcPr>
            <w:tcW w:w="1067" w:type="pct"/>
            <w:vAlign w:val="center"/>
          </w:tcPr>
          <w:p w14:paraId="35AFDE00">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本项目建设工程不涉及柳林泉域</w:t>
            </w:r>
          </w:p>
        </w:tc>
        <w:tc>
          <w:tcPr>
            <w:tcW w:w="469" w:type="pct"/>
            <w:vAlign w:val="center"/>
          </w:tcPr>
          <w:p w14:paraId="36E483F6">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符合</w:t>
            </w:r>
          </w:p>
        </w:tc>
      </w:tr>
      <w:tr w14:paraId="1D1BEA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91" w:type="pct"/>
            <w:gridSpan w:val="3"/>
            <w:vMerge w:val="restart"/>
            <w:vAlign w:val="center"/>
          </w:tcPr>
          <w:p w14:paraId="672867AB">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污染物排放管控</w:t>
            </w:r>
          </w:p>
        </w:tc>
        <w:tc>
          <w:tcPr>
            <w:tcW w:w="2773" w:type="pct"/>
            <w:vAlign w:val="center"/>
          </w:tcPr>
          <w:p w14:paraId="141DEDF4">
            <w:pPr>
              <w:overflowPunct w:val="0"/>
              <w:autoSpaceDE w:val="0"/>
              <w:autoSpaceDN w:val="0"/>
              <w:adjustRightInd w:val="0"/>
              <w:snapToGrid w:val="0"/>
              <w:spacing w:line="240" w:lineRule="exact"/>
              <w:jc w:val="left"/>
              <w:textAlignment w:val="baseline"/>
              <w:rPr>
                <w:rFonts w:ascii="宋体" w:hAnsi="宋体" w:eastAsia="宋体" w:cs="宋体"/>
                <w:kern w:val="0"/>
                <w:szCs w:val="21"/>
              </w:rPr>
            </w:pPr>
            <w:r>
              <w:rPr>
                <w:rFonts w:hint="eastAsia" w:ascii="宋体" w:hAnsi="宋体" w:eastAsia="宋体" w:cs="宋体"/>
                <w:kern w:val="0"/>
                <w:szCs w:val="21"/>
              </w:rPr>
              <w:t>1、工业企业按照有关规定设置大气污染物排放口及其标志、永久性监测点位、采样监测平台，安装和使用自动监测设备，配合生态环境主管部门的实时监督监测。</w:t>
            </w:r>
          </w:p>
          <w:p w14:paraId="5B3E7385">
            <w:pPr>
              <w:overflowPunct w:val="0"/>
              <w:autoSpaceDE w:val="0"/>
              <w:autoSpaceDN w:val="0"/>
              <w:adjustRightInd w:val="0"/>
              <w:snapToGrid w:val="0"/>
              <w:spacing w:line="240" w:lineRule="exact"/>
              <w:jc w:val="left"/>
              <w:textAlignment w:val="baseline"/>
              <w:rPr>
                <w:rFonts w:ascii="宋体" w:hAnsi="宋体" w:eastAsia="宋体" w:cs="宋体"/>
                <w:kern w:val="0"/>
                <w:szCs w:val="21"/>
              </w:rPr>
            </w:pPr>
            <w:r>
              <w:rPr>
                <w:rFonts w:hint="eastAsia" w:ascii="宋体" w:hAnsi="宋体" w:eastAsia="宋体" w:cs="宋体"/>
                <w:kern w:val="0"/>
                <w:szCs w:val="21"/>
              </w:rPr>
              <w:t>2、重点污染企业采用清洁生产工艺，配套建设除尘、脱硫、脱硝等装置，或者采取技术改造等其他控制大气污染物排放的措施。</w:t>
            </w:r>
          </w:p>
          <w:p w14:paraId="05E292E8">
            <w:pPr>
              <w:overflowPunct w:val="0"/>
              <w:autoSpaceDE w:val="0"/>
              <w:autoSpaceDN w:val="0"/>
              <w:adjustRightInd w:val="0"/>
              <w:snapToGrid w:val="0"/>
              <w:spacing w:line="240" w:lineRule="exact"/>
              <w:jc w:val="left"/>
              <w:textAlignment w:val="baseline"/>
              <w:rPr>
                <w:rFonts w:ascii="宋体" w:hAnsi="宋体" w:eastAsia="宋体" w:cs="宋体"/>
                <w:kern w:val="0"/>
                <w:szCs w:val="21"/>
              </w:rPr>
            </w:pPr>
            <w:r>
              <w:rPr>
                <w:rFonts w:hint="eastAsia" w:ascii="宋体" w:hAnsi="宋体" w:eastAsia="宋体" w:cs="宋体"/>
                <w:kern w:val="0"/>
                <w:szCs w:val="21"/>
              </w:rPr>
              <w:t>3、在市、县（市、区）人民政府启动重污染天气应急预案后，工业企业及时启动重污染天气应急响应操作方案，落实应急减排措施。</w:t>
            </w:r>
          </w:p>
          <w:p w14:paraId="602A7CBC">
            <w:pPr>
              <w:overflowPunct w:val="0"/>
              <w:autoSpaceDE w:val="0"/>
              <w:autoSpaceDN w:val="0"/>
              <w:adjustRightInd w:val="0"/>
              <w:snapToGrid w:val="0"/>
              <w:spacing w:line="240" w:lineRule="exact"/>
              <w:jc w:val="left"/>
              <w:textAlignment w:val="baseline"/>
              <w:rPr>
                <w:rFonts w:ascii="宋体" w:hAnsi="宋体" w:eastAsia="宋体" w:cs="宋体"/>
                <w:kern w:val="0"/>
                <w:szCs w:val="21"/>
              </w:rPr>
            </w:pPr>
            <w:r>
              <w:rPr>
                <w:rFonts w:hint="eastAsia" w:ascii="宋体" w:hAnsi="宋体" w:eastAsia="宋体" w:cs="宋体"/>
                <w:kern w:val="0"/>
                <w:szCs w:val="21"/>
              </w:rPr>
              <w:t>4、在重污染天气集中出现的季节，严格执行市、县（市、区）人民政府组织实施的错峰生产、施工、运输的规定。</w:t>
            </w:r>
          </w:p>
          <w:p w14:paraId="590029D0">
            <w:pPr>
              <w:overflowPunct w:val="0"/>
              <w:autoSpaceDE w:val="0"/>
              <w:autoSpaceDN w:val="0"/>
              <w:adjustRightInd w:val="0"/>
              <w:snapToGrid w:val="0"/>
              <w:spacing w:line="240" w:lineRule="exact"/>
              <w:jc w:val="left"/>
              <w:textAlignment w:val="baseline"/>
              <w:rPr>
                <w:rFonts w:ascii="宋体" w:hAnsi="宋体" w:eastAsia="宋体" w:cs="宋体"/>
                <w:kern w:val="0"/>
                <w:szCs w:val="21"/>
              </w:rPr>
            </w:pPr>
            <w:r>
              <w:rPr>
                <w:rFonts w:hint="eastAsia" w:ascii="宋体" w:hAnsi="宋体" w:eastAsia="宋体" w:cs="宋体"/>
                <w:kern w:val="0"/>
                <w:szCs w:val="21"/>
              </w:rPr>
              <w:t>5、储油储气库、加油加气站及油罐车、气罐车应当安装油气回收设施并保持正常运行，每年向生态环境主管部门报送油气排放检测报告。</w:t>
            </w:r>
          </w:p>
          <w:p w14:paraId="7650F184">
            <w:pPr>
              <w:overflowPunct w:val="0"/>
              <w:autoSpaceDE w:val="0"/>
              <w:autoSpaceDN w:val="0"/>
              <w:adjustRightInd w:val="0"/>
              <w:snapToGrid w:val="0"/>
              <w:spacing w:line="240" w:lineRule="exact"/>
              <w:jc w:val="left"/>
              <w:textAlignment w:val="baseline"/>
              <w:rPr>
                <w:rFonts w:ascii="宋体" w:hAnsi="宋体" w:eastAsia="宋体" w:cs="宋体"/>
                <w:kern w:val="0"/>
                <w:szCs w:val="21"/>
              </w:rPr>
            </w:pPr>
            <w:r>
              <w:rPr>
                <w:rFonts w:hint="eastAsia" w:ascii="宋体" w:hAnsi="宋体" w:eastAsia="宋体" w:cs="宋体"/>
                <w:kern w:val="0"/>
                <w:szCs w:val="21"/>
              </w:rPr>
              <w:t>6、排放油烟的餐饮服务业经营者和企事业单位食堂应当安装油烟净化设施，保持正常使用，定期清洗、维护并保存记录，实现油烟达标排放。</w:t>
            </w:r>
          </w:p>
        </w:tc>
        <w:tc>
          <w:tcPr>
            <w:tcW w:w="1067" w:type="pct"/>
            <w:vAlign w:val="center"/>
          </w:tcPr>
          <w:p w14:paraId="1A4E56CE">
            <w:pPr>
              <w:pStyle w:val="94"/>
              <w:rPr>
                <w:color w:val="auto"/>
              </w:rPr>
            </w:pPr>
            <w:r>
              <w:rPr>
                <w:rFonts w:hint="eastAsia"/>
                <w:color w:val="auto"/>
              </w:rPr>
              <w:t>本项目各井场均建有点火方箱，试气期将致密气通过点火方箱</w:t>
            </w:r>
            <w:r>
              <w:rPr>
                <w:color w:val="auto"/>
              </w:rPr>
              <w:t>点火排空</w:t>
            </w:r>
          </w:p>
        </w:tc>
        <w:tc>
          <w:tcPr>
            <w:tcW w:w="469" w:type="pct"/>
            <w:vAlign w:val="center"/>
          </w:tcPr>
          <w:p w14:paraId="4A64EE6F">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符合</w:t>
            </w:r>
          </w:p>
        </w:tc>
      </w:tr>
      <w:tr w14:paraId="7FDA70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91" w:type="pct"/>
            <w:gridSpan w:val="3"/>
            <w:vMerge w:val="continue"/>
            <w:vAlign w:val="center"/>
          </w:tcPr>
          <w:p w14:paraId="530973BB">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2773" w:type="pct"/>
            <w:vAlign w:val="center"/>
          </w:tcPr>
          <w:p w14:paraId="2CA9BEAD">
            <w:pPr>
              <w:overflowPunct w:val="0"/>
              <w:autoSpaceDE w:val="0"/>
              <w:autoSpaceDN w:val="0"/>
              <w:adjustRightInd w:val="0"/>
              <w:snapToGrid w:val="0"/>
              <w:spacing w:line="240" w:lineRule="exact"/>
              <w:jc w:val="left"/>
              <w:textAlignment w:val="baseline"/>
              <w:rPr>
                <w:rFonts w:ascii="宋体" w:hAnsi="宋体" w:eastAsia="宋体" w:cs="宋体"/>
                <w:kern w:val="0"/>
                <w:szCs w:val="21"/>
              </w:rPr>
            </w:pPr>
            <w:r>
              <w:rPr>
                <w:rFonts w:hint="eastAsia" w:ascii="宋体" w:hAnsi="宋体" w:eastAsia="宋体" w:cs="宋体"/>
                <w:kern w:val="0"/>
                <w:szCs w:val="21"/>
              </w:rPr>
              <w:t>1、实施重点水污染物排放总量控制。在本市行政区域内，排放的水污染物不得超过国家、省规定的污染物排放标准和重点水污染物排放总量控制指标。</w:t>
            </w:r>
          </w:p>
          <w:p w14:paraId="0704C25A">
            <w:pPr>
              <w:overflowPunct w:val="0"/>
              <w:autoSpaceDE w:val="0"/>
              <w:autoSpaceDN w:val="0"/>
              <w:adjustRightInd w:val="0"/>
              <w:snapToGrid w:val="0"/>
              <w:spacing w:line="240" w:lineRule="exact"/>
              <w:jc w:val="left"/>
              <w:textAlignment w:val="baseline"/>
              <w:rPr>
                <w:rFonts w:ascii="宋体" w:hAnsi="宋体" w:eastAsia="宋体" w:cs="宋体"/>
                <w:kern w:val="0"/>
                <w:szCs w:val="21"/>
              </w:rPr>
            </w:pPr>
            <w:r>
              <w:rPr>
                <w:rFonts w:hint="eastAsia" w:ascii="宋体" w:hAnsi="宋体" w:eastAsia="宋体" w:cs="宋体"/>
                <w:kern w:val="0"/>
                <w:szCs w:val="21"/>
              </w:rPr>
              <w:t>2、工业污水进行预处理后，达到行业水污染排放标准的，方可向集中处理设施排放。</w:t>
            </w:r>
          </w:p>
          <w:p w14:paraId="5CA09F74">
            <w:pPr>
              <w:overflowPunct w:val="0"/>
              <w:autoSpaceDE w:val="0"/>
              <w:autoSpaceDN w:val="0"/>
              <w:adjustRightInd w:val="0"/>
              <w:snapToGrid w:val="0"/>
              <w:spacing w:line="240" w:lineRule="exact"/>
              <w:jc w:val="left"/>
              <w:textAlignment w:val="baseline"/>
              <w:rPr>
                <w:rFonts w:ascii="宋体" w:hAnsi="宋体" w:eastAsia="宋体" w:cs="宋体"/>
                <w:kern w:val="0"/>
                <w:szCs w:val="21"/>
              </w:rPr>
            </w:pPr>
            <w:r>
              <w:rPr>
                <w:rFonts w:hint="eastAsia" w:ascii="宋体" w:hAnsi="宋体" w:eastAsia="宋体" w:cs="宋体"/>
                <w:kern w:val="0"/>
                <w:szCs w:val="21"/>
              </w:rPr>
              <w:t>3、不得通过篡改、伪造、毁灭监测数据或者不正常运行防治污染设施等逃避监管的方式排放水污染物。 　　</w:t>
            </w:r>
          </w:p>
          <w:p w14:paraId="19121E27">
            <w:pPr>
              <w:overflowPunct w:val="0"/>
              <w:autoSpaceDE w:val="0"/>
              <w:autoSpaceDN w:val="0"/>
              <w:adjustRightInd w:val="0"/>
              <w:snapToGrid w:val="0"/>
              <w:spacing w:line="240" w:lineRule="exact"/>
              <w:jc w:val="left"/>
              <w:textAlignment w:val="baseline"/>
              <w:rPr>
                <w:rFonts w:ascii="宋体" w:hAnsi="宋体" w:eastAsia="宋体" w:cs="宋体"/>
                <w:kern w:val="0"/>
                <w:szCs w:val="21"/>
              </w:rPr>
            </w:pPr>
            <w:r>
              <w:rPr>
                <w:rFonts w:hint="eastAsia" w:ascii="宋体" w:hAnsi="宋体" w:eastAsia="宋体" w:cs="宋体"/>
                <w:kern w:val="0"/>
                <w:szCs w:val="21"/>
              </w:rPr>
              <w:t>4、工业企业、工业集聚区外排废水达到水污染物综合排放地方标准。</w:t>
            </w:r>
          </w:p>
          <w:p w14:paraId="671B7F0E">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kern w:val="0"/>
                <w:szCs w:val="21"/>
              </w:rPr>
              <w:t>5、城镇污水集中处理设施的运营单位应当保障污水集中处理设施的正常运行，对出水水质负责，外排水污染物应当达到水污染物综合排放地方标准。</w:t>
            </w:r>
          </w:p>
        </w:tc>
        <w:tc>
          <w:tcPr>
            <w:tcW w:w="1067" w:type="pct"/>
            <w:vAlign w:val="center"/>
          </w:tcPr>
          <w:p w14:paraId="24E62177">
            <w:pPr>
              <w:pStyle w:val="94"/>
              <w:rPr>
                <w:color w:val="auto"/>
              </w:rPr>
            </w:pPr>
            <w:r>
              <w:rPr>
                <w:rFonts w:hint="eastAsia"/>
                <w:color w:val="auto"/>
              </w:rPr>
              <w:t>本项目不属于工业集聚区，本项目钻井压裂废水和采出水均拉运至中联煤层气有限责任公司临兴西区</w:t>
            </w:r>
            <w:r>
              <w:rPr>
                <w:color w:val="auto"/>
              </w:rPr>
              <w:t>(山西区块)开发项目</w:t>
            </w:r>
            <w:r>
              <w:rPr>
                <w:rFonts w:hint="eastAsia"/>
                <w:color w:val="auto"/>
              </w:rPr>
              <w:t>排采水处理</w:t>
            </w:r>
            <w:r>
              <w:rPr>
                <w:color w:val="auto"/>
              </w:rPr>
              <w:t>2站处理后循环使用于下一口井压裂或钻井用水，不外排</w:t>
            </w:r>
          </w:p>
        </w:tc>
        <w:tc>
          <w:tcPr>
            <w:tcW w:w="469" w:type="pct"/>
            <w:vAlign w:val="center"/>
          </w:tcPr>
          <w:p w14:paraId="2B9EA2DB">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符合</w:t>
            </w:r>
          </w:p>
        </w:tc>
      </w:tr>
      <w:tr w14:paraId="21111F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91" w:type="pct"/>
            <w:gridSpan w:val="3"/>
            <w:vMerge w:val="continue"/>
            <w:vAlign w:val="center"/>
          </w:tcPr>
          <w:p w14:paraId="7A0C1074">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2773" w:type="pct"/>
            <w:vAlign w:val="center"/>
          </w:tcPr>
          <w:p w14:paraId="3BE01F29">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1、在饮用水水源二级保护区内从事网箱养殖、畜禽养殖、旅游等活动的，应当按照规定采取措施，防止污染饮用水水体。</w:t>
            </w:r>
          </w:p>
          <w:p w14:paraId="20184CD3">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2、符合保护区、准保护区内新建、改建、扩建条件的建设项目，应当进行水源水环境影响评价。</w:t>
            </w:r>
          </w:p>
          <w:p w14:paraId="5F4807D4">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3、市、县人民政府应当加强水环境综合治理，推进城乡污水、垃圾集中收集和无害化处置设施建设，防治工业点源污染和农业面源污染，保障水源水环境安全。</w:t>
            </w:r>
          </w:p>
        </w:tc>
        <w:tc>
          <w:tcPr>
            <w:tcW w:w="1067" w:type="pct"/>
            <w:vAlign w:val="center"/>
          </w:tcPr>
          <w:p w14:paraId="69612D4D">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本项目建设工程均已避让水源保护区</w:t>
            </w:r>
          </w:p>
        </w:tc>
        <w:tc>
          <w:tcPr>
            <w:tcW w:w="469" w:type="pct"/>
            <w:vAlign w:val="center"/>
          </w:tcPr>
          <w:p w14:paraId="5013C248">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符合</w:t>
            </w:r>
          </w:p>
        </w:tc>
      </w:tr>
      <w:tr w14:paraId="427D34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91" w:type="pct"/>
            <w:gridSpan w:val="3"/>
            <w:vMerge w:val="restart"/>
            <w:vAlign w:val="center"/>
          </w:tcPr>
          <w:p w14:paraId="28FD8E35">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环境风险防控</w:t>
            </w:r>
          </w:p>
        </w:tc>
        <w:tc>
          <w:tcPr>
            <w:tcW w:w="2773" w:type="pct"/>
            <w:vAlign w:val="center"/>
          </w:tcPr>
          <w:p w14:paraId="22454A77">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1、政府有关部门应当对过境的危险化学品运输车辆采取必要安全防护措施，防止污染饮用水水源。</w:t>
            </w:r>
          </w:p>
          <w:p w14:paraId="57468E72">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2、生态环境主管部门应当定期对保护区、准保护区的环境状况和污染风险进行调查评估，筛查可能存在的污染风险因素，制定相应的风险防范措施并督促落实。</w:t>
            </w:r>
          </w:p>
          <w:p w14:paraId="48D395BD">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3、市、县人民政府应当组织制定水源污染事故应急处置方案，发生或者可能发生造成饮用水水源污染的突发性事故时，应当依法启动相应的应急方案，做好应急供水准备。</w:t>
            </w:r>
          </w:p>
          <w:p w14:paraId="782443D5">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4、保护区、准保护区内可能发生水污染事故的企业事业单位、供水单位应当制定水污染事故应急方案，落实预警、预防机制和保障措施，提高水污染事故防范和处置能力。</w:t>
            </w:r>
          </w:p>
        </w:tc>
        <w:tc>
          <w:tcPr>
            <w:tcW w:w="1067" w:type="pct"/>
            <w:vAlign w:val="center"/>
          </w:tcPr>
          <w:p w14:paraId="224B29DB">
            <w:pPr>
              <w:pStyle w:val="94"/>
              <w:rPr>
                <w:color w:val="auto"/>
              </w:rPr>
            </w:pPr>
            <w:r>
              <w:rPr>
                <w:rFonts w:hint="eastAsia"/>
                <w:color w:val="auto"/>
              </w:rPr>
              <w:t>本项目钻井压裂废水和采出水均拉运至中联煤层气有限责任公司临兴西区</w:t>
            </w:r>
            <w:r>
              <w:rPr>
                <w:color w:val="auto"/>
              </w:rPr>
              <w:t>(山西区块)开发项目</w:t>
            </w:r>
            <w:r>
              <w:rPr>
                <w:rFonts w:hint="eastAsia"/>
                <w:color w:val="auto"/>
              </w:rPr>
              <w:t>排采水处理</w:t>
            </w:r>
            <w:r>
              <w:rPr>
                <w:color w:val="auto"/>
              </w:rPr>
              <w:t>2站处理后循环使用于下一口井压裂或钻井用水，不外排</w:t>
            </w:r>
          </w:p>
        </w:tc>
        <w:tc>
          <w:tcPr>
            <w:tcW w:w="469" w:type="pct"/>
            <w:vAlign w:val="center"/>
          </w:tcPr>
          <w:p w14:paraId="38918A8E">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符合</w:t>
            </w:r>
          </w:p>
        </w:tc>
      </w:tr>
      <w:tr w14:paraId="01F039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91" w:type="pct"/>
            <w:gridSpan w:val="3"/>
            <w:vMerge w:val="continue"/>
            <w:vAlign w:val="center"/>
          </w:tcPr>
          <w:p w14:paraId="585FF77D">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2773" w:type="pct"/>
            <w:vAlign w:val="center"/>
          </w:tcPr>
          <w:p w14:paraId="74A64DC6">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1、土壤污染重点监管单位生产经营用地的用途变更或者在其土地使用权收回、转让前，应当由土地使用权人按照规定进行土壤污染状况调查。土壤污染状况调查报告应当作为不动产登记资料送交地方人民政府不动产登记机构，并报地方人民政府生态环境主管部门备案。</w:t>
            </w:r>
          </w:p>
          <w:p w14:paraId="2B029D31">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szCs w:val="21"/>
              </w:rPr>
              <w:t>2、土地使用权已经被地方人民政府收回，土壤污染责任人为原土地使用权人的，由地方人民政府组织实施土壤污染风险管控和修复。</w:t>
            </w:r>
          </w:p>
        </w:tc>
        <w:tc>
          <w:tcPr>
            <w:tcW w:w="1067" w:type="pct"/>
            <w:vAlign w:val="center"/>
          </w:tcPr>
          <w:p w14:paraId="1E5528CF">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本项目建设不属于土壤污染重点监管单位</w:t>
            </w:r>
          </w:p>
        </w:tc>
        <w:tc>
          <w:tcPr>
            <w:tcW w:w="469" w:type="pct"/>
            <w:vAlign w:val="center"/>
          </w:tcPr>
          <w:p w14:paraId="440B5608">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符合</w:t>
            </w:r>
          </w:p>
        </w:tc>
      </w:tr>
      <w:tr w14:paraId="392383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40" w:type="pct"/>
            <w:gridSpan w:val="2"/>
            <w:vMerge w:val="restart"/>
            <w:vAlign w:val="center"/>
          </w:tcPr>
          <w:p w14:paraId="77E0F08B">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资源利用</w:t>
            </w:r>
          </w:p>
          <w:p w14:paraId="0B78F0C6">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效率</w:t>
            </w:r>
          </w:p>
        </w:tc>
        <w:tc>
          <w:tcPr>
            <w:tcW w:w="351" w:type="pct"/>
            <w:vAlign w:val="center"/>
          </w:tcPr>
          <w:p w14:paraId="39B9921B">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水资源利用</w:t>
            </w:r>
          </w:p>
        </w:tc>
        <w:tc>
          <w:tcPr>
            <w:tcW w:w="2773" w:type="pct"/>
            <w:vAlign w:val="center"/>
          </w:tcPr>
          <w:p w14:paraId="1F26D5CD">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kern w:val="0"/>
                <w:szCs w:val="21"/>
              </w:rPr>
              <w:t>1、2025、2035年吕梁市水资源利用上线执行水利部门关于水资源开发利用总量、强度、效率等相关管控要求。</w:t>
            </w:r>
          </w:p>
        </w:tc>
        <w:tc>
          <w:tcPr>
            <w:tcW w:w="1067" w:type="pct"/>
            <w:vAlign w:val="center"/>
          </w:tcPr>
          <w:p w14:paraId="2FE4D198">
            <w:pPr>
              <w:pStyle w:val="94"/>
              <w:rPr>
                <w:color w:val="auto"/>
              </w:rPr>
            </w:pPr>
            <w:r>
              <w:rPr>
                <w:rFonts w:hint="eastAsia"/>
                <w:color w:val="auto"/>
              </w:rPr>
              <w:t xml:space="preserve">本项目钻井水、压裂返排液循环利用，采出水处理后回用于钻井及压裂用水 </w:t>
            </w:r>
          </w:p>
        </w:tc>
        <w:tc>
          <w:tcPr>
            <w:tcW w:w="469" w:type="pct"/>
            <w:vAlign w:val="center"/>
          </w:tcPr>
          <w:p w14:paraId="78498FEE">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符合</w:t>
            </w:r>
          </w:p>
        </w:tc>
      </w:tr>
      <w:tr w14:paraId="763D9B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40" w:type="pct"/>
            <w:gridSpan w:val="2"/>
            <w:vMerge w:val="continue"/>
            <w:vAlign w:val="center"/>
          </w:tcPr>
          <w:p w14:paraId="228780FF">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351" w:type="pct"/>
            <w:vMerge w:val="restart"/>
            <w:vAlign w:val="center"/>
          </w:tcPr>
          <w:p w14:paraId="436C6ED5">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能源利用</w:t>
            </w:r>
          </w:p>
        </w:tc>
        <w:tc>
          <w:tcPr>
            <w:tcW w:w="2773" w:type="pct"/>
            <w:vAlign w:val="center"/>
          </w:tcPr>
          <w:p w14:paraId="31E4C410">
            <w:pPr>
              <w:tabs>
                <w:tab w:val="left" w:pos="2865"/>
                <w:tab w:val="center" w:pos="3719"/>
              </w:tabs>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kern w:val="0"/>
                <w:szCs w:val="21"/>
              </w:rPr>
              <w:t>1、2025、2035年吕梁市能源利用上线执行吕梁市“十四五”及中长期能源发展规划相关管控要求。</w:t>
            </w:r>
          </w:p>
        </w:tc>
        <w:tc>
          <w:tcPr>
            <w:tcW w:w="1067" w:type="pct"/>
            <w:vAlign w:val="center"/>
          </w:tcPr>
          <w:p w14:paraId="304255C2">
            <w:pPr>
              <w:pStyle w:val="94"/>
              <w:rPr>
                <w:color w:val="auto"/>
              </w:rPr>
            </w:pPr>
            <w:r>
              <w:rPr>
                <w:rFonts w:hint="eastAsia"/>
                <w:color w:val="auto"/>
              </w:rPr>
              <w:t>本项目为勘探项目</w:t>
            </w:r>
          </w:p>
        </w:tc>
        <w:tc>
          <w:tcPr>
            <w:tcW w:w="469" w:type="pct"/>
            <w:vAlign w:val="center"/>
          </w:tcPr>
          <w:p w14:paraId="7BE0B2F0">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符合</w:t>
            </w:r>
          </w:p>
        </w:tc>
      </w:tr>
      <w:tr w14:paraId="661C9C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40" w:type="pct"/>
            <w:gridSpan w:val="2"/>
            <w:vMerge w:val="continue"/>
            <w:vAlign w:val="center"/>
          </w:tcPr>
          <w:p w14:paraId="3487F51C">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351" w:type="pct"/>
            <w:vMerge w:val="continue"/>
            <w:vAlign w:val="center"/>
          </w:tcPr>
          <w:p w14:paraId="5ED2FEA0">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2773" w:type="pct"/>
            <w:vAlign w:val="center"/>
          </w:tcPr>
          <w:p w14:paraId="5F7F1697">
            <w:pPr>
              <w:overflowPunct w:val="0"/>
              <w:autoSpaceDE w:val="0"/>
              <w:autoSpaceDN w:val="0"/>
              <w:adjustRightInd w:val="0"/>
              <w:snapToGrid w:val="0"/>
              <w:spacing w:line="240" w:lineRule="exact"/>
              <w:jc w:val="left"/>
              <w:textAlignment w:val="baseline"/>
              <w:rPr>
                <w:rFonts w:ascii="宋体" w:hAnsi="宋体" w:eastAsia="宋体" w:cs="宋体"/>
                <w:szCs w:val="21"/>
              </w:rPr>
            </w:pPr>
            <w:r>
              <w:rPr>
                <w:rFonts w:hint="eastAsia" w:ascii="宋体" w:hAnsi="宋体" w:eastAsia="宋体" w:cs="宋体"/>
                <w:kern w:val="0"/>
                <w:szCs w:val="21"/>
              </w:rPr>
              <w:t>1、</w:t>
            </w:r>
            <w:r>
              <w:rPr>
                <w:rFonts w:hint="eastAsia" w:ascii="宋体" w:hAnsi="宋体" w:eastAsia="宋体" w:cs="宋体"/>
                <w:szCs w:val="21"/>
              </w:rPr>
              <w:t>禁煤区内，禁止新建、扩建燃用高污染燃料设施；除燃煤电厂、集中供热站和原料生产使用企业外，禁止销售、储存、运输、燃用煤炭及其制品。</w:t>
            </w:r>
          </w:p>
        </w:tc>
        <w:tc>
          <w:tcPr>
            <w:tcW w:w="1067" w:type="pct"/>
            <w:vAlign w:val="center"/>
          </w:tcPr>
          <w:p w14:paraId="29929039">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本项目不涉及燃煤及其制品</w:t>
            </w:r>
          </w:p>
        </w:tc>
        <w:tc>
          <w:tcPr>
            <w:tcW w:w="469" w:type="pct"/>
            <w:vAlign w:val="center"/>
          </w:tcPr>
          <w:p w14:paraId="76B3ADB9">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符合</w:t>
            </w:r>
          </w:p>
        </w:tc>
      </w:tr>
      <w:tr w14:paraId="5DD19C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40" w:type="pct"/>
            <w:gridSpan w:val="2"/>
            <w:vMerge w:val="continue"/>
            <w:vAlign w:val="center"/>
          </w:tcPr>
          <w:p w14:paraId="72A506D1">
            <w:pPr>
              <w:overflowPunct w:val="0"/>
              <w:autoSpaceDE w:val="0"/>
              <w:autoSpaceDN w:val="0"/>
              <w:adjustRightInd w:val="0"/>
              <w:snapToGrid w:val="0"/>
              <w:spacing w:line="240" w:lineRule="exact"/>
              <w:jc w:val="center"/>
              <w:textAlignment w:val="baseline"/>
              <w:rPr>
                <w:rFonts w:ascii="宋体" w:hAnsi="宋体" w:eastAsia="宋体" w:cs="宋体"/>
                <w:szCs w:val="21"/>
              </w:rPr>
            </w:pPr>
          </w:p>
        </w:tc>
        <w:tc>
          <w:tcPr>
            <w:tcW w:w="351" w:type="pct"/>
            <w:vAlign w:val="center"/>
          </w:tcPr>
          <w:p w14:paraId="40037FC1">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土地资源</w:t>
            </w:r>
          </w:p>
        </w:tc>
        <w:tc>
          <w:tcPr>
            <w:tcW w:w="2773" w:type="pct"/>
            <w:vAlign w:val="center"/>
          </w:tcPr>
          <w:p w14:paraId="6148E474">
            <w:pPr>
              <w:tabs>
                <w:tab w:val="left" w:pos="2865"/>
                <w:tab w:val="center" w:pos="3719"/>
              </w:tabs>
              <w:overflowPunct w:val="0"/>
              <w:autoSpaceDE w:val="0"/>
              <w:autoSpaceDN w:val="0"/>
              <w:adjustRightInd w:val="0"/>
              <w:snapToGrid w:val="0"/>
              <w:spacing w:line="240" w:lineRule="exact"/>
              <w:jc w:val="left"/>
              <w:textAlignment w:val="baseline"/>
              <w:rPr>
                <w:rFonts w:ascii="宋体" w:hAnsi="宋体" w:eastAsia="宋体" w:cs="宋体"/>
                <w:kern w:val="0"/>
                <w:szCs w:val="21"/>
              </w:rPr>
            </w:pPr>
            <w:r>
              <w:rPr>
                <w:rFonts w:hint="eastAsia" w:ascii="宋体" w:hAnsi="宋体" w:eastAsia="宋体" w:cs="宋体"/>
                <w:kern w:val="0"/>
                <w:szCs w:val="21"/>
              </w:rPr>
              <w:t>1、2025、2035年吕梁市土地资源利用上线执行自然资源部门关于土地资源开发利用总量及强度相关管控要求。</w:t>
            </w:r>
          </w:p>
        </w:tc>
        <w:tc>
          <w:tcPr>
            <w:tcW w:w="1067" w:type="pct"/>
            <w:vAlign w:val="center"/>
          </w:tcPr>
          <w:p w14:paraId="44713212">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本项目井场为临时占地，要求建设单位开工前办理临时及永久占地使用手续</w:t>
            </w:r>
          </w:p>
        </w:tc>
        <w:tc>
          <w:tcPr>
            <w:tcW w:w="469" w:type="pct"/>
            <w:vAlign w:val="center"/>
          </w:tcPr>
          <w:p w14:paraId="459AC703">
            <w:pPr>
              <w:overflowPunct w:val="0"/>
              <w:autoSpaceDE w:val="0"/>
              <w:autoSpaceDN w:val="0"/>
              <w:adjustRightInd w:val="0"/>
              <w:snapToGrid w:val="0"/>
              <w:spacing w:line="240" w:lineRule="exact"/>
              <w:jc w:val="center"/>
              <w:textAlignment w:val="baseline"/>
              <w:rPr>
                <w:rFonts w:ascii="宋体" w:hAnsi="宋体" w:eastAsia="宋体" w:cs="宋体"/>
                <w:szCs w:val="21"/>
              </w:rPr>
            </w:pPr>
            <w:r>
              <w:rPr>
                <w:rFonts w:hint="eastAsia" w:ascii="宋体" w:hAnsi="宋体" w:eastAsia="宋体" w:cs="宋体"/>
                <w:szCs w:val="21"/>
              </w:rPr>
              <w:t>符合</w:t>
            </w:r>
          </w:p>
        </w:tc>
      </w:tr>
    </w:tbl>
    <w:p w14:paraId="29504069">
      <w:pPr>
        <w:pStyle w:val="19"/>
        <w:keepNext/>
        <w:jc w:val="both"/>
      </w:pPr>
      <w:r>
        <w:t xml:space="preserve">附表 </w:t>
      </w:r>
      <w:r>
        <w:fldChar w:fldCharType="begin"/>
      </w:r>
      <w:r>
        <w:instrText xml:space="preserve"> SEQ 附表 \* ARABIC </w:instrText>
      </w:r>
      <w:r>
        <w:fldChar w:fldCharType="separate"/>
      </w:r>
      <w:r>
        <w:t>2</w:t>
      </w:r>
      <w:r>
        <w:fldChar w:fldCharType="end"/>
      </w:r>
      <w:bookmarkEnd w:id="128"/>
      <w:r>
        <w:t xml:space="preserve"> </w:t>
      </w:r>
      <w:r>
        <w:rPr>
          <w:rFonts w:hint="eastAsia"/>
        </w:rPr>
        <w:t>本项目地下水环境保护目标一览表</w:t>
      </w:r>
    </w:p>
    <w:tbl>
      <w:tblPr>
        <w:tblStyle w:val="114"/>
        <w:tblW w:w="5000" w:type="pct"/>
        <w:tblInd w:w="-1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04"/>
        <w:gridCol w:w="576"/>
        <w:gridCol w:w="1584"/>
        <w:gridCol w:w="576"/>
        <w:gridCol w:w="1728"/>
        <w:gridCol w:w="1548"/>
        <w:gridCol w:w="1568"/>
        <w:gridCol w:w="665"/>
        <w:gridCol w:w="1201"/>
        <w:gridCol w:w="1058"/>
        <w:gridCol w:w="1315"/>
        <w:gridCol w:w="734"/>
        <w:gridCol w:w="2057"/>
      </w:tblGrid>
      <w:tr w14:paraId="74B58E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988" w:type="dxa"/>
            <w:vMerge w:val="restart"/>
            <w:vAlign w:val="center"/>
          </w:tcPr>
          <w:p w14:paraId="06C3D3D0">
            <w:pPr>
              <w:pStyle w:val="94"/>
              <w:rPr>
                <w:color w:val="auto"/>
              </w:rPr>
            </w:pPr>
            <w:bookmarkStart w:id="129" w:name="_Ref165971411"/>
            <w:r>
              <w:rPr>
                <w:color w:val="auto"/>
              </w:rPr>
              <w:t>地下水保护目标</w:t>
            </w:r>
          </w:p>
        </w:tc>
        <w:tc>
          <w:tcPr>
            <w:tcW w:w="567" w:type="dxa"/>
            <w:vMerge w:val="restart"/>
            <w:vAlign w:val="center"/>
          </w:tcPr>
          <w:p w14:paraId="21A199F9">
            <w:pPr>
              <w:pStyle w:val="94"/>
              <w:rPr>
                <w:color w:val="auto"/>
              </w:rPr>
            </w:pPr>
            <w:r>
              <w:rPr>
                <w:color w:val="auto"/>
              </w:rPr>
              <w:t>编号</w:t>
            </w:r>
          </w:p>
        </w:tc>
        <w:tc>
          <w:tcPr>
            <w:tcW w:w="1559" w:type="dxa"/>
            <w:vMerge w:val="restart"/>
            <w:vAlign w:val="center"/>
          </w:tcPr>
          <w:p w14:paraId="4F9C9CE7">
            <w:pPr>
              <w:pStyle w:val="94"/>
              <w:rPr>
                <w:color w:val="auto"/>
              </w:rPr>
            </w:pPr>
            <w:r>
              <w:rPr>
                <w:color w:val="auto"/>
              </w:rPr>
              <w:t>名称</w:t>
            </w:r>
          </w:p>
        </w:tc>
        <w:tc>
          <w:tcPr>
            <w:tcW w:w="567" w:type="dxa"/>
            <w:vMerge w:val="restart"/>
            <w:vAlign w:val="center"/>
          </w:tcPr>
          <w:p w14:paraId="463C33A4">
            <w:pPr>
              <w:pStyle w:val="94"/>
              <w:rPr>
                <w:color w:val="auto"/>
              </w:rPr>
            </w:pPr>
            <w:r>
              <w:rPr>
                <w:color w:val="auto"/>
              </w:rPr>
              <w:t>井深</w:t>
            </w:r>
          </w:p>
          <w:p w14:paraId="0E95FFBC">
            <w:pPr>
              <w:pStyle w:val="94"/>
              <w:rPr>
                <w:color w:val="auto"/>
              </w:rPr>
            </w:pPr>
            <w:r>
              <w:rPr>
                <w:color w:val="auto"/>
              </w:rPr>
              <w:t>（m）</w:t>
            </w:r>
          </w:p>
        </w:tc>
        <w:tc>
          <w:tcPr>
            <w:tcW w:w="3225" w:type="dxa"/>
            <w:gridSpan w:val="2"/>
            <w:vAlign w:val="center"/>
          </w:tcPr>
          <w:p w14:paraId="2B808B04">
            <w:pPr>
              <w:pStyle w:val="94"/>
              <w:rPr>
                <w:color w:val="auto"/>
              </w:rPr>
            </w:pPr>
            <w:r>
              <w:rPr>
                <w:color w:val="auto"/>
              </w:rPr>
              <w:t>位置</w:t>
            </w:r>
          </w:p>
        </w:tc>
        <w:tc>
          <w:tcPr>
            <w:tcW w:w="1543" w:type="dxa"/>
            <w:vMerge w:val="restart"/>
            <w:vAlign w:val="center"/>
          </w:tcPr>
          <w:p w14:paraId="7D61E95F">
            <w:pPr>
              <w:pStyle w:val="94"/>
              <w:rPr>
                <w:color w:val="auto"/>
              </w:rPr>
            </w:pPr>
            <w:r>
              <w:rPr>
                <w:color w:val="auto"/>
              </w:rPr>
              <w:t>项目区</w:t>
            </w:r>
          </w:p>
        </w:tc>
        <w:tc>
          <w:tcPr>
            <w:tcW w:w="2878" w:type="dxa"/>
            <w:gridSpan w:val="3"/>
            <w:vAlign w:val="center"/>
          </w:tcPr>
          <w:p w14:paraId="3042E84F">
            <w:pPr>
              <w:pStyle w:val="94"/>
              <w:rPr>
                <w:color w:val="auto"/>
              </w:rPr>
            </w:pPr>
            <w:r>
              <w:rPr>
                <w:color w:val="auto"/>
              </w:rPr>
              <w:t>敏感目标与项目区关系</w:t>
            </w:r>
          </w:p>
        </w:tc>
        <w:tc>
          <w:tcPr>
            <w:tcW w:w="1294" w:type="dxa"/>
            <w:vMerge w:val="restart"/>
            <w:vAlign w:val="center"/>
          </w:tcPr>
          <w:p w14:paraId="11D6EFDA">
            <w:pPr>
              <w:pStyle w:val="94"/>
              <w:rPr>
                <w:color w:val="auto"/>
              </w:rPr>
            </w:pPr>
            <w:r>
              <w:rPr>
                <w:color w:val="auto"/>
              </w:rPr>
              <w:t>饮用类型</w:t>
            </w:r>
          </w:p>
        </w:tc>
        <w:tc>
          <w:tcPr>
            <w:tcW w:w="722" w:type="dxa"/>
            <w:vMerge w:val="restart"/>
            <w:vAlign w:val="center"/>
          </w:tcPr>
          <w:p w14:paraId="7DBC26CE">
            <w:pPr>
              <w:pStyle w:val="94"/>
              <w:rPr>
                <w:color w:val="auto"/>
              </w:rPr>
            </w:pPr>
            <w:r>
              <w:rPr>
                <w:color w:val="auto"/>
              </w:rPr>
              <w:t>供给人口（人）</w:t>
            </w:r>
          </w:p>
        </w:tc>
        <w:tc>
          <w:tcPr>
            <w:tcW w:w="2025" w:type="dxa"/>
            <w:vMerge w:val="restart"/>
            <w:vAlign w:val="center"/>
          </w:tcPr>
          <w:p w14:paraId="362997E9">
            <w:pPr>
              <w:pStyle w:val="94"/>
              <w:rPr>
                <w:color w:val="auto"/>
              </w:rPr>
            </w:pPr>
            <w:r>
              <w:rPr>
                <w:color w:val="auto"/>
              </w:rPr>
              <w:t>含水层类型</w:t>
            </w:r>
          </w:p>
        </w:tc>
      </w:tr>
      <w:tr w14:paraId="17D0D9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988" w:type="dxa"/>
            <w:vMerge w:val="continue"/>
            <w:vAlign w:val="center"/>
          </w:tcPr>
          <w:p w14:paraId="7436066D">
            <w:pPr>
              <w:pStyle w:val="94"/>
              <w:rPr>
                <w:rFonts w:ascii="Times New Roman" w:hAnsi="Times New Roman"/>
                <w:color w:val="auto"/>
              </w:rPr>
            </w:pPr>
          </w:p>
        </w:tc>
        <w:tc>
          <w:tcPr>
            <w:tcW w:w="567" w:type="dxa"/>
            <w:vMerge w:val="continue"/>
            <w:vAlign w:val="center"/>
          </w:tcPr>
          <w:p w14:paraId="57A17D81">
            <w:pPr>
              <w:pStyle w:val="94"/>
              <w:rPr>
                <w:rFonts w:ascii="Times New Roman" w:hAnsi="Times New Roman"/>
                <w:color w:val="auto"/>
              </w:rPr>
            </w:pPr>
          </w:p>
        </w:tc>
        <w:tc>
          <w:tcPr>
            <w:tcW w:w="1559" w:type="dxa"/>
            <w:vMerge w:val="continue"/>
            <w:vAlign w:val="center"/>
          </w:tcPr>
          <w:p w14:paraId="6958AC15">
            <w:pPr>
              <w:pStyle w:val="94"/>
              <w:rPr>
                <w:rFonts w:ascii="Times New Roman" w:hAnsi="Times New Roman"/>
                <w:color w:val="auto"/>
              </w:rPr>
            </w:pPr>
          </w:p>
        </w:tc>
        <w:tc>
          <w:tcPr>
            <w:tcW w:w="567" w:type="dxa"/>
            <w:vMerge w:val="continue"/>
            <w:vAlign w:val="center"/>
          </w:tcPr>
          <w:p w14:paraId="09CE82E4">
            <w:pPr>
              <w:pStyle w:val="94"/>
              <w:rPr>
                <w:rFonts w:ascii="Times New Roman" w:hAnsi="Times New Roman"/>
                <w:color w:val="auto"/>
              </w:rPr>
            </w:pPr>
          </w:p>
        </w:tc>
        <w:tc>
          <w:tcPr>
            <w:tcW w:w="1701" w:type="dxa"/>
            <w:vAlign w:val="center"/>
          </w:tcPr>
          <w:p w14:paraId="52800F76">
            <w:pPr>
              <w:pStyle w:val="94"/>
              <w:rPr>
                <w:color w:val="auto"/>
              </w:rPr>
            </w:pPr>
            <w:r>
              <w:rPr>
                <w:color w:val="auto"/>
              </w:rPr>
              <w:t>经度</w:t>
            </w:r>
          </w:p>
        </w:tc>
        <w:tc>
          <w:tcPr>
            <w:tcW w:w="1524" w:type="dxa"/>
            <w:vAlign w:val="center"/>
          </w:tcPr>
          <w:p w14:paraId="15DE0945">
            <w:pPr>
              <w:pStyle w:val="94"/>
              <w:rPr>
                <w:color w:val="auto"/>
              </w:rPr>
            </w:pPr>
            <w:r>
              <w:rPr>
                <w:color w:val="auto"/>
              </w:rPr>
              <w:t>纬度</w:t>
            </w:r>
          </w:p>
        </w:tc>
        <w:tc>
          <w:tcPr>
            <w:tcW w:w="1543" w:type="dxa"/>
            <w:vMerge w:val="continue"/>
            <w:vAlign w:val="center"/>
          </w:tcPr>
          <w:p w14:paraId="02166906">
            <w:pPr>
              <w:pStyle w:val="94"/>
              <w:rPr>
                <w:rFonts w:ascii="Times New Roman" w:hAnsi="Times New Roman"/>
                <w:color w:val="auto"/>
              </w:rPr>
            </w:pPr>
          </w:p>
        </w:tc>
        <w:tc>
          <w:tcPr>
            <w:tcW w:w="655" w:type="dxa"/>
            <w:vAlign w:val="center"/>
          </w:tcPr>
          <w:p w14:paraId="30C7AD33">
            <w:pPr>
              <w:pStyle w:val="94"/>
              <w:rPr>
                <w:color w:val="auto"/>
              </w:rPr>
            </w:pPr>
            <w:r>
              <w:rPr>
                <w:color w:val="auto"/>
              </w:rPr>
              <w:t>位置</w:t>
            </w:r>
          </w:p>
        </w:tc>
        <w:tc>
          <w:tcPr>
            <w:tcW w:w="1182" w:type="dxa"/>
            <w:vAlign w:val="center"/>
          </w:tcPr>
          <w:p w14:paraId="774C42D6">
            <w:pPr>
              <w:pStyle w:val="94"/>
              <w:rPr>
                <w:color w:val="auto"/>
              </w:rPr>
            </w:pPr>
            <w:r>
              <w:rPr>
                <w:color w:val="auto"/>
              </w:rPr>
              <w:t>距离（m）</w:t>
            </w:r>
          </w:p>
        </w:tc>
        <w:tc>
          <w:tcPr>
            <w:tcW w:w="1041" w:type="dxa"/>
            <w:vAlign w:val="center"/>
          </w:tcPr>
          <w:p w14:paraId="43ACFD42">
            <w:pPr>
              <w:pStyle w:val="94"/>
              <w:rPr>
                <w:color w:val="auto"/>
              </w:rPr>
            </w:pPr>
            <w:r>
              <w:rPr>
                <w:color w:val="auto"/>
              </w:rPr>
              <w:t>水力联系</w:t>
            </w:r>
          </w:p>
        </w:tc>
        <w:tc>
          <w:tcPr>
            <w:tcW w:w="1294" w:type="dxa"/>
            <w:vMerge w:val="continue"/>
            <w:vAlign w:val="center"/>
          </w:tcPr>
          <w:p w14:paraId="5E7CAE02">
            <w:pPr>
              <w:pStyle w:val="94"/>
              <w:rPr>
                <w:rFonts w:ascii="Times New Roman" w:hAnsi="Times New Roman"/>
                <w:color w:val="auto"/>
              </w:rPr>
            </w:pPr>
          </w:p>
        </w:tc>
        <w:tc>
          <w:tcPr>
            <w:tcW w:w="722" w:type="dxa"/>
            <w:vMerge w:val="continue"/>
            <w:vAlign w:val="center"/>
          </w:tcPr>
          <w:p w14:paraId="702C652E">
            <w:pPr>
              <w:pStyle w:val="94"/>
              <w:rPr>
                <w:rFonts w:ascii="Times New Roman" w:hAnsi="Times New Roman"/>
                <w:color w:val="auto"/>
              </w:rPr>
            </w:pPr>
          </w:p>
        </w:tc>
        <w:tc>
          <w:tcPr>
            <w:tcW w:w="2025" w:type="dxa"/>
            <w:vMerge w:val="continue"/>
            <w:vAlign w:val="center"/>
          </w:tcPr>
          <w:p w14:paraId="72328979">
            <w:pPr>
              <w:pStyle w:val="94"/>
              <w:rPr>
                <w:rFonts w:ascii="Times New Roman" w:hAnsi="Times New Roman"/>
                <w:color w:val="auto"/>
              </w:rPr>
            </w:pPr>
          </w:p>
        </w:tc>
      </w:tr>
      <w:tr w14:paraId="161EB0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988" w:type="dxa"/>
            <w:vMerge w:val="restart"/>
            <w:noWrap/>
            <w:vAlign w:val="center"/>
          </w:tcPr>
          <w:p w14:paraId="422A39B2">
            <w:pPr>
              <w:pStyle w:val="94"/>
              <w:rPr>
                <w:color w:val="auto"/>
              </w:rPr>
            </w:pPr>
            <w:r>
              <w:rPr>
                <w:color w:val="auto"/>
              </w:rPr>
              <w:t>分散式饮用水源</w:t>
            </w:r>
          </w:p>
        </w:tc>
        <w:tc>
          <w:tcPr>
            <w:tcW w:w="567" w:type="dxa"/>
            <w:noWrap/>
            <w:vAlign w:val="center"/>
          </w:tcPr>
          <w:p w14:paraId="68F44145">
            <w:pPr>
              <w:pStyle w:val="94"/>
              <w:rPr>
                <w:color w:val="auto"/>
              </w:rPr>
            </w:pPr>
            <w:r>
              <w:rPr>
                <w:color w:val="auto"/>
              </w:rPr>
              <w:t>1#</w:t>
            </w:r>
          </w:p>
        </w:tc>
        <w:tc>
          <w:tcPr>
            <w:tcW w:w="1559" w:type="dxa"/>
            <w:noWrap/>
            <w:vAlign w:val="center"/>
          </w:tcPr>
          <w:p w14:paraId="7D78EB93">
            <w:pPr>
              <w:pStyle w:val="94"/>
              <w:rPr>
                <w:color w:val="auto"/>
              </w:rPr>
            </w:pPr>
            <w:r>
              <w:rPr>
                <w:color w:val="auto"/>
              </w:rPr>
              <w:t>白家洼村水井</w:t>
            </w:r>
          </w:p>
        </w:tc>
        <w:tc>
          <w:tcPr>
            <w:tcW w:w="567" w:type="dxa"/>
            <w:noWrap/>
            <w:vAlign w:val="center"/>
          </w:tcPr>
          <w:p w14:paraId="22F25BBE">
            <w:pPr>
              <w:pStyle w:val="94"/>
              <w:rPr>
                <w:color w:val="auto"/>
              </w:rPr>
            </w:pPr>
            <w:r>
              <w:rPr>
                <w:color w:val="auto"/>
              </w:rPr>
              <w:t>30</w:t>
            </w:r>
          </w:p>
        </w:tc>
        <w:tc>
          <w:tcPr>
            <w:tcW w:w="1701" w:type="dxa"/>
            <w:noWrap/>
            <w:vAlign w:val="center"/>
          </w:tcPr>
          <w:p w14:paraId="46B64CE2">
            <w:pPr>
              <w:pStyle w:val="94"/>
              <w:rPr>
                <w:color w:val="auto"/>
              </w:rPr>
            </w:pPr>
            <w:r>
              <w:rPr>
                <w:color w:val="auto"/>
              </w:rPr>
              <w:t>110°55′12″</w:t>
            </w:r>
          </w:p>
        </w:tc>
        <w:tc>
          <w:tcPr>
            <w:tcW w:w="1524" w:type="dxa"/>
            <w:noWrap/>
            <w:vAlign w:val="center"/>
          </w:tcPr>
          <w:p w14:paraId="5AB0512B">
            <w:pPr>
              <w:pStyle w:val="94"/>
              <w:rPr>
                <w:color w:val="auto"/>
              </w:rPr>
            </w:pPr>
            <w:r>
              <w:rPr>
                <w:color w:val="auto"/>
              </w:rPr>
              <w:t>38°27′33″</w:t>
            </w:r>
          </w:p>
        </w:tc>
        <w:tc>
          <w:tcPr>
            <w:tcW w:w="1543" w:type="dxa"/>
            <w:noWrap/>
            <w:vAlign w:val="center"/>
          </w:tcPr>
          <w:p w14:paraId="3926BB02">
            <w:pPr>
              <w:pStyle w:val="94"/>
              <w:rPr>
                <w:color w:val="auto"/>
              </w:rPr>
            </w:pPr>
            <w:r>
              <w:rPr>
                <w:color w:val="auto"/>
              </w:rPr>
              <w:t>LXDG-13井场</w:t>
            </w:r>
          </w:p>
        </w:tc>
        <w:tc>
          <w:tcPr>
            <w:tcW w:w="655" w:type="dxa"/>
            <w:noWrap/>
            <w:vAlign w:val="center"/>
          </w:tcPr>
          <w:p w14:paraId="1DE11425">
            <w:pPr>
              <w:pStyle w:val="94"/>
              <w:rPr>
                <w:color w:val="auto"/>
              </w:rPr>
            </w:pPr>
            <w:r>
              <w:rPr>
                <w:color w:val="auto"/>
              </w:rPr>
              <w:t>SE</w:t>
            </w:r>
          </w:p>
        </w:tc>
        <w:tc>
          <w:tcPr>
            <w:tcW w:w="1182" w:type="dxa"/>
            <w:noWrap/>
            <w:vAlign w:val="center"/>
          </w:tcPr>
          <w:p w14:paraId="5ECE8FCE">
            <w:pPr>
              <w:pStyle w:val="94"/>
              <w:rPr>
                <w:color w:val="auto"/>
              </w:rPr>
            </w:pPr>
            <w:r>
              <w:rPr>
                <w:color w:val="auto"/>
              </w:rPr>
              <w:t>784</w:t>
            </w:r>
          </w:p>
        </w:tc>
        <w:tc>
          <w:tcPr>
            <w:tcW w:w="1041" w:type="dxa"/>
            <w:noWrap/>
            <w:vAlign w:val="center"/>
          </w:tcPr>
          <w:p w14:paraId="356FACCD">
            <w:pPr>
              <w:pStyle w:val="94"/>
              <w:rPr>
                <w:color w:val="auto"/>
              </w:rPr>
            </w:pPr>
            <w:r>
              <w:rPr>
                <w:color w:val="auto"/>
              </w:rPr>
              <w:t>上游</w:t>
            </w:r>
          </w:p>
        </w:tc>
        <w:tc>
          <w:tcPr>
            <w:tcW w:w="1294" w:type="dxa"/>
            <w:noWrap/>
            <w:vAlign w:val="center"/>
          </w:tcPr>
          <w:p w14:paraId="1844FB95">
            <w:pPr>
              <w:pStyle w:val="94"/>
              <w:rPr>
                <w:color w:val="auto"/>
              </w:rPr>
            </w:pPr>
            <w:r>
              <w:rPr>
                <w:color w:val="auto"/>
              </w:rPr>
              <w:t>饮用水源</w:t>
            </w:r>
          </w:p>
        </w:tc>
        <w:tc>
          <w:tcPr>
            <w:tcW w:w="722" w:type="dxa"/>
            <w:noWrap/>
            <w:vAlign w:val="center"/>
          </w:tcPr>
          <w:p w14:paraId="29744511">
            <w:pPr>
              <w:pStyle w:val="94"/>
              <w:rPr>
                <w:color w:val="auto"/>
              </w:rPr>
            </w:pPr>
            <w:r>
              <w:rPr>
                <w:color w:val="auto"/>
              </w:rPr>
              <w:t>171</w:t>
            </w:r>
          </w:p>
        </w:tc>
        <w:tc>
          <w:tcPr>
            <w:tcW w:w="2025" w:type="dxa"/>
            <w:vMerge w:val="restart"/>
            <w:vAlign w:val="center"/>
          </w:tcPr>
          <w:p w14:paraId="6C8A7105">
            <w:pPr>
              <w:pStyle w:val="94"/>
              <w:rPr>
                <w:color w:val="auto"/>
              </w:rPr>
            </w:pPr>
            <w:r>
              <w:rPr>
                <w:color w:val="auto"/>
              </w:rPr>
              <w:t>三叠系碎屑岩类裂隙水</w:t>
            </w:r>
          </w:p>
        </w:tc>
      </w:tr>
      <w:tr w14:paraId="7887A4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988" w:type="dxa"/>
            <w:vMerge w:val="continue"/>
            <w:vAlign w:val="center"/>
          </w:tcPr>
          <w:p w14:paraId="3264DBEA">
            <w:pPr>
              <w:pStyle w:val="94"/>
              <w:rPr>
                <w:rFonts w:ascii="Times New Roman" w:hAnsi="Times New Roman"/>
                <w:color w:val="auto"/>
              </w:rPr>
            </w:pPr>
          </w:p>
        </w:tc>
        <w:tc>
          <w:tcPr>
            <w:tcW w:w="567" w:type="dxa"/>
            <w:noWrap/>
            <w:vAlign w:val="center"/>
          </w:tcPr>
          <w:p w14:paraId="62555E32">
            <w:pPr>
              <w:pStyle w:val="94"/>
              <w:rPr>
                <w:color w:val="auto"/>
              </w:rPr>
            </w:pPr>
            <w:r>
              <w:rPr>
                <w:color w:val="auto"/>
              </w:rPr>
              <w:t>3#</w:t>
            </w:r>
          </w:p>
        </w:tc>
        <w:tc>
          <w:tcPr>
            <w:tcW w:w="1559" w:type="dxa"/>
            <w:noWrap/>
            <w:vAlign w:val="center"/>
          </w:tcPr>
          <w:p w14:paraId="000B9B3B">
            <w:pPr>
              <w:pStyle w:val="94"/>
              <w:rPr>
                <w:color w:val="auto"/>
              </w:rPr>
            </w:pPr>
            <w:r>
              <w:rPr>
                <w:color w:val="auto"/>
              </w:rPr>
              <w:t>毛儿沟村水井</w:t>
            </w:r>
          </w:p>
        </w:tc>
        <w:tc>
          <w:tcPr>
            <w:tcW w:w="567" w:type="dxa"/>
            <w:noWrap/>
            <w:vAlign w:val="center"/>
          </w:tcPr>
          <w:p w14:paraId="584ECB99">
            <w:pPr>
              <w:pStyle w:val="94"/>
              <w:rPr>
                <w:color w:val="auto"/>
              </w:rPr>
            </w:pPr>
            <w:r>
              <w:rPr>
                <w:color w:val="auto"/>
              </w:rPr>
              <w:t>42</w:t>
            </w:r>
          </w:p>
        </w:tc>
        <w:tc>
          <w:tcPr>
            <w:tcW w:w="1701" w:type="dxa"/>
            <w:noWrap/>
            <w:vAlign w:val="center"/>
          </w:tcPr>
          <w:p w14:paraId="61E58A04">
            <w:pPr>
              <w:pStyle w:val="94"/>
              <w:rPr>
                <w:color w:val="auto"/>
              </w:rPr>
            </w:pPr>
            <w:r>
              <w:rPr>
                <w:color w:val="auto"/>
              </w:rPr>
              <w:t>110°53′51″</w:t>
            </w:r>
          </w:p>
        </w:tc>
        <w:tc>
          <w:tcPr>
            <w:tcW w:w="1524" w:type="dxa"/>
            <w:noWrap/>
            <w:vAlign w:val="center"/>
          </w:tcPr>
          <w:p w14:paraId="3DECB656">
            <w:pPr>
              <w:pStyle w:val="94"/>
              <w:rPr>
                <w:color w:val="auto"/>
              </w:rPr>
            </w:pPr>
            <w:r>
              <w:rPr>
                <w:color w:val="auto"/>
              </w:rPr>
              <w:t>38°24′30″</w:t>
            </w:r>
          </w:p>
        </w:tc>
        <w:tc>
          <w:tcPr>
            <w:tcW w:w="1543" w:type="dxa"/>
            <w:noWrap/>
            <w:vAlign w:val="center"/>
          </w:tcPr>
          <w:p w14:paraId="3D1BD6E3">
            <w:pPr>
              <w:pStyle w:val="94"/>
              <w:rPr>
                <w:color w:val="auto"/>
              </w:rPr>
            </w:pPr>
            <w:r>
              <w:rPr>
                <w:color w:val="auto"/>
              </w:rPr>
              <w:t>LXD9-23井场</w:t>
            </w:r>
          </w:p>
        </w:tc>
        <w:tc>
          <w:tcPr>
            <w:tcW w:w="655" w:type="dxa"/>
            <w:noWrap/>
            <w:vAlign w:val="center"/>
          </w:tcPr>
          <w:p w14:paraId="700F8D8A">
            <w:pPr>
              <w:pStyle w:val="94"/>
              <w:rPr>
                <w:color w:val="auto"/>
              </w:rPr>
            </w:pPr>
            <w:r>
              <w:rPr>
                <w:color w:val="auto"/>
              </w:rPr>
              <w:t>S</w:t>
            </w:r>
          </w:p>
        </w:tc>
        <w:tc>
          <w:tcPr>
            <w:tcW w:w="1182" w:type="dxa"/>
            <w:noWrap/>
            <w:vAlign w:val="center"/>
          </w:tcPr>
          <w:p w14:paraId="1FB5E77D">
            <w:pPr>
              <w:pStyle w:val="94"/>
              <w:rPr>
                <w:color w:val="auto"/>
              </w:rPr>
            </w:pPr>
            <w:r>
              <w:rPr>
                <w:color w:val="auto"/>
              </w:rPr>
              <w:t>813</w:t>
            </w:r>
          </w:p>
        </w:tc>
        <w:tc>
          <w:tcPr>
            <w:tcW w:w="1041" w:type="dxa"/>
            <w:noWrap/>
            <w:vAlign w:val="center"/>
          </w:tcPr>
          <w:p w14:paraId="207E5FBC">
            <w:pPr>
              <w:pStyle w:val="94"/>
              <w:rPr>
                <w:color w:val="auto"/>
              </w:rPr>
            </w:pPr>
            <w:r>
              <w:rPr>
                <w:color w:val="auto"/>
              </w:rPr>
              <w:t>上游</w:t>
            </w:r>
          </w:p>
        </w:tc>
        <w:tc>
          <w:tcPr>
            <w:tcW w:w="1294" w:type="dxa"/>
            <w:noWrap/>
            <w:vAlign w:val="center"/>
          </w:tcPr>
          <w:p w14:paraId="2B2B610D">
            <w:pPr>
              <w:pStyle w:val="94"/>
              <w:rPr>
                <w:color w:val="auto"/>
              </w:rPr>
            </w:pPr>
            <w:r>
              <w:rPr>
                <w:color w:val="auto"/>
              </w:rPr>
              <w:t>饮用水源</w:t>
            </w:r>
          </w:p>
        </w:tc>
        <w:tc>
          <w:tcPr>
            <w:tcW w:w="722" w:type="dxa"/>
            <w:noWrap/>
            <w:vAlign w:val="center"/>
          </w:tcPr>
          <w:p w14:paraId="3A36FA94">
            <w:pPr>
              <w:pStyle w:val="94"/>
              <w:rPr>
                <w:color w:val="auto"/>
              </w:rPr>
            </w:pPr>
            <w:r>
              <w:rPr>
                <w:color w:val="auto"/>
              </w:rPr>
              <w:t>65</w:t>
            </w:r>
          </w:p>
        </w:tc>
        <w:tc>
          <w:tcPr>
            <w:tcW w:w="2025" w:type="dxa"/>
            <w:vMerge w:val="continue"/>
            <w:vAlign w:val="center"/>
          </w:tcPr>
          <w:p w14:paraId="6A37C4D9">
            <w:pPr>
              <w:pStyle w:val="94"/>
              <w:rPr>
                <w:rFonts w:ascii="Times New Roman" w:hAnsi="Times New Roman"/>
                <w:color w:val="auto"/>
              </w:rPr>
            </w:pPr>
          </w:p>
        </w:tc>
      </w:tr>
      <w:tr w14:paraId="38BFE8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988" w:type="dxa"/>
            <w:vMerge w:val="continue"/>
            <w:vAlign w:val="center"/>
          </w:tcPr>
          <w:p w14:paraId="06CA42DD">
            <w:pPr>
              <w:pStyle w:val="94"/>
              <w:rPr>
                <w:rFonts w:ascii="Times New Roman" w:hAnsi="Times New Roman"/>
                <w:color w:val="auto"/>
              </w:rPr>
            </w:pPr>
          </w:p>
        </w:tc>
        <w:tc>
          <w:tcPr>
            <w:tcW w:w="567" w:type="dxa"/>
            <w:noWrap/>
            <w:vAlign w:val="center"/>
          </w:tcPr>
          <w:p w14:paraId="1873CB77">
            <w:pPr>
              <w:pStyle w:val="94"/>
              <w:rPr>
                <w:color w:val="auto"/>
              </w:rPr>
            </w:pPr>
            <w:r>
              <w:rPr>
                <w:rFonts w:hint="eastAsia"/>
                <w:color w:val="auto"/>
              </w:rPr>
              <w:t>4</w:t>
            </w:r>
            <w:r>
              <w:rPr>
                <w:color w:val="auto"/>
              </w:rPr>
              <w:t>#</w:t>
            </w:r>
          </w:p>
        </w:tc>
        <w:tc>
          <w:tcPr>
            <w:tcW w:w="1559" w:type="dxa"/>
            <w:noWrap/>
            <w:vAlign w:val="center"/>
          </w:tcPr>
          <w:p w14:paraId="2D514A08">
            <w:pPr>
              <w:pStyle w:val="94"/>
              <w:rPr>
                <w:color w:val="auto"/>
              </w:rPr>
            </w:pPr>
            <w:r>
              <w:rPr>
                <w:color w:val="auto"/>
              </w:rPr>
              <w:t>吴儿峁村水井</w:t>
            </w:r>
          </w:p>
        </w:tc>
        <w:tc>
          <w:tcPr>
            <w:tcW w:w="567" w:type="dxa"/>
            <w:noWrap/>
            <w:vAlign w:val="center"/>
          </w:tcPr>
          <w:p w14:paraId="2291D86B">
            <w:pPr>
              <w:pStyle w:val="94"/>
              <w:rPr>
                <w:color w:val="auto"/>
              </w:rPr>
            </w:pPr>
            <w:r>
              <w:rPr>
                <w:color w:val="auto"/>
              </w:rPr>
              <w:t>31</w:t>
            </w:r>
          </w:p>
        </w:tc>
        <w:tc>
          <w:tcPr>
            <w:tcW w:w="1701" w:type="dxa"/>
            <w:noWrap/>
            <w:vAlign w:val="center"/>
          </w:tcPr>
          <w:p w14:paraId="50284D99">
            <w:pPr>
              <w:pStyle w:val="94"/>
              <w:rPr>
                <w:color w:val="auto"/>
              </w:rPr>
            </w:pPr>
            <w:r>
              <w:rPr>
                <w:color w:val="auto"/>
              </w:rPr>
              <w:t>110°55′18″</w:t>
            </w:r>
          </w:p>
        </w:tc>
        <w:tc>
          <w:tcPr>
            <w:tcW w:w="1524" w:type="dxa"/>
            <w:noWrap/>
            <w:vAlign w:val="center"/>
          </w:tcPr>
          <w:p w14:paraId="3535C06C">
            <w:pPr>
              <w:pStyle w:val="94"/>
              <w:rPr>
                <w:color w:val="auto"/>
              </w:rPr>
            </w:pPr>
            <w:r>
              <w:rPr>
                <w:color w:val="auto"/>
              </w:rPr>
              <w:t>38°22′26″</w:t>
            </w:r>
          </w:p>
        </w:tc>
        <w:tc>
          <w:tcPr>
            <w:tcW w:w="1543" w:type="dxa"/>
            <w:noWrap/>
            <w:vAlign w:val="center"/>
          </w:tcPr>
          <w:p w14:paraId="6A23C0E7">
            <w:pPr>
              <w:pStyle w:val="94"/>
              <w:rPr>
                <w:color w:val="auto"/>
              </w:rPr>
            </w:pPr>
            <w:r>
              <w:rPr>
                <w:color w:val="auto"/>
              </w:rPr>
              <w:t>LXD2-25井场</w:t>
            </w:r>
          </w:p>
        </w:tc>
        <w:tc>
          <w:tcPr>
            <w:tcW w:w="655" w:type="dxa"/>
            <w:noWrap/>
            <w:vAlign w:val="center"/>
          </w:tcPr>
          <w:p w14:paraId="78AC5DAB">
            <w:pPr>
              <w:pStyle w:val="94"/>
              <w:rPr>
                <w:color w:val="auto"/>
              </w:rPr>
            </w:pPr>
            <w:r>
              <w:rPr>
                <w:color w:val="auto"/>
              </w:rPr>
              <w:t>NW</w:t>
            </w:r>
          </w:p>
        </w:tc>
        <w:tc>
          <w:tcPr>
            <w:tcW w:w="1182" w:type="dxa"/>
            <w:noWrap/>
            <w:vAlign w:val="center"/>
          </w:tcPr>
          <w:p w14:paraId="07925DB7">
            <w:pPr>
              <w:pStyle w:val="94"/>
              <w:rPr>
                <w:color w:val="auto"/>
              </w:rPr>
            </w:pPr>
            <w:r>
              <w:rPr>
                <w:color w:val="auto"/>
              </w:rPr>
              <w:t>251</w:t>
            </w:r>
          </w:p>
        </w:tc>
        <w:tc>
          <w:tcPr>
            <w:tcW w:w="1041" w:type="dxa"/>
            <w:noWrap/>
            <w:vAlign w:val="center"/>
          </w:tcPr>
          <w:p w14:paraId="1521DADF">
            <w:pPr>
              <w:pStyle w:val="94"/>
              <w:rPr>
                <w:color w:val="auto"/>
              </w:rPr>
            </w:pPr>
            <w:r>
              <w:rPr>
                <w:color w:val="auto"/>
              </w:rPr>
              <w:t>上游</w:t>
            </w:r>
          </w:p>
        </w:tc>
        <w:tc>
          <w:tcPr>
            <w:tcW w:w="1294" w:type="dxa"/>
            <w:noWrap/>
            <w:vAlign w:val="center"/>
          </w:tcPr>
          <w:p w14:paraId="4ED668FD">
            <w:pPr>
              <w:pStyle w:val="94"/>
              <w:rPr>
                <w:color w:val="auto"/>
              </w:rPr>
            </w:pPr>
            <w:r>
              <w:rPr>
                <w:color w:val="auto"/>
              </w:rPr>
              <w:t>饮用水源</w:t>
            </w:r>
          </w:p>
        </w:tc>
        <w:tc>
          <w:tcPr>
            <w:tcW w:w="722" w:type="dxa"/>
            <w:noWrap/>
            <w:vAlign w:val="center"/>
          </w:tcPr>
          <w:p w14:paraId="128692CC">
            <w:pPr>
              <w:pStyle w:val="94"/>
              <w:rPr>
                <w:color w:val="auto"/>
              </w:rPr>
            </w:pPr>
            <w:r>
              <w:rPr>
                <w:color w:val="auto"/>
              </w:rPr>
              <w:t>110</w:t>
            </w:r>
          </w:p>
        </w:tc>
        <w:tc>
          <w:tcPr>
            <w:tcW w:w="2025" w:type="dxa"/>
            <w:vMerge w:val="continue"/>
            <w:vAlign w:val="center"/>
          </w:tcPr>
          <w:p w14:paraId="4FBA4A44">
            <w:pPr>
              <w:pStyle w:val="94"/>
              <w:rPr>
                <w:rFonts w:ascii="Times New Roman" w:hAnsi="Times New Roman"/>
                <w:color w:val="auto"/>
              </w:rPr>
            </w:pPr>
          </w:p>
        </w:tc>
      </w:tr>
      <w:tr w14:paraId="1CF087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988" w:type="dxa"/>
            <w:vMerge w:val="continue"/>
            <w:vAlign w:val="center"/>
          </w:tcPr>
          <w:p w14:paraId="35416969">
            <w:pPr>
              <w:pStyle w:val="94"/>
              <w:rPr>
                <w:rFonts w:ascii="Times New Roman" w:hAnsi="Times New Roman"/>
                <w:color w:val="auto"/>
              </w:rPr>
            </w:pPr>
          </w:p>
        </w:tc>
        <w:tc>
          <w:tcPr>
            <w:tcW w:w="567" w:type="dxa"/>
            <w:noWrap/>
            <w:vAlign w:val="center"/>
          </w:tcPr>
          <w:p w14:paraId="2975BB23">
            <w:pPr>
              <w:pStyle w:val="94"/>
              <w:rPr>
                <w:color w:val="auto"/>
              </w:rPr>
            </w:pPr>
            <w:r>
              <w:rPr>
                <w:rFonts w:hint="eastAsia"/>
                <w:color w:val="auto"/>
              </w:rPr>
              <w:t>5</w:t>
            </w:r>
            <w:r>
              <w:rPr>
                <w:color w:val="auto"/>
              </w:rPr>
              <w:t>#</w:t>
            </w:r>
          </w:p>
        </w:tc>
        <w:tc>
          <w:tcPr>
            <w:tcW w:w="1559" w:type="dxa"/>
            <w:noWrap/>
            <w:vAlign w:val="center"/>
          </w:tcPr>
          <w:p w14:paraId="2498E6F6">
            <w:pPr>
              <w:pStyle w:val="94"/>
              <w:rPr>
                <w:color w:val="auto"/>
              </w:rPr>
            </w:pPr>
            <w:r>
              <w:rPr>
                <w:color w:val="auto"/>
              </w:rPr>
              <w:t>白家庄村水井</w:t>
            </w:r>
          </w:p>
        </w:tc>
        <w:tc>
          <w:tcPr>
            <w:tcW w:w="567" w:type="dxa"/>
            <w:noWrap/>
            <w:vAlign w:val="center"/>
          </w:tcPr>
          <w:p w14:paraId="18E13C84">
            <w:pPr>
              <w:pStyle w:val="94"/>
              <w:rPr>
                <w:color w:val="auto"/>
              </w:rPr>
            </w:pPr>
            <w:r>
              <w:rPr>
                <w:color w:val="auto"/>
              </w:rPr>
              <w:t>42</w:t>
            </w:r>
          </w:p>
        </w:tc>
        <w:tc>
          <w:tcPr>
            <w:tcW w:w="1701" w:type="dxa"/>
            <w:noWrap/>
            <w:vAlign w:val="center"/>
          </w:tcPr>
          <w:p w14:paraId="13DB62EE">
            <w:pPr>
              <w:pStyle w:val="94"/>
              <w:rPr>
                <w:color w:val="auto"/>
              </w:rPr>
            </w:pPr>
            <w:r>
              <w:rPr>
                <w:color w:val="auto"/>
              </w:rPr>
              <w:t>110°52′34″</w:t>
            </w:r>
          </w:p>
        </w:tc>
        <w:tc>
          <w:tcPr>
            <w:tcW w:w="1524" w:type="dxa"/>
            <w:noWrap/>
            <w:vAlign w:val="center"/>
          </w:tcPr>
          <w:p w14:paraId="626F092B">
            <w:pPr>
              <w:pStyle w:val="94"/>
              <w:rPr>
                <w:color w:val="auto"/>
              </w:rPr>
            </w:pPr>
            <w:r>
              <w:rPr>
                <w:color w:val="auto"/>
              </w:rPr>
              <w:t>38°22′30″</w:t>
            </w:r>
          </w:p>
        </w:tc>
        <w:tc>
          <w:tcPr>
            <w:tcW w:w="1543" w:type="dxa"/>
            <w:noWrap/>
            <w:vAlign w:val="center"/>
          </w:tcPr>
          <w:p w14:paraId="58BFA61D">
            <w:pPr>
              <w:pStyle w:val="94"/>
              <w:rPr>
                <w:color w:val="auto"/>
              </w:rPr>
            </w:pPr>
            <w:r>
              <w:rPr>
                <w:color w:val="auto"/>
              </w:rPr>
              <w:t>LXD1-18井场</w:t>
            </w:r>
          </w:p>
        </w:tc>
        <w:tc>
          <w:tcPr>
            <w:tcW w:w="655" w:type="dxa"/>
            <w:noWrap/>
            <w:vAlign w:val="center"/>
          </w:tcPr>
          <w:p w14:paraId="4B548B2A">
            <w:pPr>
              <w:pStyle w:val="94"/>
              <w:rPr>
                <w:color w:val="auto"/>
              </w:rPr>
            </w:pPr>
            <w:r>
              <w:rPr>
                <w:color w:val="auto"/>
              </w:rPr>
              <w:t>NW</w:t>
            </w:r>
          </w:p>
        </w:tc>
        <w:tc>
          <w:tcPr>
            <w:tcW w:w="1182" w:type="dxa"/>
            <w:noWrap/>
            <w:vAlign w:val="center"/>
          </w:tcPr>
          <w:p w14:paraId="056BA1EE">
            <w:pPr>
              <w:pStyle w:val="94"/>
              <w:rPr>
                <w:color w:val="auto"/>
              </w:rPr>
            </w:pPr>
            <w:r>
              <w:rPr>
                <w:color w:val="auto"/>
              </w:rPr>
              <w:t>584</w:t>
            </w:r>
          </w:p>
        </w:tc>
        <w:tc>
          <w:tcPr>
            <w:tcW w:w="1041" w:type="dxa"/>
            <w:noWrap/>
            <w:vAlign w:val="center"/>
          </w:tcPr>
          <w:p w14:paraId="0D2FC882">
            <w:pPr>
              <w:pStyle w:val="94"/>
              <w:rPr>
                <w:color w:val="auto"/>
              </w:rPr>
            </w:pPr>
            <w:r>
              <w:rPr>
                <w:color w:val="auto"/>
              </w:rPr>
              <w:t>上游</w:t>
            </w:r>
          </w:p>
        </w:tc>
        <w:tc>
          <w:tcPr>
            <w:tcW w:w="1294" w:type="dxa"/>
            <w:noWrap/>
            <w:vAlign w:val="center"/>
          </w:tcPr>
          <w:p w14:paraId="7D2BDAAC">
            <w:pPr>
              <w:pStyle w:val="94"/>
              <w:rPr>
                <w:color w:val="auto"/>
              </w:rPr>
            </w:pPr>
            <w:r>
              <w:rPr>
                <w:color w:val="auto"/>
              </w:rPr>
              <w:t>饮用水源</w:t>
            </w:r>
          </w:p>
        </w:tc>
        <w:tc>
          <w:tcPr>
            <w:tcW w:w="722" w:type="dxa"/>
            <w:noWrap/>
            <w:vAlign w:val="center"/>
          </w:tcPr>
          <w:p w14:paraId="1670E236">
            <w:pPr>
              <w:pStyle w:val="94"/>
              <w:rPr>
                <w:color w:val="auto"/>
              </w:rPr>
            </w:pPr>
            <w:r>
              <w:rPr>
                <w:color w:val="auto"/>
              </w:rPr>
              <w:t>214</w:t>
            </w:r>
          </w:p>
        </w:tc>
        <w:tc>
          <w:tcPr>
            <w:tcW w:w="2025" w:type="dxa"/>
            <w:vMerge w:val="continue"/>
            <w:vAlign w:val="center"/>
          </w:tcPr>
          <w:p w14:paraId="03A2F07C">
            <w:pPr>
              <w:pStyle w:val="94"/>
              <w:rPr>
                <w:rFonts w:ascii="Times New Roman" w:hAnsi="Times New Roman"/>
                <w:color w:val="auto"/>
              </w:rPr>
            </w:pPr>
          </w:p>
        </w:tc>
      </w:tr>
      <w:tr w14:paraId="7823F6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988" w:type="dxa"/>
            <w:vMerge w:val="continue"/>
            <w:vAlign w:val="center"/>
          </w:tcPr>
          <w:p w14:paraId="52940419">
            <w:pPr>
              <w:pStyle w:val="94"/>
              <w:rPr>
                <w:rFonts w:ascii="Times New Roman" w:hAnsi="Times New Roman"/>
                <w:color w:val="auto"/>
              </w:rPr>
            </w:pPr>
          </w:p>
        </w:tc>
        <w:tc>
          <w:tcPr>
            <w:tcW w:w="567" w:type="dxa"/>
            <w:noWrap/>
            <w:vAlign w:val="center"/>
          </w:tcPr>
          <w:p w14:paraId="136E13E4">
            <w:pPr>
              <w:pStyle w:val="94"/>
              <w:rPr>
                <w:color w:val="auto"/>
              </w:rPr>
            </w:pPr>
            <w:r>
              <w:rPr>
                <w:rFonts w:hint="eastAsia"/>
                <w:color w:val="auto"/>
              </w:rPr>
              <w:t>6</w:t>
            </w:r>
            <w:r>
              <w:rPr>
                <w:color w:val="auto"/>
              </w:rPr>
              <w:t>#</w:t>
            </w:r>
          </w:p>
        </w:tc>
        <w:tc>
          <w:tcPr>
            <w:tcW w:w="1559" w:type="dxa"/>
            <w:noWrap/>
            <w:vAlign w:val="center"/>
          </w:tcPr>
          <w:p w14:paraId="00FDDF62">
            <w:pPr>
              <w:pStyle w:val="94"/>
              <w:rPr>
                <w:color w:val="auto"/>
              </w:rPr>
            </w:pPr>
            <w:r>
              <w:rPr>
                <w:color w:val="auto"/>
              </w:rPr>
              <w:t>乔山村水井</w:t>
            </w:r>
          </w:p>
        </w:tc>
        <w:tc>
          <w:tcPr>
            <w:tcW w:w="567" w:type="dxa"/>
            <w:noWrap/>
            <w:vAlign w:val="center"/>
          </w:tcPr>
          <w:p w14:paraId="266F6601">
            <w:pPr>
              <w:pStyle w:val="94"/>
              <w:rPr>
                <w:color w:val="auto"/>
              </w:rPr>
            </w:pPr>
            <w:r>
              <w:rPr>
                <w:color w:val="auto"/>
              </w:rPr>
              <w:t>51</w:t>
            </w:r>
          </w:p>
        </w:tc>
        <w:tc>
          <w:tcPr>
            <w:tcW w:w="1701" w:type="dxa"/>
            <w:noWrap/>
            <w:vAlign w:val="center"/>
          </w:tcPr>
          <w:p w14:paraId="1AA8FF12">
            <w:pPr>
              <w:pStyle w:val="94"/>
              <w:rPr>
                <w:color w:val="auto"/>
              </w:rPr>
            </w:pPr>
            <w:r>
              <w:rPr>
                <w:color w:val="auto"/>
              </w:rPr>
              <w:t>110°51′1″</w:t>
            </w:r>
          </w:p>
        </w:tc>
        <w:tc>
          <w:tcPr>
            <w:tcW w:w="1524" w:type="dxa"/>
            <w:noWrap/>
            <w:vAlign w:val="center"/>
          </w:tcPr>
          <w:p w14:paraId="604E1830">
            <w:pPr>
              <w:pStyle w:val="94"/>
              <w:rPr>
                <w:color w:val="auto"/>
              </w:rPr>
            </w:pPr>
            <w:r>
              <w:rPr>
                <w:color w:val="auto"/>
              </w:rPr>
              <w:t>38°22′42″</w:t>
            </w:r>
          </w:p>
        </w:tc>
        <w:tc>
          <w:tcPr>
            <w:tcW w:w="1543" w:type="dxa"/>
            <w:noWrap/>
            <w:vAlign w:val="center"/>
          </w:tcPr>
          <w:p w14:paraId="2F02C5F0">
            <w:pPr>
              <w:pStyle w:val="94"/>
              <w:rPr>
                <w:color w:val="auto"/>
              </w:rPr>
            </w:pPr>
            <w:r>
              <w:rPr>
                <w:color w:val="auto"/>
              </w:rPr>
              <w:t>LXD3-14井场</w:t>
            </w:r>
          </w:p>
        </w:tc>
        <w:tc>
          <w:tcPr>
            <w:tcW w:w="655" w:type="dxa"/>
            <w:noWrap/>
            <w:vAlign w:val="center"/>
          </w:tcPr>
          <w:p w14:paraId="187057EA">
            <w:pPr>
              <w:pStyle w:val="94"/>
              <w:rPr>
                <w:color w:val="auto"/>
              </w:rPr>
            </w:pPr>
            <w:r>
              <w:rPr>
                <w:color w:val="auto"/>
              </w:rPr>
              <w:t>SW</w:t>
            </w:r>
          </w:p>
        </w:tc>
        <w:tc>
          <w:tcPr>
            <w:tcW w:w="1182" w:type="dxa"/>
            <w:noWrap/>
            <w:vAlign w:val="center"/>
          </w:tcPr>
          <w:p w14:paraId="28E969AD">
            <w:pPr>
              <w:pStyle w:val="94"/>
              <w:rPr>
                <w:color w:val="auto"/>
              </w:rPr>
            </w:pPr>
            <w:r>
              <w:rPr>
                <w:color w:val="auto"/>
              </w:rPr>
              <w:t>571</w:t>
            </w:r>
          </w:p>
        </w:tc>
        <w:tc>
          <w:tcPr>
            <w:tcW w:w="1041" w:type="dxa"/>
            <w:noWrap/>
            <w:vAlign w:val="center"/>
          </w:tcPr>
          <w:p w14:paraId="1D87D822">
            <w:pPr>
              <w:pStyle w:val="94"/>
              <w:rPr>
                <w:color w:val="auto"/>
              </w:rPr>
            </w:pPr>
            <w:r>
              <w:rPr>
                <w:color w:val="auto"/>
              </w:rPr>
              <w:t>/</w:t>
            </w:r>
          </w:p>
        </w:tc>
        <w:tc>
          <w:tcPr>
            <w:tcW w:w="1294" w:type="dxa"/>
            <w:noWrap/>
            <w:vAlign w:val="center"/>
          </w:tcPr>
          <w:p w14:paraId="7F7B525C">
            <w:pPr>
              <w:pStyle w:val="94"/>
              <w:rPr>
                <w:color w:val="auto"/>
              </w:rPr>
            </w:pPr>
            <w:r>
              <w:rPr>
                <w:color w:val="auto"/>
              </w:rPr>
              <w:t>饮用水源</w:t>
            </w:r>
          </w:p>
        </w:tc>
        <w:tc>
          <w:tcPr>
            <w:tcW w:w="722" w:type="dxa"/>
            <w:noWrap/>
            <w:vAlign w:val="center"/>
          </w:tcPr>
          <w:p w14:paraId="39139499">
            <w:pPr>
              <w:pStyle w:val="94"/>
              <w:rPr>
                <w:color w:val="auto"/>
              </w:rPr>
            </w:pPr>
            <w:r>
              <w:rPr>
                <w:color w:val="auto"/>
              </w:rPr>
              <w:t>48</w:t>
            </w:r>
          </w:p>
        </w:tc>
        <w:tc>
          <w:tcPr>
            <w:tcW w:w="2025" w:type="dxa"/>
            <w:vMerge w:val="continue"/>
            <w:vAlign w:val="center"/>
          </w:tcPr>
          <w:p w14:paraId="3F38911E">
            <w:pPr>
              <w:pStyle w:val="94"/>
              <w:rPr>
                <w:rFonts w:ascii="Times New Roman" w:hAnsi="Times New Roman"/>
                <w:color w:val="auto"/>
              </w:rPr>
            </w:pPr>
          </w:p>
        </w:tc>
      </w:tr>
      <w:tr w14:paraId="5CB401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988" w:type="dxa"/>
            <w:vMerge w:val="continue"/>
            <w:vAlign w:val="center"/>
          </w:tcPr>
          <w:p w14:paraId="16A4305D">
            <w:pPr>
              <w:pStyle w:val="94"/>
              <w:rPr>
                <w:rFonts w:ascii="Times New Roman" w:hAnsi="Times New Roman"/>
                <w:color w:val="auto"/>
              </w:rPr>
            </w:pPr>
          </w:p>
        </w:tc>
        <w:tc>
          <w:tcPr>
            <w:tcW w:w="567" w:type="dxa"/>
            <w:noWrap/>
            <w:vAlign w:val="center"/>
          </w:tcPr>
          <w:p w14:paraId="33E02432">
            <w:pPr>
              <w:pStyle w:val="94"/>
              <w:rPr>
                <w:color w:val="auto"/>
              </w:rPr>
            </w:pPr>
            <w:r>
              <w:rPr>
                <w:rFonts w:hint="eastAsia"/>
                <w:color w:val="auto"/>
              </w:rPr>
              <w:t>7</w:t>
            </w:r>
            <w:r>
              <w:rPr>
                <w:color w:val="auto"/>
              </w:rPr>
              <w:t>#</w:t>
            </w:r>
          </w:p>
        </w:tc>
        <w:tc>
          <w:tcPr>
            <w:tcW w:w="1559" w:type="dxa"/>
            <w:noWrap/>
            <w:vAlign w:val="center"/>
          </w:tcPr>
          <w:p w14:paraId="38D965C9">
            <w:pPr>
              <w:pStyle w:val="94"/>
              <w:rPr>
                <w:color w:val="auto"/>
              </w:rPr>
            </w:pPr>
            <w:r>
              <w:rPr>
                <w:color w:val="auto"/>
              </w:rPr>
              <w:t>康家塔村水井</w:t>
            </w:r>
          </w:p>
        </w:tc>
        <w:tc>
          <w:tcPr>
            <w:tcW w:w="567" w:type="dxa"/>
            <w:noWrap/>
            <w:vAlign w:val="center"/>
          </w:tcPr>
          <w:p w14:paraId="07229EC6">
            <w:pPr>
              <w:pStyle w:val="94"/>
              <w:rPr>
                <w:color w:val="auto"/>
              </w:rPr>
            </w:pPr>
            <w:r>
              <w:rPr>
                <w:color w:val="auto"/>
              </w:rPr>
              <w:t>25</w:t>
            </w:r>
          </w:p>
        </w:tc>
        <w:tc>
          <w:tcPr>
            <w:tcW w:w="1701" w:type="dxa"/>
            <w:noWrap/>
            <w:vAlign w:val="center"/>
          </w:tcPr>
          <w:p w14:paraId="5631C1BC">
            <w:pPr>
              <w:pStyle w:val="94"/>
              <w:rPr>
                <w:color w:val="auto"/>
              </w:rPr>
            </w:pPr>
            <w:r>
              <w:rPr>
                <w:color w:val="auto"/>
              </w:rPr>
              <w:t>110°52′1″</w:t>
            </w:r>
          </w:p>
        </w:tc>
        <w:tc>
          <w:tcPr>
            <w:tcW w:w="1524" w:type="dxa"/>
            <w:noWrap/>
            <w:vAlign w:val="center"/>
          </w:tcPr>
          <w:p w14:paraId="4DE21ECA">
            <w:pPr>
              <w:pStyle w:val="94"/>
              <w:rPr>
                <w:color w:val="auto"/>
              </w:rPr>
            </w:pPr>
            <w:r>
              <w:rPr>
                <w:color w:val="auto"/>
              </w:rPr>
              <w:t>38°23′30″</w:t>
            </w:r>
          </w:p>
        </w:tc>
        <w:tc>
          <w:tcPr>
            <w:tcW w:w="1543" w:type="dxa"/>
            <w:noWrap/>
            <w:vAlign w:val="center"/>
          </w:tcPr>
          <w:p w14:paraId="76C40EE2">
            <w:pPr>
              <w:pStyle w:val="94"/>
              <w:rPr>
                <w:color w:val="auto"/>
              </w:rPr>
            </w:pPr>
            <w:r>
              <w:rPr>
                <w:color w:val="auto"/>
              </w:rPr>
              <w:t>LXD8-11井场</w:t>
            </w:r>
          </w:p>
        </w:tc>
        <w:tc>
          <w:tcPr>
            <w:tcW w:w="655" w:type="dxa"/>
            <w:noWrap/>
            <w:vAlign w:val="center"/>
          </w:tcPr>
          <w:p w14:paraId="5A7BFCB2">
            <w:pPr>
              <w:pStyle w:val="94"/>
              <w:rPr>
                <w:color w:val="auto"/>
              </w:rPr>
            </w:pPr>
            <w:r>
              <w:rPr>
                <w:color w:val="auto"/>
              </w:rPr>
              <w:t>E</w:t>
            </w:r>
          </w:p>
        </w:tc>
        <w:tc>
          <w:tcPr>
            <w:tcW w:w="1182" w:type="dxa"/>
            <w:noWrap/>
            <w:vAlign w:val="center"/>
          </w:tcPr>
          <w:p w14:paraId="619A1799">
            <w:pPr>
              <w:pStyle w:val="94"/>
              <w:rPr>
                <w:color w:val="auto"/>
              </w:rPr>
            </w:pPr>
            <w:r>
              <w:rPr>
                <w:color w:val="auto"/>
              </w:rPr>
              <w:t>1105</w:t>
            </w:r>
          </w:p>
        </w:tc>
        <w:tc>
          <w:tcPr>
            <w:tcW w:w="1041" w:type="dxa"/>
            <w:noWrap/>
            <w:vAlign w:val="center"/>
          </w:tcPr>
          <w:p w14:paraId="6F8827BD">
            <w:pPr>
              <w:pStyle w:val="94"/>
              <w:rPr>
                <w:color w:val="auto"/>
              </w:rPr>
            </w:pPr>
            <w:r>
              <w:rPr>
                <w:color w:val="auto"/>
              </w:rPr>
              <w:t>/</w:t>
            </w:r>
          </w:p>
        </w:tc>
        <w:tc>
          <w:tcPr>
            <w:tcW w:w="1294" w:type="dxa"/>
            <w:noWrap/>
            <w:vAlign w:val="center"/>
          </w:tcPr>
          <w:p w14:paraId="556971B9">
            <w:pPr>
              <w:pStyle w:val="94"/>
              <w:rPr>
                <w:color w:val="auto"/>
              </w:rPr>
            </w:pPr>
            <w:r>
              <w:rPr>
                <w:color w:val="auto"/>
              </w:rPr>
              <w:t>饮用水源</w:t>
            </w:r>
          </w:p>
        </w:tc>
        <w:tc>
          <w:tcPr>
            <w:tcW w:w="722" w:type="dxa"/>
            <w:noWrap/>
            <w:vAlign w:val="center"/>
          </w:tcPr>
          <w:p w14:paraId="493CADFC">
            <w:pPr>
              <w:pStyle w:val="94"/>
              <w:rPr>
                <w:color w:val="auto"/>
              </w:rPr>
            </w:pPr>
            <w:r>
              <w:rPr>
                <w:color w:val="auto"/>
              </w:rPr>
              <w:t>96</w:t>
            </w:r>
          </w:p>
        </w:tc>
        <w:tc>
          <w:tcPr>
            <w:tcW w:w="2025" w:type="dxa"/>
            <w:vMerge w:val="continue"/>
            <w:vAlign w:val="center"/>
          </w:tcPr>
          <w:p w14:paraId="37EB65FA">
            <w:pPr>
              <w:pStyle w:val="94"/>
              <w:rPr>
                <w:rFonts w:ascii="Times New Roman" w:hAnsi="Times New Roman"/>
                <w:color w:val="auto"/>
              </w:rPr>
            </w:pPr>
          </w:p>
        </w:tc>
      </w:tr>
      <w:tr w14:paraId="26B383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988" w:type="dxa"/>
            <w:vMerge w:val="continue"/>
            <w:vAlign w:val="center"/>
          </w:tcPr>
          <w:p w14:paraId="00BC018E">
            <w:pPr>
              <w:pStyle w:val="94"/>
              <w:rPr>
                <w:rFonts w:ascii="Times New Roman" w:hAnsi="Times New Roman"/>
                <w:color w:val="auto"/>
              </w:rPr>
            </w:pPr>
          </w:p>
        </w:tc>
        <w:tc>
          <w:tcPr>
            <w:tcW w:w="567" w:type="dxa"/>
            <w:noWrap/>
            <w:vAlign w:val="center"/>
          </w:tcPr>
          <w:p w14:paraId="47944721">
            <w:pPr>
              <w:pStyle w:val="94"/>
              <w:rPr>
                <w:color w:val="auto"/>
              </w:rPr>
            </w:pPr>
            <w:r>
              <w:rPr>
                <w:rFonts w:hint="eastAsia"/>
                <w:color w:val="auto"/>
              </w:rPr>
              <w:t>8</w:t>
            </w:r>
            <w:r>
              <w:rPr>
                <w:color w:val="auto"/>
              </w:rPr>
              <w:t>#</w:t>
            </w:r>
          </w:p>
        </w:tc>
        <w:tc>
          <w:tcPr>
            <w:tcW w:w="1559" w:type="dxa"/>
            <w:noWrap/>
            <w:vAlign w:val="center"/>
          </w:tcPr>
          <w:p w14:paraId="1E798CB7">
            <w:pPr>
              <w:pStyle w:val="94"/>
              <w:rPr>
                <w:color w:val="auto"/>
              </w:rPr>
            </w:pPr>
            <w:r>
              <w:rPr>
                <w:color w:val="auto"/>
              </w:rPr>
              <w:t>韩家吉村水井</w:t>
            </w:r>
          </w:p>
        </w:tc>
        <w:tc>
          <w:tcPr>
            <w:tcW w:w="567" w:type="dxa"/>
            <w:noWrap/>
            <w:vAlign w:val="center"/>
          </w:tcPr>
          <w:p w14:paraId="3818119C">
            <w:pPr>
              <w:pStyle w:val="94"/>
              <w:rPr>
                <w:color w:val="auto"/>
              </w:rPr>
            </w:pPr>
            <w:r>
              <w:rPr>
                <w:color w:val="auto"/>
              </w:rPr>
              <w:t>43</w:t>
            </w:r>
          </w:p>
        </w:tc>
        <w:tc>
          <w:tcPr>
            <w:tcW w:w="1701" w:type="dxa"/>
            <w:noWrap/>
            <w:vAlign w:val="center"/>
          </w:tcPr>
          <w:p w14:paraId="0E68724E">
            <w:pPr>
              <w:pStyle w:val="94"/>
              <w:rPr>
                <w:color w:val="auto"/>
              </w:rPr>
            </w:pPr>
            <w:r>
              <w:rPr>
                <w:color w:val="auto"/>
              </w:rPr>
              <w:t>110°49′35″</w:t>
            </w:r>
          </w:p>
        </w:tc>
        <w:tc>
          <w:tcPr>
            <w:tcW w:w="1524" w:type="dxa"/>
            <w:noWrap/>
            <w:vAlign w:val="center"/>
          </w:tcPr>
          <w:p w14:paraId="57F5CBA3">
            <w:pPr>
              <w:pStyle w:val="94"/>
              <w:rPr>
                <w:color w:val="auto"/>
              </w:rPr>
            </w:pPr>
            <w:r>
              <w:rPr>
                <w:color w:val="auto"/>
              </w:rPr>
              <w:t>38°24′10″</w:t>
            </w:r>
          </w:p>
        </w:tc>
        <w:tc>
          <w:tcPr>
            <w:tcW w:w="1543" w:type="dxa"/>
            <w:noWrap/>
            <w:vAlign w:val="center"/>
          </w:tcPr>
          <w:p w14:paraId="0B9219FD">
            <w:pPr>
              <w:pStyle w:val="94"/>
              <w:rPr>
                <w:color w:val="auto"/>
              </w:rPr>
            </w:pPr>
            <w:r>
              <w:rPr>
                <w:color w:val="auto"/>
              </w:rPr>
              <w:t>LXD8-11井场</w:t>
            </w:r>
          </w:p>
        </w:tc>
        <w:tc>
          <w:tcPr>
            <w:tcW w:w="655" w:type="dxa"/>
            <w:noWrap/>
            <w:vAlign w:val="center"/>
          </w:tcPr>
          <w:p w14:paraId="7EFBB65B">
            <w:pPr>
              <w:pStyle w:val="94"/>
              <w:rPr>
                <w:color w:val="auto"/>
              </w:rPr>
            </w:pPr>
            <w:r>
              <w:rPr>
                <w:color w:val="auto"/>
              </w:rPr>
              <w:t>S</w:t>
            </w:r>
          </w:p>
        </w:tc>
        <w:tc>
          <w:tcPr>
            <w:tcW w:w="1182" w:type="dxa"/>
            <w:noWrap/>
            <w:vAlign w:val="center"/>
          </w:tcPr>
          <w:p w14:paraId="198FAAC9">
            <w:pPr>
              <w:pStyle w:val="94"/>
              <w:rPr>
                <w:color w:val="auto"/>
              </w:rPr>
            </w:pPr>
            <w:r>
              <w:rPr>
                <w:color w:val="auto"/>
              </w:rPr>
              <w:t>1254</w:t>
            </w:r>
          </w:p>
        </w:tc>
        <w:tc>
          <w:tcPr>
            <w:tcW w:w="1041" w:type="dxa"/>
            <w:noWrap/>
            <w:vAlign w:val="center"/>
          </w:tcPr>
          <w:p w14:paraId="37979FE3">
            <w:pPr>
              <w:pStyle w:val="94"/>
              <w:rPr>
                <w:color w:val="auto"/>
              </w:rPr>
            </w:pPr>
            <w:r>
              <w:rPr>
                <w:color w:val="auto"/>
              </w:rPr>
              <w:t>/</w:t>
            </w:r>
          </w:p>
        </w:tc>
        <w:tc>
          <w:tcPr>
            <w:tcW w:w="1294" w:type="dxa"/>
            <w:noWrap/>
            <w:vAlign w:val="center"/>
          </w:tcPr>
          <w:p w14:paraId="4EDD8A27">
            <w:pPr>
              <w:pStyle w:val="94"/>
              <w:rPr>
                <w:color w:val="auto"/>
              </w:rPr>
            </w:pPr>
            <w:r>
              <w:rPr>
                <w:color w:val="auto"/>
              </w:rPr>
              <w:t>饮用水源</w:t>
            </w:r>
          </w:p>
        </w:tc>
        <w:tc>
          <w:tcPr>
            <w:tcW w:w="722" w:type="dxa"/>
            <w:noWrap/>
            <w:vAlign w:val="center"/>
          </w:tcPr>
          <w:p w14:paraId="2409C6F9">
            <w:pPr>
              <w:pStyle w:val="94"/>
              <w:rPr>
                <w:color w:val="auto"/>
              </w:rPr>
            </w:pPr>
            <w:r>
              <w:rPr>
                <w:color w:val="auto"/>
              </w:rPr>
              <w:t>54</w:t>
            </w:r>
          </w:p>
        </w:tc>
        <w:tc>
          <w:tcPr>
            <w:tcW w:w="2025" w:type="dxa"/>
            <w:vMerge w:val="continue"/>
            <w:vAlign w:val="center"/>
          </w:tcPr>
          <w:p w14:paraId="2622F8E7">
            <w:pPr>
              <w:pStyle w:val="94"/>
              <w:rPr>
                <w:rFonts w:ascii="Times New Roman" w:hAnsi="Times New Roman"/>
                <w:color w:val="auto"/>
              </w:rPr>
            </w:pPr>
          </w:p>
        </w:tc>
      </w:tr>
      <w:tr w14:paraId="580139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988" w:type="dxa"/>
            <w:vAlign w:val="center"/>
          </w:tcPr>
          <w:p w14:paraId="4FC76C5B">
            <w:pPr>
              <w:pStyle w:val="94"/>
              <w:rPr>
                <w:color w:val="auto"/>
              </w:rPr>
            </w:pPr>
            <w:r>
              <w:rPr>
                <w:color w:val="auto"/>
              </w:rPr>
              <w:t>集中式饮用水源地</w:t>
            </w:r>
          </w:p>
        </w:tc>
        <w:tc>
          <w:tcPr>
            <w:tcW w:w="14380" w:type="dxa"/>
            <w:gridSpan w:val="12"/>
            <w:noWrap/>
            <w:vAlign w:val="center"/>
          </w:tcPr>
          <w:p w14:paraId="3094D020">
            <w:pPr>
              <w:pStyle w:val="94"/>
              <w:rPr>
                <w:color w:val="auto"/>
              </w:rPr>
            </w:pPr>
            <w:r>
              <w:rPr>
                <w:rFonts w:hint="eastAsia"/>
                <w:color w:val="auto"/>
              </w:rPr>
              <w:t>项目井场外</w:t>
            </w:r>
            <w:r>
              <w:rPr>
                <w:color w:val="auto"/>
              </w:rPr>
              <w:t>2000米范围内不存在地下水集中式饮用水水源和热水、矿泉水、温泉等特殊地下水资源</w:t>
            </w:r>
          </w:p>
        </w:tc>
      </w:tr>
      <w:tr w14:paraId="46A898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988" w:type="dxa"/>
            <w:noWrap/>
            <w:vAlign w:val="center"/>
          </w:tcPr>
          <w:p w14:paraId="41F9C191">
            <w:pPr>
              <w:pStyle w:val="94"/>
              <w:rPr>
                <w:color w:val="auto"/>
              </w:rPr>
            </w:pPr>
            <w:r>
              <w:rPr>
                <w:color w:val="auto"/>
              </w:rPr>
              <w:t>含水层</w:t>
            </w:r>
          </w:p>
        </w:tc>
        <w:tc>
          <w:tcPr>
            <w:tcW w:w="14380" w:type="dxa"/>
            <w:gridSpan w:val="12"/>
            <w:noWrap/>
            <w:vAlign w:val="center"/>
          </w:tcPr>
          <w:p w14:paraId="2583A6F4">
            <w:pPr>
              <w:pStyle w:val="94"/>
              <w:rPr>
                <w:color w:val="auto"/>
              </w:rPr>
            </w:pPr>
            <w:r>
              <w:rPr>
                <w:color w:val="auto"/>
              </w:rPr>
              <w:t>第四系孔隙水含水层、三叠系裂隙水含水层</w:t>
            </w:r>
          </w:p>
        </w:tc>
      </w:tr>
      <w:tr w14:paraId="692DB8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988" w:type="dxa"/>
            <w:noWrap/>
            <w:vAlign w:val="center"/>
          </w:tcPr>
          <w:p w14:paraId="4CFD0EEE">
            <w:pPr>
              <w:pStyle w:val="94"/>
              <w:rPr>
                <w:color w:val="auto"/>
              </w:rPr>
            </w:pPr>
            <w:r>
              <w:rPr>
                <w:color w:val="auto"/>
              </w:rPr>
              <w:t>泉域</w:t>
            </w:r>
          </w:p>
        </w:tc>
        <w:tc>
          <w:tcPr>
            <w:tcW w:w="14380" w:type="dxa"/>
            <w:gridSpan w:val="12"/>
            <w:noWrap/>
            <w:vAlign w:val="center"/>
          </w:tcPr>
          <w:p w14:paraId="2332A697">
            <w:pPr>
              <w:pStyle w:val="94"/>
              <w:rPr>
                <w:color w:val="auto"/>
              </w:rPr>
            </w:pPr>
            <w:r>
              <w:rPr>
                <w:color w:val="auto"/>
              </w:rPr>
              <w:t>临兴东尚义区气田范围不涉及泉域</w:t>
            </w:r>
          </w:p>
        </w:tc>
      </w:tr>
      <w:bookmarkEnd w:id="129"/>
    </w:tbl>
    <w:p w14:paraId="1AB8BA9A">
      <w:pPr>
        <w:pStyle w:val="19"/>
        <w:keepNext/>
        <w:jc w:val="both"/>
      </w:pPr>
      <w:r>
        <w:t xml:space="preserve">附表 </w:t>
      </w:r>
      <w:r>
        <w:fldChar w:fldCharType="begin"/>
      </w:r>
      <w:r>
        <w:instrText xml:space="preserve"> SEQ 附表 \* ARABIC </w:instrText>
      </w:r>
      <w:r>
        <w:fldChar w:fldCharType="separate"/>
      </w:r>
      <w:r>
        <w:t>3</w:t>
      </w:r>
      <w:r>
        <w:fldChar w:fldCharType="end"/>
      </w:r>
      <w:r>
        <w:rPr>
          <w:rFonts w:hint="eastAsia"/>
        </w:rPr>
        <w:t>临兴东尚义区文物分布一览表</w:t>
      </w:r>
    </w:p>
    <w:tbl>
      <w:tblPr>
        <w:tblStyle w:val="73"/>
        <w:tblW w:w="4996"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13"/>
        <w:gridCol w:w="1014"/>
        <w:gridCol w:w="2225"/>
        <w:gridCol w:w="4241"/>
        <w:gridCol w:w="2425"/>
        <w:gridCol w:w="1888"/>
        <w:gridCol w:w="2796"/>
      </w:tblGrid>
      <w:tr w14:paraId="541F4C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trPr>
        <w:tc>
          <w:tcPr>
            <w:tcW w:w="325" w:type="pct"/>
            <w:vAlign w:val="center"/>
          </w:tcPr>
          <w:p w14:paraId="4A99E9C0">
            <w:pPr>
              <w:pStyle w:val="94"/>
              <w:rPr>
                <w:color w:val="auto"/>
              </w:rPr>
            </w:pPr>
            <w:r>
              <w:rPr>
                <w:rFonts w:hint="eastAsia"/>
                <w:snapToGrid w:val="0"/>
                <w:color w:val="auto"/>
                <w:lang w:bidi="ar"/>
              </w:rPr>
              <w:t>序号</w:t>
            </w:r>
          </w:p>
        </w:tc>
        <w:tc>
          <w:tcPr>
            <w:tcW w:w="325" w:type="pct"/>
            <w:vAlign w:val="center"/>
          </w:tcPr>
          <w:p w14:paraId="0DA954DA">
            <w:pPr>
              <w:pStyle w:val="94"/>
              <w:rPr>
                <w:color w:val="auto"/>
              </w:rPr>
            </w:pPr>
            <w:r>
              <w:rPr>
                <w:rFonts w:hint="eastAsia"/>
                <w:snapToGrid w:val="0"/>
                <w:color w:val="auto"/>
                <w:lang w:bidi="ar"/>
              </w:rPr>
              <w:t>所属乡镇</w:t>
            </w:r>
          </w:p>
        </w:tc>
        <w:tc>
          <w:tcPr>
            <w:tcW w:w="713" w:type="pct"/>
            <w:vAlign w:val="center"/>
          </w:tcPr>
          <w:p w14:paraId="3428EA77">
            <w:pPr>
              <w:pStyle w:val="94"/>
              <w:rPr>
                <w:color w:val="auto"/>
              </w:rPr>
            </w:pPr>
            <w:r>
              <w:rPr>
                <w:rFonts w:hint="eastAsia"/>
                <w:snapToGrid w:val="0"/>
                <w:color w:val="auto"/>
                <w:lang w:bidi="ar"/>
              </w:rPr>
              <w:t>文物名称</w:t>
            </w:r>
          </w:p>
        </w:tc>
        <w:tc>
          <w:tcPr>
            <w:tcW w:w="1359" w:type="pct"/>
            <w:vAlign w:val="center"/>
          </w:tcPr>
          <w:p w14:paraId="20B7A4B5">
            <w:pPr>
              <w:pStyle w:val="94"/>
              <w:rPr>
                <w:color w:val="auto"/>
              </w:rPr>
            </w:pPr>
            <w:r>
              <w:rPr>
                <w:rFonts w:hint="eastAsia"/>
                <w:snapToGrid w:val="0"/>
                <w:color w:val="auto"/>
                <w:lang w:bidi="ar"/>
              </w:rPr>
              <w:t>地点</w:t>
            </w:r>
          </w:p>
        </w:tc>
        <w:tc>
          <w:tcPr>
            <w:tcW w:w="777" w:type="pct"/>
            <w:vAlign w:val="center"/>
          </w:tcPr>
          <w:p w14:paraId="4036868D">
            <w:pPr>
              <w:pStyle w:val="94"/>
              <w:rPr>
                <w:color w:val="auto"/>
              </w:rPr>
            </w:pPr>
            <w:r>
              <w:rPr>
                <w:rFonts w:hint="eastAsia"/>
                <w:snapToGrid w:val="0"/>
                <w:color w:val="auto"/>
                <w:lang w:bidi="ar"/>
              </w:rPr>
              <w:t>保护级别</w:t>
            </w:r>
          </w:p>
        </w:tc>
        <w:tc>
          <w:tcPr>
            <w:tcW w:w="605" w:type="pct"/>
            <w:vAlign w:val="center"/>
          </w:tcPr>
          <w:p w14:paraId="06D49E0D">
            <w:pPr>
              <w:pStyle w:val="94"/>
              <w:rPr>
                <w:color w:val="auto"/>
              </w:rPr>
            </w:pPr>
            <w:r>
              <w:rPr>
                <w:rFonts w:hint="eastAsia"/>
                <w:snapToGrid w:val="0"/>
                <w:color w:val="auto"/>
                <w:lang w:bidi="ar"/>
              </w:rPr>
              <w:t>经度</w:t>
            </w:r>
          </w:p>
        </w:tc>
        <w:tc>
          <w:tcPr>
            <w:tcW w:w="896" w:type="pct"/>
            <w:vAlign w:val="center"/>
          </w:tcPr>
          <w:p w14:paraId="25C00F7F">
            <w:pPr>
              <w:pStyle w:val="94"/>
              <w:rPr>
                <w:color w:val="auto"/>
              </w:rPr>
            </w:pPr>
            <w:r>
              <w:rPr>
                <w:rFonts w:hint="eastAsia"/>
                <w:snapToGrid w:val="0"/>
                <w:color w:val="auto"/>
                <w:lang w:bidi="ar"/>
              </w:rPr>
              <w:t>纬度</w:t>
            </w:r>
          </w:p>
        </w:tc>
      </w:tr>
      <w:tr w14:paraId="555AB6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trPr>
        <w:tc>
          <w:tcPr>
            <w:tcW w:w="325" w:type="pct"/>
            <w:vAlign w:val="center"/>
          </w:tcPr>
          <w:p w14:paraId="4FC6FB1B">
            <w:pPr>
              <w:pStyle w:val="94"/>
              <w:rPr>
                <w:color w:val="auto"/>
              </w:rPr>
            </w:pPr>
            <w:r>
              <w:rPr>
                <w:rFonts w:hint="eastAsia"/>
                <w:snapToGrid w:val="0"/>
                <w:color w:val="auto"/>
                <w:lang w:bidi="ar"/>
              </w:rPr>
              <w:t>1</w:t>
            </w:r>
          </w:p>
        </w:tc>
        <w:tc>
          <w:tcPr>
            <w:tcW w:w="325" w:type="pct"/>
            <w:vMerge w:val="restart"/>
            <w:vAlign w:val="center"/>
          </w:tcPr>
          <w:p w14:paraId="1F9C1985">
            <w:pPr>
              <w:pStyle w:val="94"/>
              <w:rPr>
                <w:color w:val="auto"/>
              </w:rPr>
            </w:pPr>
            <w:r>
              <w:rPr>
                <w:rFonts w:hint="eastAsia"/>
                <w:snapToGrid w:val="0"/>
                <w:color w:val="auto"/>
                <w:lang w:bidi="ar"/>
              </w:rPr>
              <w:t>罗峪口</w:t>
            </w:r>
          </w:p>
        </w:tc>
        <w:tc>
          <w:tcPr>
            <w:tcW w:w="713" w:type="pct"/>
            <w:vAlign w:val="center"/>
          </w:tcPr>
          <w:p w14:paraId="428BCD92">
            <w:pPr>
              <w:pStyle w:val="94"/>
              <w:rPr>
                <w:color w:val="auto"/>
              </w:rPr>
            </w:pPr>
            <w:r>
              <w:rPr>
                <w:rFonts w:hint="eastAsia"/>
                <w:snapToGrid w:val="0"/>
                <w:color w:val="auto"/>
                <w:lang w:bidi="ar"/>
              </w:rPr>
              <w:t>大坪焉山神庙</w:t>
            </w:r>
          </w:p>
        </w:tc>
        <w:tc>
          <w:tcPr>
            <w:tcW w:w="1359" w:type="pct"/>
            <w:vAlign w:val="center"/>
          </w:tcPr>
          <w:p w14:paraId="085A341B">
            <w:pPr>
              <w:pStyle w:val="94"/>
              <w:rPr>
                <w:color w:val="auto"/>
              </w:rPr>
            </w:pPr>
            <w:r>
              <w:rPr>
                <w:rFonts w:hint="eastAsia"/>
                <w:snapToGrid w:val="0"/>
                <w:color w:val="auto"/>
                <w:lang w:bidi="ar"/>
              </w:rPr>
              <w:t>山西省吕梁市兴县罗峪口镇大坪焉村内南侧</w:t>
            </w:r>
          </w:p>
        </w:tc>
        <w:tc>
          <w:tcPr>
            <w:tcW w:w="777" w:type="pct"/>
            <w:vAlign w:val="center"/>
          </w:tcPr>
          <w:p w14:paraId="078DB007">
            <w:pPr>
              <w:pStyle w:val="94"/>
              <w:rPr>
                <w:color w:val="auto"/>
              </w:rPr>
            </w:pPr>
            <w:r>
              <w:rPr>
                <w:rFonts w:hint="eastAsia"/>
                <w:snapToGrid w:val="0"/>
                <w:color w:val="auto"/>
                <w:lang w:bidi="ar"/>
              </w:rPr>
              <w:t>县级文物保护单位</w:t>
            </w:r>
          </w:p>
        </w:tc>
        <w:tc>
          <w:tcPr>
            <w:tcW w:w="605" w:type="pct"/>
            <w:vAlign w:val="center"/>
          </w:tcPr>
          <w:p w14:paraId="61A6A334">
            <w:pPr>
              <w:pStyle w:val="94"/>
              <w:rPr>
                <w:color w:val="auto"/>
              </w:rPr>
            </w:pPr>
            <w:r>
              <w:rPr>
                <w:rFonts w:hint="eastAsia"/>
                <w:snapToGrid w:val="0"/>
                <w:color w:val="auto"/>
                <w:lang w:bidi="ar"/>
              </w:rPr>
              <w:t>110°47′46.9″</w:t>
            </w:r>
          </w:p>
        </w:tc>
        <w:tc>
          <w:tcPr>
            <w:tcW w:w="896" w:type="pct"/>
            <w:vAlign w:val="center"/>
          </w:tcPr>
          <w:p w14:paraId="50CFF79A">
            <w:pPr>
              <w:pStyle w:val="94"/>
              <w:rPr>
                <w:color w:val="auto"/>
              </w:rPr>
            </w:pPr>
            <w:r>
              <w:rPr>
                <w:rFonts w:hint="eastAsia"/>
                <w:snapToGrid w:val="0"/>
                <w:color w:val="auto"/>
                <w:lang w:bidi="ar"/>
              </w:rPr>
              <w:t>38°23′39.1″</w:t>
            </w:r>
          </w:p>
        </w:tc>
      </w:tr>
      <w:tr w14:paraId="10657F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trPr>
        <w:tc>
          <w:tcPr>
            <w:tcW w:w="325" w:type="pct"/>
            <w:vAlign w:val="center"/>
          </w:tcPr>
          <w:p w14:paraId="14180107">
            <w:pPr>
              <w:pStyle w:val="94"/>
              <w:rPr>
                <w:color w:val="auto"/>
              </w:rPr>
            </w:pPr>
            <w:r>
              <w:rPr>
                <w:rFonts w:hint="eastAsia"/>
                <w:snapToGrid w:val="0"/>
                <w:color w:val="auto"/>
                <w:lang w:bidi="ar"/>
              </w:rPr>
              <w:t>2</w:t>
            </w:r>
          </w:p>
        </w:tc>
        <w:tc>
          <w:tcPr>
            <w:tcW w:w="325" w:type="pct"/>
            <w:vMerge w:val="continue"/>
            <w:vAlign w:val="center"/>
          </w:tcPr>
          <w:p w14:paraId="77EC29AE">
            <w:pPr>
              <w:pStyle w:val="94"/>
              <w:rPr>
                <w:color w:val="auto"/>
              </w:rPr>
            </w:pPr>
          </w:p>
        </w:tc>
        <w:tc>
          <w:tcPr>
            <w:tcW w:w="713" w:type="pct"/>
            <w:vAlign w:val="center"/>
          </w:tcPr>
          <w:p w14:paraId="3A07E4A2">
            <w:pPr>
              <w:pStyle w:val="94"/>
              <w:rPr>
                <w:color w:val="auto"/>
              </w:rPr>
            </w:pPr>
            <w:r>
              <w:rPr>
                <w:rFonts w:hint="eastAsia"/>
                <w:snapToGrid w:val="0"/>
                <w:color w:val="auto"/>
                <w:lang w:bidi="ar"/>
              </w:rPr>
              <w:t>大坪焉龙王庙</w:t>
            </w:r>
          </w:p>
        </w:tc>
        <w:tc>
          <w:tcPr>
            <w:tcW w:w="1359" w:type="pct"/>
            <w:vAlign w:val="center"/>
          </w:tcPr>
          <w:p w14:paraId="5BDAEE65">
            <w:pPr>
              <w:pStyle w:val="94"/>
              <w:rPr>
                <w:color w:val="auto"/>
              </w:rPr>
            </w:pPr>
            <w:r>
              <w:rPr>
                <w:rFonts w:hint="eastAsia"/>
                <w:snapToGrid w:val="0"/>
                <w:color w:val="auto"/>
                <w:lang w:bidi="ar"/>
              </w:rPr>
              <w:t>山西省吕梁市兴县罗峪口镇大坪焉村东100 米</w:t>
            </w:r>
          </w:p>
        </w:tc>
        <w:tc>
          <w:tcPr>
            <w:tcW w:w="777" w:type="pct"/>
            <w:vAlign w:val="center"/>
          </w:tcPr>
          <w:p w14:paraId="78F886D5">
            <w:pPr>
              <w:pStyle w:val="94"/>
              <w:rPr>
                <w:color w:val="auto"/>
              </w:rPr>
            </w:pPr>
            <w:r>
              <w:rPr>
                <w:rFonts w:hint="eastAsia"/>
                <w:snapToGrid w:val="0"/>
                <w:color w:val="auto"/>
                <w:lang w:bidi="ar"/>
              </w:rPr>
              <w:t>县级文物保护单位</w:t>
            </w:r>
          </w:p>
        </w:tc>
        <w:tc>
          <w:tcPr>
            <w:tcW w:w="605" w:type="pct"/>
            <w:vAlign w:val="center"/>
          </w:tcPr>
          <w:p w14:paraId="71599A07">
            <w:pPr>
              <w:pStyle w:val="94"/>
              <w:rPr>
                <w:color w:val="auto"/>
              </w:rPr>
            </w:pPr>
            <w:r>
              <w:rPr>
                <w:rFonts w:hint="eastAsia"/>
                <w:snapToGrid w:val="0"/>
                <w:color w:val="auto"/>
                <w:lang w:bidi="ar"/>
              </w:rPr>
              <w:t>110°48′14.9″</w:t>
            </w:r>
          </w:p>
        </w:tc>
        <w:tc>
          <w:tcPr>
            <w:tcW w:w="896" w:type="pct"/>
            <w:vAlign w:val="center"/>
          </w:tcPr>
          <w:p w14:paraId="1576FA1A">
            <w:pPr>
              <w:pStyle w:val="94"/>
              <w:rPr>
                <w:color w:val="auto"/>
              </w:rPr>
            </w:pPr>
            <w:r>
              <w:rPr>
                <w:rFonts w:hint="eastAsia"/>
                <w:snapToGrid w:val="0"/>
                <w:color w:val="auto"/>
                <w:lang w:bidi="ar"/>
              </w:rPr>
              <w:t>38°23′57.8″</w:t>
            </w:r>
          </w:p>
        </w:tc>
      </w:tr>
      <w:tr w14:paraId="421360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0" w:hRule="atLeast"/>
        </w:trPr>
        <w:tc>
          <w:tcPr>
            <w:tcW w:w="325" w:type="pct"/>
            <w:vAlign w:val="center"/>
          </w:tcPr>
          <w:p w14:paraId="20CBCE7E">
            <w:pPr>
              <w:pStyle w:val="94"/>
              <w:rPr>
                <w:color w:val="auto"/>
              </w:rPr>
            </w:pPr>
            <w:r>
              <w:rPr>
                <w:rFonts w:hint="eastAsia"/>
                <w:snapToGrid w:val="0"/>
                <w:color w:val="auto"/>
                <w:lang w:bidi="ar"/>
              </w:rPr>
              <w:t>3</w:t>
            </w:r>
          </w:p>
        </w:tc>
        <w:tc>
          <w:tcPr>
            <w:tcW w:w="325" w:type="pct"/>
            <w:vMerge w:val="continue"/>
            <w:vAlign w:val="center"/>
          </w:tcPr>
          <w:p w14:paraId="45BD6AA6">
            <w:pPr>
              <w:pStyle w:val="94"/>
              <w:rPr>
                <w:color w:val="auto"/>
              </w:rPr>
            </w:pPr>
          </w:p>
        </w:tc>
        <w:tc>
          <w:tcPr>
            <w:tcW w:w="713" w:type="pct"/>
            <w:vAlign w:val="center"/>
          </w:tcPr>
          <w:p w14:paraId="0EB148F6">
            <w:pPr>
              <w:pStyle w:val="94"/>
              <w:rPr>
                <w:color w:val="auto"/>
              </w:rPr>
            </w:pPr>
            <w:r>
              <w:rPr>
                <w:rFonts w:hint="eastAsia"/>
                <w:snapToGrid w:val="0"/>
                <w:color w:val="auto"/>
                <w:lang w:bidi="ar"/>
              </w:rPr>
              <w:t>大坪焉墓地</w:t>
            </w:r>
          </w:p>
        </w:tc>
        <w:tc>
          <w:tcPr>
            <w:tcW w:w="1359" w:type="pct"/>
            <w:vAlign w:val="center"/>
          </w:tcPr>
          <w:p w14:paraId="4248B300">
            <w:pPr>
              <w:pStyle w:val="94"/>
              <w:rPr>
                <w:color w:val="auto"/>
              </w:rPr>
            </w:pPr>
            <w:r>
              <w:rPr>
                <w:rFonts w:hint="eastAsia"/>
                <w:snapToGrid w:val="0"/>
                <w:color w:val="auto"/>
                <w:lang w:bidi="ar"/>
              </w:rPr>
              <w:t>山西省吕梁市兴县罗峪口镇大坪焉村东约120 米的台地上</w:t>
            </w:r>
          </w:p>
        </w:tc>
        <w:tc>
          <w:tcPr>
            <w:tcW w:w="777" w:type="pct"/>
            <w:vAlign w:val="center"/>
          </w:tcPr>
          <w:p w14:paraId="7A07D23A">
            <w:pPr>
              <w:pStyle w:val="94"/>
              <w:rPr>
                <w:color w:val="auto"/>
              </w:rPr>
            </w:pPr>
            <w:r>
              <w:rPr>
                <w:rFonts w:hint="eastAsia"/>
                <w:snapToGrid w:val="0"/>
                <w:color w:val="auto"/>
                <w:lang w:bidi="ar"/>
              </w:rPr>
              <w:t>县级文物保护单位</w:t>
            </w:r>
          </w:p>
        </w:tc>
        <w:tc>
          <w:tcPr>
            <w:tcW w:w="605" w:type="pct"/>
            <w:vAlign w:val="center"/>
          </w:tcPr>
          <w:p w14:paraId="1918E300">
            <w:pPr>
              <w:pStyle w:val="94"/>
              <w:rPr>
                <w:color w:val="auto"/>
              </w:rPr>
            </w:pPr>
            <w:r>
              <w:rPr>
                <w:rFonts w:hint="eastAsia"/>
                <w:snapToGrid w:val="0"/>
                <w:color w:val="auto"/>
                <w:lang w:bidi="ar"/>
              </w:rPr>
              <w:t>110°48′15.8″</w:t>
            </w:r>
          </w:p>
        </w:tc>
        <w:tc>
          <w:tcPr>
            <w:tcW w:w="896" w:type="pct"/>
            <w:vAlign w:val="center"/>
          </w:tcPr>
          <w:p w14:paraId="6AC92813">
            <w:pPr>
              <w:pStyle w:val="94"/>
              <w:rPr>
                <w:color w:val="auto"/>
              </w:rPr>
            </w:pPr>
            <w:r>
              <w:rPr>
                <w:rFonts w:hint="eastAsia"/>
                <w:snapToGrid w:val="0"/>
                <w:color w:val="auto"/>
                <w:lang w:bidi="ar"/>
              </w:rPr>
              <w:t>38°23′57.8″</w:t>
            </w:r>
          </w:p>
        </w:tc>
      </w:tr>
      <w:tr w14:paraId="47C0D2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0" w:hRule="atLeast"/>
        </w:trPr>
        <w:tc>
          <w:tcPr>
            <w:tcW w:w="325" w:type="pct"/>
            <w:vAlign w:val="center"/>
          </w:tcPr>
          <w:p w14:paraId="7C5BBC4F">
            <w:pPr>
              <w:pStyle w:val="94"/>
              <w:rPr>
                <w:color w:val="auto"/>
              </w:rPr>
            </w:pPr>
            <w:r>
              <w:rPr>
                <w:rFonts w:hint="eastAsia"/>
                <w:snapToGrid w:val="0"/>
                <w:color w:val="auto"/>
                <w:lang w:bidi="ar"/>
              </w:rPr>
              <w:t>4</w:t>
            </w:r>
          </w:p>
        </w:tc>
        <w:tc>
          <w:tcPr>
            <w:tcW w:w="325" w:type="pct"/>
            <w:vMerge w:val="continue"/>
            <w:vAlign w:val="center"/>
          </w:tcPr>
          <w:p w14:paraId="6654193C">
            <w:pPr>
              <w:pStyle w:val="94"/>
              <w:rPr>
                <w:color w:val="auto"/>
              </w:rPr>
            </w:pPr>
          </w:p>
        </w:tc>
        <w:tc>
          <w:tcPr>
            <w:tcW w:w="713" w:type="pct"/>
            <w:vAlign w:val="center"/>
          </w:tcPr>
          <w:p w14:paraId="4358FA6C">
            <w:pPr>
              <w:pStyle w:val="94"/>
              <w:rPr>
                <w:color w:val="auto"/>
              </w:rPr>
            </w:pPr>
            <w:r>
              <w:rPr>
                <w:rFonts w:hint="eastAsia"/>
                <w:snapToGrid w:val="0"/>
                <w:color w:val="auto"/>
                <w:lang w:bidi="ar"/>
              </w:rPr>
              <w:t>福亚龙王庙</w:t>
            </w:r>
          </w:p>
        </w:tc>
        <w:tc>
          <w:tcPr>
            <w:tcW w:w="1359" w:type="pct"/>
            <w:vAlign w:val="center"/>
          </w:tcPr>
          <w:p w14:paraId="478BE317">
            <w:pPr>
              <w:pStyle w:val="94"/>
              <w:rPr>
                <w:color w:val="auto"/>
              </w:rPr>
            </w:pPr>
            <w:r>
              <w:rPr>
                <w:rFonts w:hint="eastAsia"/>
                <w:snapToGrid w:val="0"/>
                <w:color w:val="auto"/>
                <w:lang w:bidi="ar"/>
              </w:rPr>
              <w:t>山西省吕梁市兴县罗峪口镇大坪焉村福亚自然村东北 100 处的山坡上</w:t>
            </w:r>
          </w:p>
        </w:tc>
        <w:tc>
          <w:tcPr>
            <w:tcW w:w="777" w:type="pct"/>
            <w:vAlign w:val="center"/>
          </w:tcPr>
          <w:p w14:paraId="5C93CBBC">
            <w:pPr>
              <w:pStyle w:val="94"/>
              <w:rPr>
                <w:color w:val="auto"/>
              </w:rPr>
            </w:pPr>
            <w:r>
              <w:rPr>
                <w:rFonts w:hint="eastAsia"/>
                <w:snapToGrid w:val="0"/>
                <w:color w:val="auto"/>
                <w:lang w:bidi="ar"/>
              </w:rPr>
              <w:t>县级文物保护单位</w:t>
            </w:r>
          </w:p>
        </w:tc>
        <w:tc>
          <w:tcPr>
            <w:tcW w:w="605" w:type="pct"/>
            <w:vAlign w:val="center"/>
          </w:tcPr>
          <w:p w14:paraId="2CFBD818">
            <w:pPr>
              <w:pStyle w:val="94"/>
              <w:rPr>
                <w:color w:val="auto"/>
              </w:rPr>
            </w:pPr>
            <w:r>
              <w:rPr>
                <w:rFonts w:hint="eastAsia"/>
                <w:snapToGrid w:val="0"/>
                <w:color w:val="auto"/>
                <w:lang w:bidi="ar"/>
              </w:rPr>
              <w:t>110°46′38.0″</w:t>
            </w:r>
          </w:p>
        </w:tc>
        <w:tc>
          <w:tcPr>
            <w:tcW w:w="896" w:type="pct"/>
            <w:vAlign w:val="center"/>
          </w:tcPr>
          <w:p w14:paraId="549DE0AB">
            <w:pPr>
              <w:pStyle w:val="94"/>
              <w:rPr>
                <w:color w:val="auto"/>
              </w:rPr>
            </w:pPr>
            <w:r>
              <w:rPr>
                <w:rFonts w:hint="eastAsia"/>
                <w:snapToGrid w:val="0"/>
                <w:color w:val="auto"/>
                <w:lang w:bidi="ar"/>
              </w:rPr>
              <w:t>38°23′26.7″</w:t>
            </w:r>
          </w:p>
        </w:tc>
      </w:tr>
      <w:tr w14:paraId="1B8E55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0" w:hRule="atLeast"/>
        </w:trPr>
        <w:tc>
          <w:tcPr>
            <w:tcW w:w="325" w:type="pct"/>
            <w:vAlign w:val="center"/>
          </w:tcPr>
          <w:p w14:paraId="4B5FB095">
            <w:pPr>
              <w:pStyle w:val="94"/>
              <w:rPr>
                <w:color w:val="auto"/>
              </w:rPr>
            </w:pPr>
            <w:r>
              <w:rPr>
                <w:rFonts w:hint="eastAsia"/>
                <w:snapToGrid w:val="0"/>
                <w:color w:val="auto"/>
                <w:lang w:bidi="ar"/>
              </w:rPr>
              <w:t>5</w:t>
            </w:r>
          </w:p>
        </w:tc>
        <w:tc>
          <w:tcPr>
            <w:tcW w:w="325" w:type="pct"/>
            <w:vMerge w:val="continue"/>
            <w:vAlign w:val="center"/>
          </w:tcPr>
          <w:p w14:paraId="31062DA1">
            <w:pPr>
              <w:pStyle w:val="94"/>
              <w:rPr>
                <w:color w:val="auto"/>
              </w:rPr>
            </w:pPr>
          </w:p>
        </w:tc>
        <w:tc>
          <w:tcPr>
            <w:tcW w:w="713" w:type="pct"/>
            <w:vAlign w:val="center"/>
          </w:tcPr>
          <w:p w14:paraId="551149BC">
            <w:pPr>
              <w:pStyle w:val="94"/>
              <w:rPr>
                <w:color w:val="auto"/>
              </w:rPr>
            </w:pPr>
            <w:r>
              <w:rPr>
                <w:rFonts w:hint="eastAsia"/>
                <w:snapToGrid w:val="0"/>
                <w:color w:val="auto"/>
                <w:lang w:bidi="ar"/>
              </w:rPr>
              <w:t>石桥龙王庙</w:t>
            </w:r>
          </w:p>
        </w:tc>
        <w:tc>
          <w:tcPr>
            <w:tcW w:w="1359" w:type="pct"/>
            <w:vAlign w:val="center"/>
          </w:tcPr>
          <w:p w14:paraId="13469FBF">
            <w:pPr>
              <w:pStyle w:val="94"/>
              <w:rPr>
                <w:color w:val="auto"/>
              </w:rPr>
            </w:pPr>
            <w:r>
              <w:rPr>
                <w:rFonts w:hint="eastAsia"/>
                <w:snapToGrid w:val="0"/>
                <w:color w:val="auto"/>
                <w:lang w:bidi="ar"/>
              </w:rPr>
              <w:t>山西省吕梁市兴县罗峪口镇大坪焉村石桥自然村东北 100 米</w:t>
            </w:r>
          </w:p>
        </w:tc>
        <w:tc>
          <w:tcPr>
            <w:tcW w:w="777" w:type="pct"/>
            <w:vAlign w:val="center"/>
          </w:tcPr>
          <w:p w14:paraId="176B0BD3">
            <w:pPr>
              <w:pStyle w:val="94"/>
              <w:rPr>
                <w:color w:val="auto"/>
              </w:rPr>
            </w:pPr>
            <w:r>
              <w:rPr>
                <w:rFonts w:hint="eastAsia"/>
                <w:snapToGrid w:val="0"/>
                <w:color w:val="auto"/>
                <w:lang w:bidi="ar"/>
              </w:rPr>
              <w:t>县级文物保护单位</w:t>
            </w:r>
          </w:p>
        </w:tc>
        <w:tc>
          <w:tcPr>
            <w:tcW w:w="605" w:type="pct"/>
            <w:vAlign w:val="center"/>
          </w:tcPr>
          <w:p w14:paraId="00B1624A">
            <w:pPr>
              <w:pStyle w:val="94"/>
              <w:rPr>
                <w:color w:val="auto"/>
              </w:rPr>
            </w:pPr>
            <w:r>
              <w:rPr>
                <w:rFonts w:hint="eastAsia"/>
                <w:snapToGrid w:val="0"/>
                <w:color w:val="auto"/>
                <w:lang w:bidi="ar"/>
              </w:rPr>
              <w:t>110°49′0.1″</w:t>
            </w:r>
          </w:p>
        </w:tc>
        <w:tc>
          <w:tcPr>
            <w:tcW w:w="896" w:type="pct"/>
            <w:vAlign w:val="center"/>
          </w:tcPr>
          <w:p w14:paraId="3014730C">
            <w:pPr>
              <w:pStyle w:val="94"/>
              <w:rPr>
                <w:color w:val="auto"/>
              </w:rPr>
            </w:pPr>
            <w:r>
              <w:rPr>
                <w:rFonts w:hint="eastAsia"/>
                <w:snapToGrid w:val="0"/>
                <w:color w:val="auto"/>
                <w:lang w:bidi="ar"/>
              </w:rPr>
              <w:t>38°23′23.8″</w:t>
            </w:r>
          </w:p>
        </w:tc>
      </w:tr>
      <w:tr w14:paraId="669991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0" w:hRule="atLeast"/>
        </w:trPr>
        <w:tc>
          <w:tcPr>
            <w:tcW w:w="325" w:type="pct"/>
            <w:vAlign w:val="center"/>
          </w:tcPr>
          <w:p w14:paraId="3E7C632E">
            <w:pPr>
              <w:pStyle w:val="94"/>
              <w:rPr>
                <w:color w:val="auto"/>
              </w:rPr>
            </w:pPr>
            <w:r>
              <w:rPr>
                <w:rFonts w:hint="eastAsia"/>
                <w:snapToGrid w:val="0"/>
                <w:color w:val="auto"/>
                <w:lang w:bidi="ar"/>
              </w:rPr>
              <w:t>6</w:t>
            </w:r>
          </w:p>
        </w:tc>
        <w:tc>
          <w:tcPr>
            <w:tcW w:w="325" w:type="pct"/>
            <w:vAlign w:val="center"/>
          </w:tcPr>
          <w:p w14:paraId="44F5B54A">
            <w:pPr>
              <w:pStyle w:val="94"/>
              <w:rPr>
                <w:color w:val="auto"/>
              </w:rPr>
            </w:pPr>
            <w:r>
              <w:rPr>
                <w:rFonts w:hint="eastAsia"/>
                <w:color w:val="auto"/>
              </w:rPr>
              <w:t>瓦塘镇</w:t>
            </w:r>
          </w:p>
        </w:tc>
        <w:tc>
          <w:tcPr>
            <w:tcW w:w="713" w:type="pct"/>
            <w:vAlign w:val="center"/>
          </w:tcPr>
          <w:p w14:paraId="2138A450">
            <w:pPr>
              <w:pStyle w:val="94"/>
              <w:rPr>
                <w:snapToGrid w:val="0"/>
                <w:color w:val="auto"/>
              </w:rPr>
            </w:pPr>
            <w:r>
              <w:rPr>
                <w:rFonts w:hint="eastAsia"/>
                <w:snapToGrid w:val="0"/>
                <w:color w:val="auto"/>
                <w:lang w:bidi="ar"/>
              </w:rPr>
              <w:t>裴氏家族墓地</w:t>
            </w:r>
          </w:p>
        </w:tc>
        <w:tc>
          <w:tcPr>
            <w:tcW w:w="1359" w:type="pct"/>
            <w:vAlign w:val="center"/>
          </w:tcPr>
          <w:p w14:paraId="15044F08">
            <w:pPr>
              <w:pStyle w:val="94"/>
              <w:rPr>
                <w:snapToGrid w:val="0"/>
                <w:color w:val="auto"/>
              </w:rPr>
            </w:pPr>
            <w:r>
              <w:rPr>
                <w:rFonts w:hint="eastAsia"/>
                <w:snapToGrid w:val="0"/>
                <w:color w:val="auto"/>
                <w:lang w:bidi="ar"/>
              </w:rPr>
              <w:t>山西省吕梁市兴县瓦塘镇裴家川口村北约1000 米北山上</w:t>
            </w:r>
          </w:p>
        </w:tc>
        <w:tc>
          <w:tcPr>
            <w:tcW w:w="777" w:type="pct"/>
            <w:vAlign w:val="center"/>
          </w:tcPr>
          <w:p w14:paraId="6158A1B3">
            <w:pPr>
              <w:pStyle w:val="94"/>
              <w:rPr>
                <w:snapToGrid w:val="0"/>
                <w:color w:val="auto"/>
              </w:rPr>
            </w:pPr>
            <w:r>
              <w:rPr>
                <w:rFonts w:hint="eastAsia"/>
                <w:snapToGrid w:val="0"/>
                <w:color w:val="auto"/>
                <w:lang w:bidi="ar"/>
              </w:rPr>
              <w:t>县级文物保护单位</w:t>
            </w:r>
          </w:p>
        </w:tc>
        <w:tc>
          <w:tcPr>
            <w:tcW w:w="605" w:type="pct"/>
            <w:vAlign w:val="center"/>
          </w:tcPr>
          <w:p w14:paraId="204027EC">
            <w:pPr>
              <w:pStyle w:val="94"/>
              <w:rPr>
                <w:snapToGrid w:val="0"/>
                <w:color w:val="auto"/>
              </w:rPr>
            </w:pPr>
            <w:r>
              <w:rPr>
                <w:rFonts w:hint="eastAsia"/>
                <w:snapToGrid w:val="0"/>
                <w:color w:val="auto"/>
                <w:lang w:bidi="ar"/>
              </w:rPr>
              <w:t>110°53′20.2″</w:t>
            </w:r>
          </w:p>
        </w:tc>
        <w:tc>
          <w:tcPr>
            <w:tcW w:w="896" w:type="pct"/>
            <w:vAlign w:val="center"/>
          </w:tcPr>
          <w:p w14:paraId="58483EAE">
            <w:pPr>
              <w:pStyle w:val="94"/>
              <w:rPr>
                <w:snapToGrid w:val="0"/>
                <w:color w:val="auto"/>
              </w:rPr>
            </w:pPr>
            <w:r>
              <w:rPr>
                <w:rFonts w:hint="eastAsia"/>
                <w:snapToGrid w:val="0"/>
                <w:color w:val="auto"/>
                <w:lang w:bidi="ar"/>
              </w:rPr>
              <w:t>38°26′21.4″</w:t>
            </w:r>
          </w:p>
        </w:tc>
      </w:tr>
    </w:tbl>
    <w:p w14:paraId="37DC04D1">
      <w:pPr>
        <w:adjustRightInd w:val="0"/>
        <w:snapToGrid w:val="0"/>
        <w:jc w:val="center"/>
        <w:outlineLvl w:val="0"/>
        <w:rPr>
          <w:rFonts w:ascii="Times New Roman" w:hAnsi="Times New Roman" w:eastAsia="黑体"/>
          <w:szCs w:val="20"/>
        </w:rPr>
        <w:sectPr>
          <w:pgSz w:w="16838" w:h="11906" w:orient="landscape"/>
          <w:pgMar w:top="720" w:right="720" w:bottom="720" w:left="720" w:header="851" w:footer="1077" w:gutter="0"/>
          <w:cols w:space="425" w:num="1"/>
          <w:docGrid w:linePitch="312" w:charSpace="0"/>
        </w:sectPr>
      </w:pPr>
    </w:p>
    <w:p w14:paraId="1FE33B14">
      <w:pPr>
        <w:pStyle w:val="19"/>
        <w:keepNext/>
        <w:jc w:val="left"/>
      </w:pPr>
      <w:r>
        <w:t xml:space="preserve">附件 </w:t>
      </w:r>
      <w:r>
        <w:fldChar w:fldCharType="begin"/>
      </w:r>
      <w:r>
        <w:instrText xml:space="preserve"> SEQ 附件 \* ARABIC </w:instrText>
      </w:r>
      <w:r>
        <w:fldChar w:fldCharType="separate"/>
      </w:r>
      <w:r>
        <w:t>1</w:t>
      </w:r>
      <w:r>
        <w:fldChar w:fldCharType="end"/>
      </w:r>
      <w:r>
        <w:rPr>
          <w:rFonts w:hint="eastAsia"/>
        </w:rPr>
        <w:t>委托书</w:t>
      </w:r>
    </w:p>
    <w:p w14:paraId="6B5E3705">
      <w:pPr>
        <w:widowControl/>
        <w:adjustRightInd w:val="0"/>
        <w:snapToGrid w:val="0"/>
        <w:jc w:val="center"/>
        <w:rPr>
          <w:b/>
        </w:rPr>
      </w:pPr>
      <w:r>
        <w:rPr>
          <w:b/>
          <w14:ligatures w14:val="none"/>
        </w:rPr>
        <w:drawing>
          <wp:inline distT="0" distB="0" distL="0" distR="0">
            <wp:extent cx="5308600" cy="7508875"/>
            <wp:effectExtent l="0" t="0" r="635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308883" cy="7508875"/>
                    </a:xfrm>
                    <a:prstGeom prst="rect">
                      <a:avLst/>
                    </a:prstGeom>
                  </pic:spPr>
                </pic:pic>
              </a:graphicData>
            </a:graphic>
          </wp:inline>
        </w:drawing>
      </w:r>
    </w:p>
    <w:p w14:paraId="3449FF1D">
      <w:pPr>
        <w:widowControl/>
        <w:adjustRightInd w:val="0"/>
        <w:snapToGrid w:val="0"/>
        <w:jc w:val="center"/>
        <w:rPr>
          <w:b/>
        </w:rPr>
        <w:sectPr>
          <w:pgSz w:w="11906" w:h="16838"/>
          <w:pgMar w:top="720" w:right="720" w:bottom="720" w:left="720" w:header="851" w:footer="1077" w:gutter="0"/>
          <w:cols w:space="425" w:num="1"/>
          <w:docGrid w:linePitch="312" w:charSpace="0"/>
        </w:sectPr>
      </w:pPr>
    </w:p>
    <w:p w14:paraId="5A85CA27">
      <w:pPr>
        <w:pStyle w:val="19"/>
        <w:keepNext/>
        <w:jc w:val="left"/>
      </w:pPr>
      <w:r>
        <w:t xml:space="preserve">附件 </w:t>
      </w:r>
      <w:r>
        <w:fldChar w:fldCharType="begin"/>
      </w:r>
      <w:r>
        <w:instrText xml:space="preserve"> SEQ 附件 \* ARABIC </w:instrText>
      </w:r>
      <w:r>
        <w:fldChar w:fldCharType="separate"/>
      </w:r>
      <w:r>
        <w:t>2</w:t>
      </w:r>
      <w:r>
        <w:fldChar w:fldCharType="end"/>
      </w:r>
      <w:r>
        <w:rPr>
          <w:rFonts w:hint="eastAsia"/>
        </w:rPr>
        <w:t>探矿权证</w:t>
      </w:r>
    </w:p>
    <w:p w14:paraId="59A90DA3">
      <w:r>
        <w:rPr>
          <w:b/>
        </w:rPr>
        <w:drawing>
          <wp:inline distT="0" distB="0" distL="0" distR="0">
            <wp:extent cx="8602345" cy="6082030"/>
            <wp:effectExtent l="2858"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rot="16200000">
                      <a:off x="0" y="0"/>
                      <a:ext cx="8602470" cy="6082071"/>
                    </a:xfrm>
                    <a:prstGeom prst="rect">
                      <a:avLst/>
                    </a:prstGeom>
                  </pic:spPr>
                </pic:pic>
              </a:graphicData>
            </a:graphic>
          </wp:inline>
        </w:drawing>
      </w:r>
    </w:p>
    <w:p w14:paraId="457D0D64">
      <w:pPr>
        <w:widowControl/>
        <w:adjustRightInd w:val="0"/>
        <w:snapToGrid w:val="0"/>
        <w:jc w:val="center"/>
        <w:rPr>
          <w:b/>
        </w:rPr>
      </w:pPr>
      <w:r>
        <w:rPr>
          <w:b/>
        </w:rPr>
        <w:drawing>
          <wp:inline distT="0" distB="0" distL="0" distR="0">
            <wp:extent cx="6645275" cy="9399905"/>
            <wp:effectExtent l="0" t="0" r="317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645869" cy="9399905"/>
                    </a:xfrm>
                    <a:prstGeom prst="rect">
                      <a:avLst/>
                    </a:prstGeom>
                  </pic:spPr>
                </pic:pic>
              </a:graphicData>
            </a:graphic>
          </wp:inline>
        </w:drawing>
      </w:r>
    </w:p>
    <w:p w14:paraId="5CFBE868">
      <w:pPr>
        <w:widowControl/>
        <w:adjustRightInd w:val="0"/>
        <w:snapToGrid w:val="0"/>
        <w:jc w:val="center"/>
        <w:rPr>
          <w:b/>
        </w:rPr>
        <w:sectPr>
          <w:pgSz w:w="11906" w:h="16838"/>
          <w:pgMar w:top="720" w:right="720" w:bottom="720" w:left="720" w:header="851" w:footer="1077" w:gutter="0"/>
          <w:cols w:space="425" w:num="1"/>
          <w:docGrid w:linePitch="312" w:charSpace="0"/>
        </w:sectPr>
      </w:pPr>
    </w:p>
    <w:p w14:paraId="6CBDCF4F">
      <w:pPr>
        <w:widowControl/>
        <w:adjustRightInd w:val="0"/>
        <w:snapToGrid w:val="0"/>
        <w:jc w:val="center"/>
        <w:rPr>
          <w:b/>
        </w:rPr>
      </w:pPr>
    </w:p>
    <w:p w14:paraId="48C7051B">
      <w:pPr>
        <w:widowControl/>
        <w:adjustRightInd w:val="0"/>
        <w:snapToGrid w:val="0"/>
        <w:jc w:val="center"/>
        <w:rPr>
          <w:snapToGrid w:val="0"/>
          <w:w w:val="0"/>
          <w:kern w:val="0"/>
          <w:sz w:val="0"/>
          <w:szCs w:val="0"/>
          <w:u w:color="000000"/>
          <w:shd w:val="clear" w:color="000000" w:fill="000000"/>
          <w:lang w:val="zh-CN" w:bidi="zh-CN"/>
        </w:rPr>
      </w:pPr>
      <w:r>
        <w:rPr>
          <w:rFonts w:eastAsia="Times New Roman"/>
          <w:snapToGrid w:val="0"/>
          <w:w w:val="0"/>
          <w:kern w:val="0"/>
          <w:sz w:val="0"/>
          <w:szCs w:val="0"/>
          <w:u w:color="000000"/>
          <w:shd w:val="clear" w:color="000000" w:fill="000000"/>
          <w:lang w:val="zh-CN" w:bidi="zh-CN"/>
        </w:rPr>
        <w:t xml:space="preserve">        </w:t>
      </w:r>
    </w:p>
    <w:p w14:paraId="161BBCF2">
      <w:pPr>
        <w:widowControl/>
        <w:adjustRightInd w:val="0"/>
        <w:snapToGrid w:val="0"/>
        <w:jc w:val="center"/>
        <w:rPr>
          <w:snapToGrid w:val="0"/>
          <w:w w:val="0"/>
          <w:kern w:val="0"/>
          <w:sz w:val="0"/>
          <w:szCs w:val="0"/>
          <w:u w:color="000000"/>
          <w:shd w:val="clear" w:color="000000" w:fill="000000"/>
          <w:lang w:val="zh-CN" w:bidi="zh-CN"/>
        </w:rPr>
      </w:pPr>
    </w:p>
    <w:p w14:paraId="412C451D">
      <w:pPr>
        <w:widowControl/>
        <w:adjustRightInd w:val="0"/>
        <w:snapToGrid w:val="0"/>
        <w:jc w:val="center"/>
        <w:rPr>
          <w:snapToGrid w:val="0"/>
          <w:w w:val="0"/>
          <w:kern w:val="0"/>
          <w:sz w:val="0"/>
          <w:szCs w:val="0"/>
          <w:u w:color="000000"/>
          <w:shd w:val="clear" w:color="000000" w:fill="000000"/>
          <w:lang w:val="zh-CN" w:bidi="zh-CN"/>
        </w:rPr>
      </w:pPr>
    </w:p>
    <w:p w14:paraId="5A644206">
      <w:pPr>
        <w:widowControl/>
        <w:adjustRightInd w:val="0"/>
        <w:snapToGrid w:val="0"/>
        <w:jc w:val="center"/>
        <w:rPr>
          <w:snapToGrid w:val="0"/>
          <w:w w:val="0"/>
          <w:kern w:val="0"/>
          <w:sz w:val="0"/>
          <w:szCs w:val="0"/>
          <w:u w:color="000000"/>
          <w:shd w:val="clear" w:color="000000" w:fill="000000"/>
          <w:lang w:val="zh-CN" w:bidi="zh-CN"/>
        </w:rPr>
      </w:pPr>
    </w:p>
    <w:p w14:paraId="5345CDE0">
      <w:pPr>
        <w:widowControl/>
        <w:adjustRightInd w:val="0"/>
        <w:snapToGrid w:val="0"/>
        <w:jc w:val="center"/>
        <w:rPr>
          <w:snapToGrid w:val="0"/>
          <w:w w:val="0"/>
          <w:kern w:val="0"/>
          <w:sz w:val="0"/>
          <w:szCs w:val="0"/>
          <w:u w:color="000000"/>
          <w:shd w:val="clear" w:color="000000" w:fill="000000"/>
          <w:lang w:val="zh-CN" w:bidi="zh-CN"/>
        </w:rPr>
      </w:pPr>
    </w:p>
    <w:p w14:paraId="37F7E138">
      <w:pPr>
        <w:widowControl/>
        <w:adjustRightInd w:val="0"/>
        <w:snapToGrid w:val="0"/>
        <w:jc w:val="center"/>
        <w:rPr>
          <w:snapToGrid w:val="0"/>
          <w:w w:val="0"/>
          <w:kern w:val="0"/>
          <w:sz w:val="0"/>
          <w:szCs w:val="0"/>
          <w:u w:color="000000"/>
          <w:shd w:val="clear" w:color="000000" w:fill="000000"/>
          <w:lang w:val="zh-CN" w:bidi="zh-CN"/>
        </w:rPr>
      </w:pPr>
    </w:p>
    <w:p w14:paraId="3B87E8D3">
      <w:pPr>
        <w:pStyle w:val="19"/>
        <w:keepNext/>
        <w:jc w:val="left"/>
        <w:rPr>
          <w:sz w:val="21"/>
          <w:szCs w:val="16"/>
        </w:rPr>
      </w:pPr>
      <w:r>
        <w:t xml:space="preserve">附件 </w:t>
      </w:r>
      <w:r>
        <w:fldChar w:fldCharType="begin"/>
      </w:r>
      <w:r>
        <w:instrText xml:space="preserve"> SEQ 附件 \* ARABIC </w:instrText>
      </w:r>
      <w:r>
        <w:fldChar w:fldCharType="separate"/>
      </w:r>
      <w:r>
        <w:t>3</w:t>
      </w:r>
      <w:r>
        <w:fldChar w:fldCharType="end"/>
      </w:r>
      <w:r>
        <w:rPr>
          <w:rFonts w:hint="eastAsia"/>
          <w:sz w:val="21"/>
          <w:szCs w:val="16"/>
        </w:rPr>
        <w:t>吕梁市生态环境局兴县分局关于对山西临兴东区块煤层气勘查项目范围与饮用水源地保护区重叠核查情况的复函</w:t>
      </w:r>
    </w:p>
    <w:p w14:paraId="67FBCB6E">
      <w:pPr>
        <w:widowControl/>
        <w:adjustRightInd w:val="0"/>
        <w:snapToGrid w:val="0"/>
        <w:jc w:val="center"/>
        <w:rPr>
          <w:rFonts w:eastAsia="Times New Roman"/>
          <w:snapToGrid w:val="0"/>
          <w:w w:val="0"/>
          <w:kern w:val="0"/>
          <w:sz w:val="0"/>
          <w:szCs w:val="0"/>
          <w:u w:color="000000"/>
          <w:shd w:val="clear" w:color="000000" w:fill="000000"/>
          <w:lang w:val="zh-CN" w:bidi="zh-CN"/>
        </w:rPr>
      </w:pPr>
      <w:r>
        <w:rPr>
          <w:b/>
        </w:rPr>
        <w:drawing>
          <wp:inline distT="0" distB="0" distL="0" distR="0">
            <wp:extent cx="5928995" cy="838962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29475" cy="8390226"/>
                    </a:xfrm>
                    <a:prstGeom prst="rect">
                      <a:avLst/>
                    </a:prstGeom>
                    <a:noFill/>
                    <a:ln>
                      <a:noFill/>
                    </a:ln>
                  </pic:spPr>
                </pic:pic>
              </a:graphicData>
            </a:graphic>
          </wp:inline>
        </w:drawing>
      </w:r>
      <w:r>
        <w:rPr>
          <w:rFonts w:eastAsia="Times New Roman"/>
          <w:snapToGrid w:val="0"/>
          <w:w w:val="0"/>
          <w:kern w:val="0"/>
          <w:sz w:val="0"/>
          <w:szCs w:val="0"/>
          <w:u w:color="000000"/>
          <w:shd w:val="clear" w:color="000000" w:fill="000000"/>
          <w:lang w:val="zh-CN" w:bidi="zh-CN"/>
        </w:rPr>
        <w:t xml:space="preserve"> </w:t>
      </w:r>
    </w:p>
    <w:p w14:paraId="661AD41E">
      <w:pPr>
        <w:widowControl/>
        <w:adjustRightInd w:val="0"/>
        <w:snapToGrid w:val="0"/>
        <w:jc w:val="center"/>
        <w:rPr>
          <w:snapToGrid w:val="0"/>
          <w:w w:val="0"/>
          <w:kern w:val="0"/>
          <w:sz w:val="0"/>
          <w:szCs w:val="0"/>
          <w:u w:color="000000"/>
          <w:shd w:val="clear" w:color="000000" w:fill="000000"/>
          <w:lang w:val="zh-CN" w:bidi="zh-CN"/>
        </w:rPr>
        <w:sectPr>
          <w:pgSz w:w="11906" w:h="16838"/>
          <w:pgMar w:top="720" w:right="720" w:bottom="720" w:left="720" w:header="851" w:footer="1077" w:gutter="0"/>
          <w:cols w:space="425" w:num="1"/>
          <w:docGrid w:linePitch="312" w:charSpace="0"/>
        </w:sectPr>
      </w:pPr>
      <w:r>
        <w:rPr>
          <w:rFonts w:eastAsia="Times New Roman"/>
          <w:snapToGrid w:val="0"/>
          <w:w w:val="0"/>
          <w:kern w:val="0"/>
          <w:sz w:val="0"/>
          <w:szCs w:val="0"/>
          <w:u w:color="000000"/>
          <w:shd w:val="clear" w:color="000000" w:fill="000000"/>
          <w:lang w:val="zh-CN" w:bidi="zh-CN"/>
        </w:rPr>
        <w:t xml:space="preserve">       </w:t>
      </w:r>
    </w:p>
    <w:p w14:paraId="4FC619D7">
      <w:pPr>
        <w:widowControl/>
        <w:adjustRightInd w:val="0"/>
        <w:snapToGrid w:val="0"/>
        <w:jc w:val="center"/>
        <w:rPr>
          <w:b/>
        </w:rPr>
      </w:pPr>
      <w:r>
        <w:rPr>
          <w:b/>
        </w:rPr>
        <w:drawing>
          <wp:inline distT="0" distB="0" distL="0" distR="0">
            <wp:extent cx="6638925" cy="9393555"/>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638961" cy="9394151"/>
                    </a:xfrm>
                    <a:prstGeom prst="rect">
                      <a:avLst/>
                    </a:prstGeom>
                    <a:noFill/>
                    <a:ln>
                      <a:noFill/>
                    </a:ln>
                  </pic:spPr>
                </pic:pic>
              </a:graphicData>
            </a:graphic>
          </wp:inline>
        </w:drawing>
      </w:r>
    </w:p>
    <w:p w14:paraId="7DDA2BA9">
      <w:pPr>
        <w:pStyle w:val="19"/>
        <w:keepNext/>
        <w:jc w:val="left"/>
      </w:pPr>
      <w:r>
        <w:t xml:space="preserve">附件 </w:t>
      </w:r>
      <w:r>
        <w:fldChar w:fldCharType="begin"/>
      </w:r>
      <w:r>
        <w:instrText xml:space="preserve"> SEQ 附件 \* ARABIC </w:instrText>
      </w:r>
      <w:r>
        <w:fldChar w:fldCharType="separate"/>
      </w:r>
      <w:r>
        <w:t>4</w:t>
      </w:r>
      <w:r>
        <w:fldChar w:fldCharType="end"/>
      </w:r>
      <w:r>
        <w:rPr>
          <w:rFonts w:hint="eastAsia"/>
        </w:rPr>
        <w:t>兴县林业局关于临兴东区块煤层气勘查项目用地范围与各类保护区范围重叠情况的复函</w:t>
      </w:r>
    </w:p>
    <w:p w14:paraId="35C9FB70">
      <w:pPr>
        <w:widowControl/>
        <w:adjustRightInd w:val="0"/>
        <w:snapToGrid w:val="0"/>
        <w:jc w:val="center"/>
        <w:rPr>
          <w:b/>
        </w:rPr>
      </w:pPr>
      <w:r>
        <w:rPr>
          <w:b/>
        </w:rPr>
        <w:drawing>
          <wp:inline distT="0" distB="0" distL="0" distR="0">
            <wp:extent cx="5923280" cy="8382000"/>
            <wp:effectExtent l="0" t="0" r="127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23662" cy="8382000"/>
                    </a:xfrm>
                    <a:prstGeom prst="rect">
                      <a:avLst/>
                    </a:prstGeom>
                    <a:noFill/>
                    <a:ln>
                      <a:noFill/>
                    </a:ln>
                  </pic:spPr>
                </pic:pic>
              </a:graphicData>
            </a:graphic>
          </wp:inline>
        </w:drawing>
      </w:r>
    </w:p>
    <w:p w14:paraId="20BFDA12">
      <w:pPr>
        <w:widowControl/>
        <w:adjustRightInd w:val="0"/>
        <w:snapToGrid w:val="0"/>
        <w:jc w:val="center"/>
        <w:rPr>
          <w:b/>
        </w:rPr>
      </w:pPr>
    </w:p>
    <w:p w14:paraId="604A8D81">
      <w:pPr>
        <w:widowControl/>
        <w:adjustRightInd w:val="0"/>
        <w:snapToGrid w:val="0"/>
        <w:jc w:val="center"/>
        <w:rPr>
          <w:b/>
        </w:rPr>
        <w:sectPr>
          <w:pgSz w:w="11906" w:h="16838"/>
          <w:pgMar w:top="720" w:right="720" w:bottom="720" w:left="720" w:header="851" w:footer="1077" w:gutter="0"/>
          <w:cols w:space="425" w:num="1"/>
          <w:docGrid w:linePitch="312" w:charSpace="0"/>
        </w:sectPr>
      </w:pPr>
    </w:p>
    <w:p w14:paraId="3C34E268">
      <w:pPr>
        <w:pStyle w:val="19"/>
        <w:keepNext/>
        <w:rPr>
          <w:sz w:val="16"/>
          <w:szCs w:val="11"/>
        </w:rPr>
      </w:pPr>
      <w:r>
        <w:t xml:space="preserve">附件 </w:t>
      </w:r>
      <w:r>
        <w:fldChar w:fldCharType="begin"/>
      </w:r>
      <w:r>
        <w:instrText xml:space="preserve"> SEQ 附件 \* ARABIC </w:instrText>
      </w:r>
      <w:r>
        <w:fldChar w:fldCharType="separate"/>
      </w:r>
      <w:r>
        <w:t>5</w:t>
      </w:r>
      <w:r>
        <w:fldChar w:fldCharType="end"/>
      </w:r>
      <w:r>
        <w:rPr>
          <w:rFonts w:hint="eastAsia"/>
          <w:sz w:val="16"/>
          <w:szCs w:val="11"/>
        </w:rPr>
        <w:t>兴县水利局关于对兴县自然资源局《关于对临兴东区块煤层气勘查项目范围内涉及各类保护地核查工作的函》的复函</w:t>
      </w:r>
    </w:p>
    <w:p w14:paraId="53DE826D">
      <w:pPr>
        <w:widowControl/>
        <w:adjustRightInd w:val="0"/>
        <w:snapToGrid w:val="0"/>
        <w:jc w:val="center"/>
        <w:rPr>
          <w:rFonts w:eastAsia="Times New Roman"/>
          <w:snapToGrid w:val="0"/>
          <w:w w:val="0"/>
          <w:kern w:val="0"/>
          <w:sz w:val="0"/>
          <w:szCs w:val="0"/>
          <w:u w:color="000000"/>
          <w:shd w:val="clear" w:color="000000" w:fill="000000"/>
          <w:lang w:val="zh-CN" w:bidi="zh-CN"/>
        </w:rPr>
      </w:pPr>
      <w:r>
        <w:rPr>
          <w:b/>
        </w:rPr>
        <w:drawing>
          <wp:inline distT="0" distB="0" distL="0" distR="0">
            <wp:extent cx="5951220" cy="842137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51784" cy="8421793"/>
                    </a:xfrm>
                    <a:prstGeom prst="rect">
                      <a:avLst/>
                    </a:prstGeom>
                    <a:noFill/>
                    <a:ln>
                      <a:noFill/>
                    </a:ln>
                  </pic:spPr>
                </pic:pic>
              </a:graphicData>
            </a:graphic>
          </wp:inline>
        </w:drawing>
      </w:r>
      <w:r>
        <w:rPr>
          <w:rFonts w:eastAsia="Times New Roman"/>
          <w:snapToGrid w:val="0"/>
          <w:w w:val="0"/>
          <w:kern w:val="0"/>
          <w:sz w:val="0"/>
          <w:szCs w:val="0"/>
          <w:u w:color="000000"/>
          <w:shd w:val="clear" w:color="000000" w:fill="000000"/>
          <w:lang w:val="zh-CN" w:bidi="zh-CN"/>
        </w:rPr>
        <w:t xml:space="preserve"> </w:t>
      </w:r>
    </w:p>
    <w:p w14:paraId="1A3E76DA">
      <w:pPr>
        <w:widowControl/>
        <w:adjustRightInd w:val="0"/>
        <w:snapToGrid w:val="0"/>
        <w:jc w:val="center"/>
        <w:rPr>
          <w:b/>
        </w:rPr>
      </w:pPr>
      <w:r>
        <w:rPr>
          <w:b/>
        </w:rPr>
        <w:drawing>
          <wp:inline distT="0" distB="0" distL="0" distR="0">
            <wp:extent cx="6638925" cy="9393555"/>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638961" cy="9394151"/>
                    </a:xfrm>
                    <a:prstGeom prst="rect">
                      <a:avLst/>
                    </a:prstGeom>
                    <a:noFill/>
                    <a:ln>
                      <a:noFill/>
                    </a:ln>
                  </pic:spPr>
                </pic:pic>
              </a:graphicData>
            </a:graphic>
          </wp:inline>
        </w:drawing>
      </w:r>
    </w:p>
    <w:p w14:paraId="69624835">
      <w:pPr>
        <w:pStyle w:val="19"/>
        <w:keepNext/>
        <w:rPr>
          <w:sz w:val="22"/>
          <w:szCs w:val="18"/>
        </w:rPr>
      </w:pPr>
      <w:r>
        <w:t xml:space="preserve">附件 </w:t>
      </w:r>
      <w:r>
        <w:fldChar w:fldCharType="begin"/>
      </w:r>
      <w:r>
        <w:instrText xml:space="preserve"> SEQ 附件 \* ARABIC </w:instrText>
      </w:r>
      <w:r>
        <w:fldChar w:fldCharType="separate"/>
      </w:r>
      <w:r>
        <w:t>6</w:t>
      </w:r>
      <w:r>
        <w:fldChar w:fldCharType="end"/>
      </w:r>
      <w:r>
        <w:rPr>
          <w:rFonts w:hint="eastAsia"/>
          <w:sz w:val="22"/>
          <w:szCs w:val="18"/>
        </w:rPr>
        <w:t>兴县自然资源局关于对山西临兴东区块煤层气勘查项目范围与地质遗迹保护范围重叠情况的函</w:t>
      </w:r>
    </w:p>
    <w:p w14:paraId="7A79103D">
      <w:pPr>
        <w:widowControl/>
        <w:adjustRightInd w:val="0"/>
        <w:snapToGrid w:val="0"/>
        <w:jc w:val="center"/>
        <w:rPr>
          <w:b/>
        </w:rPr>
      </w:pPr>
      <w:r>
        <w:rPr>
          <w:b/>
        </w:rPr>
        <w:drawing>
          <wp:inline distT="0" distB="0" distL="0" distR="0">
            <wp:extent cx="5967095" cy="8443595"/>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67245" cy="8443670"/>
                    </a:xfrm>
                    <a:prstGeom prst="rect">
                      <a:avLst/>
                    </a:prstGeom>
                    <a:noFill/>
                    <a:ln>
                      <a:noFill/>
                    </a:ln>
                  </pic:spPr>
                </pic:pic>
              </a:graphicData>
            </a:graphic>
          </wp:inline>
        </w:drawing>
      </w:r>
    </w:p>
    <w:p w14:paraId="1170DF16">
      <w:pPr>
        <w:widowControl/>
        <w:adjustRightInd w:val="0"/>
        <w:snapToGrid w:val="0"/>
        <w:jc w:val="center"/>
        <w:rPr>
          <w:b/>
        </w:rPr>
      </w:pPr>
      <w:r>
        <w:rPr>
          <w:b/>
        </w:rPr>
        <w:drawing>
          <wp:inline distT="0" distB="0" distL="0" distR="0">
            <wp:extent cx="6638925" cy="9393555"/>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638961" cy="9394151"/>
                    </a:xfrm>
                    <a:prstGeom prst="rect">
                      <a:avLst/>
                    </a:prstGeom>
                    <a:noFill/>
                    <a:ln>
                      <a:noFill/>
                    </a:ln>
                  </pic:spPr>
                </pic:pic>
              </a:graphicData>
            </a:graphic>
          </wp:inline>
        </w:drawing>
      </w:r>
      <w:r>
        <w:rPr>
          <w:rFonts w:eastAsia="Times New Roman"/>
          <w:snapToGrid w:val="0"/>
          <w:w w:val="0"/>
          <w:kern w:val="0"/>
          <w:sz w:val="0"/>
          <w:szCs w:val="0"/>
          <w:u w:color="000000"/>
          <w:shd w:val="clear" w:color="000000" w:fill="000000"/>
          <w:lang w:val="zh-CN" w:bidi="zh-CN"/>
        </w:rPr>
        <w:t xml:space="preserve"> </w:t>
      </w:r>
      <w:r>
        <w:rPr>
          <w:b/>
        </w:rPr>
        <w:drawing>
          <wp:inline distT="0" distB="0" distL="0" distR="0">
            <wp:extent cx="6400800" cy="9057640"/>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414687" cy="9076803"/>
                    </a:xfrm>
                    <a:prstGeom prst="rect">
                      <a:avLst/>
                    </a:prstGeom>
                    <a:noFill/>
                    <a:ln>
                      <a:noFill/>
                    </a:ln>
                  </pic:spPr>
                </pic:pic>
              </a:graphicData>
            </a:graphic>
          </wp:inline>
        </w:drawing>
      </w:r>
      <w:r>
        <w:rPr>
          <w:rFonts w:eastAsia="Times New Roman"/>
          <w:snapToGrid w:val="0"/>
          <w:w w:val="0"/>
          <w:kern w:val="0"/>
          <w:sz w:val="0"/>
          <w:szCs w:val="0"/>
          <w:u w:color="000000"/>
          <w:shd w:val="clear" w:color="000000" w:fill="000000"/>
          <w:lang w:val="zh-CN" w:bidi="zh-CN"/>
        </w:rPr>
        <w:t xml:space="preserve">   </w:t>
      </w:r>
    </w:p>
    <w:p w14:paraId="322B0A43">
      <w:pPr>
        <w:pStyle w:val="19"/>
        <w:keepNext/>
      </w:pPr>
      <w:r>
        <w:t xml:space="preserve">附件 </w:t>
      </w:r>
      <w:r>
        <w:fldChar w:fldCharType="begin"/>
      </w:r>
      <w:r>
        <w:instrText xml:space="preserve"> SEQ 附件 \* ARABIC </w:instrText>
      </w:r>
      <w:r>
        <w:fldChar w:fldCharType="separate"/>
      </w:r>
      <w:r>
        <w:t>7</w:t>
      </w:r>
      <w:r>
        <w:fldChar w:fldCharType="end"/>
      </w:r>
      <w:r>
        <w:rPr>
          <w:rFonts w:hint="eastAsia"/>
        </w:rPr>
        <w:t>兴县文物局关于对临兴东区块煤层气勘查项目范围内涉及各类保护地核查工作的复函</w:t>
      </w:r>
    </w:p>
    <w:p w14:paraId="383579D1">
      <w:pPr>
        <w:widowControl/>
        <w:adjustRightInd w:val="0"/>
        <w:snapToGrid w:val="0"/>
        <w:jc w:val="center"/>
        <w:rPr>
          <w:b/>
        </w:rPr>
      </w:pPr>
      <w:r>
        <w:rPr>
          <w:b/>
        </w:rPr>
        <w:drawing>
          <wp:inline distT="0" distB="0" distL="0" distR="0">
            <wp:extent cx="5833745" cy="8255000"/>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834125" cy="8255305"/>
                    </a:xfrm>
                    <a:prstGeom prst="rect">
                      <a:avLst/>
                    </a:prstGeom>
                    <a:noFill/>
                    <a:ln>
                      <a:noFill/>
                    </a:ln>
                  </pic:spPr>
                </pic:pic>
              </a:graphicData>
            </a:graphic>
          </wp:inline>
        </w:drawing>
      </w:r>
    </w:p>
    <w:p w14:paraId="0C542216">
      <w:pPr>
        <w:widowControl/>
        <w:adjustRightInd w:val="0"/>
        <w:snapToGrid w:val="0"/>
        <w:jc w:val="center"/>
        <w:rPr>
          <w:b/>
        </w:rPr>
      </w:pPr>
      <w:r>
        <w:rPr>
          <w:rFonts w:hint="eastAsia"/>
          <w:b/>
          <w14:ligatures w14:val="none"/>
        </w:rPr>
        <w:drawing>
          <wp:inline distT="0" distB="0" distL="0" distR="0">
            <wp:extent cx="6645910" cy="9403715"/>
            <wp:effectExtent l="0" t="0" r="2540" b="6985"/>
            <wp:docPr id="9035375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37506" name="图片 1"/>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645910" cy="9403715"/>
                    </a:xfrm>
                    <a:prstGeom prst="rect">
                      <a:avLst/>
                    </a:prstGeom>
                  </pic:spPr>
                </pic:pic>
              </a:graphicData>
            </a:graphic>
          </wp:inline>
        </w:drawing>
      </w:r>
      <w:r>
        <w:rPr>
          <w:rFonts w:hint="eastAsia"/>
          <w:b/>
          <w14:ligatures w14:val="none"/>
        </w:rPr>
        <w:drawing>
          <wp:inline distT="0" distB="0" distL="0" distR="0">
            <wp:extent cx="6645910" cy="9403715"/>
            <wp:effectExtent l="0" t="0" r="2540" b="6985"/>
            <wp:docPr id="4326483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648375" name="图片 2"/>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645910" cy="9403715"/>
                    </a:xfrm>
                    <a:prstGeom prst="rect">
                      <a:avLst/>
                    </a:prstGeom>
                  </pic:spPr>
                </pic:pic>
              </a:graphicData>
            </a:graphic>
          </wp:inline>
        </w:drawing>
      </w:r>
      <w:r>
        <w:rPr>
          <w:rFonts w:hint="eastAsia"/>
          <w:b/>
          <w14:ligatures w14:val="none"/>
        </w:rPr>
        <w:drawing>
          <wp:inline distT="0" distB="0" distL="0" distR="0">
            <wp:extent cx="6645910" cy="9403715"/>
            <wp:effectExtent l="0" t="0" r="2540" b="6985"/>
            <wp:docPr id="19391448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144863" name="图片 3"/>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645910" cy="9403715"/>
                    </a:xfrm>
                    <a:prstGeom prst="rect">
                      <a:avLst/>
                    </a:prstGeom>
                  </pic:spPr>
                </pic:pic>
              </a:graphicData>
            </a:graphic>
          </wp:inline>
        </w:drawing>
      </w:r>
      <w:r>
        <w:rPr>
          <w:rFonts w:hint="eastAsia"/>
          <w:b/>
          <w14:ligatures w14:val="none"/>
        </w:rPr>
        <w:drawing>
          <wp:inline distT="0" distB="0" distL="0" distR="0">
            <wp:extent cx="6645910" cy="9403715"/>
            <wp:effectExtent l="0" t="0" r="2540" b="6985"/>
            <wp:docPr id="16342975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297528" name="图片 4"/>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645910" cy="9403715"/>
                    </a:xfrm>
                    <a:prstGeom prst="rect">
                      <a:avLst/>
                    </a:prstGeom>
                  </pic:spPr>
                </pic:pic>
              </a:graphicData>
            </a:graphic>
          </wp:inline>
        </w:drawing>
      </w:r>
      <w:r>
        <w:rPr>
          <w:rFonts w:hint="eastAsia"/>
          <w:b/>
          <w14:ligatures w14:val="none"/>
        </w:rPr>
        <w:drawing>
          <wp:inline distT="0" distB="0" distL="0" distR="0">
            <wp:extent cx="6645910" cy="9403715"/>
            <wp:effectExtent l="0" t="0" r="2540" b="6985"/>
            <wp:docPr id="1826168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16845" name="图片 5"/>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645910" cy="9403715"/>
                    </a:xfrm>
                    <a:prstGeom prst="rect">
                      <a:avLst/>
                    </a:prstGeom>
                  </pic:spPr>
                </pic:pic>
              </a:graphicData>
            </a:graphic>
          </wp:inline>
        </w:drawing>
      </w:r>
      <w:r>
        <w:rPr>
          <w:rFonts w:hint="eastAsia"/>
          <w:b/>
          <w14:ligatures w14:val="none"/>
        </w:rPr>
        <w:drawing>
          <wp:inline distT="0" distB="0" distL="0" distR="0">
            <wp:extent cx="6645910" cy="9403715"/>
            <wp:effectExtent l="0" t="0" r="2540" b="6985"/>
            <wp:docPr id="17291307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130712" name="图片 6"/>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645910" cy="9403715"/>
                    </a:xfrm>
                    <a:prstGeom prst="rect">
                      <a:avLst/>
                    </a:prstGeom>
                  </pic:spPr>
                </pic:pic>
              </a:graphicData>
            </a:graphic>
          </wp:inline>
        </w:drawing>
      </w:r>
      <w:r>
        <w:rPr>
          <w:rFonts w:hint="eastAsia"/>
          <w:b/>
          <w14:ligatures w14:val="none"/>
        </w:rPr>
        <w:drawing>
          <wp:inline distT="0" distB="0" distL="0" distR="0">
            <wp:extent cx="6645910" cy="9403715"/>
            <wp:effectExtent l="0" t="0" r="2540" b="6985"/>
            <wp:docPr id="4196150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615017" name="图片 7"/>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645910" cy="9403715"/>
                    </a:xfrm>
                    <a:prstGeom prst="rect">
                      <a:avLst/>
                    </a:prstGeom>
                  </pic:spPr>
                </pic:pic>
              </a:graphicData>
            </a:graphic>
          </wp:inline>
        </w:drawing>
      </w:r>
    </w:p>
    <w:p w14:paraId="75691ED6">
      <w:pPr>
        <w:pStyle w:val="19"/>
        <w:keepNext/>
        <w:jc w:val="left"/>
      </w:pPr>
      <w:r>
        <w:t xml:space="preserve">附件 </w:t>
      </w:r>
      <w:r>
        <w:fldChar w:fldCharType="begin"/>
      </w:r>
      <w:r>
        <w:instrText xml:space="preserve"> SEQ 附件 \* ARABIC </w:instrText>
      </w:r>
      <w:r>
        <w:fldChar w:fldCharType="separate"/>
      </w:r>
      <w:r>
        <w:t>8</w:t>
      </w:r>
      <w:r>
        <w:fldChar w:fldCharType="end"/>
      </w:r>
      <w:r>
        <w:rPr>
          <w:rFonts w:hint="eastAsia"/>
        </w:rPr>
        <w:t>兴县自然资源局关于山西省临兴东区块煤层气勘查项目范围与城镇开发边界、永久基本农田、生态保护红线重叠情况的核查意见</w:t>
      </w:r>
    </w:p>
    <w:p w14:paraId="7EBB4785">
      <w:pPr>
        <w:widowControl/>
        <w:adjustRightInd w:val="0"/>
        <w:snapToGrid w:val="0"/>
        <w:jc w:val="center"/>
        <w:rPr>
          <w:b/>
        </w:rPr>
      </w:pPr>
      <w:r>
        <w:rPr>
          <w:rFonts w:hint="eastAsia"/>
          <w:b/>
          <w14:ligatures w14:val="none"/>
        </w:rPr>
        <w:drawing>
          <wp:inline distT="0" distB="0" distL="0" distR="0">
            <wp:extent cx="6007100" cy="8500110"/>
            <wp:effectExtent l="0" t="0" r="0" b="0"/>
            <wp:docPr id="1303332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33238" name="图片 8"/>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011238" cy="8505678"/>
                    </a:xfrm>
                    <a:prstGeom prst="rect">
                      <a:avLst/>
                    </a:prstGeom>
                  </pic:spPr>
                </pic:pic>
              </a:graphicData>
            </a:graphic>
          </wp:inline>
        </w:drawing>
      </w:r>
    </w:p>
    <w:p w14:paraId="3858E097">
      <w:pPr>
        <w:widowControl/>
        <w:adjustRightInd w:val="0"/>
        <w:snapToGrid w:val="0"/>
        <w:jc w:val="center"/>
        <w:rPr>
          <w:b/>
        </w:rPr>
      </w:pPr>
      <w:r>
        <w:rPr>
          <w:rFonts w:hint="eastAsia"/>
          <w:b/>
          <w14:ligatures w14:val="none"/>
        </w:rPr>
        <w:drawing>
          <wp:inline distT="0" distB="0" distL="0" distR="0">
            <wp:extent cx="6645910" cy="9403715"/>
            <wp:effectExtent l="0" t="0" r="2540" b="6985"/>
            <wp:docPr id="12594454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445424" name="图片 9"/>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645910" cy="9403715"/>
                    </a:xfrm>
                    <a:prstGeom prst="rect">
                      <a:avLst/>
                    </a:prstGeom>
                  </pic:spPr>
                </pic:pic>
              </a:graphicData>
            </a:graphic>
          </wp:inline>
        </w:drawing>
      </w:r>
    </w:p>
    <w:p w14:paraId="47FA6A83">
      <w:pPr>
        <w:widowControl/>
        <w:adjustRightInd w:val="0"/>
        <w:snapToGrid w:val="0"/>
        <w:jc w:val="center"/>
        <w:rPr>
          <w:b/>
        </w:rPr>
      </w:pPr>
      <w:r>
        <w:rPr>
          <w:rFonts w:hint="eastAsia"/>
          <w:b/>
          <w14:ligatures w14:val="none"/>
        </w:rPr>
        <w:drawing>
          <wp:inline distT="0" distB="0" distL="0" distR="0">
            <wp:extent cx="6645910" cy="9403715"/>
            <wp:effectExtent l="0" t="0" r="2540" b="6985"/>
            <wp:docPr id="20836582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658218" name="图片 10"/>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645910" cy="9403715"/>
                    </a:xfrm>
                    <a:prstGeom prst="rect">
                      <a:avLst/>
                    </a:prstGeom>
                  </pic:spPr>
                </pic:pic>
              </a:graphicData>
            </a:graphic>
          </wp:inline>
        </w:drawing>
      </w:r>
    </w:p>
    <w:p w14:paraId="02D32185">
      <w:pPr>
        <w:pStyle w:val="19"/>
        <w:keepNext/>
        <w:jc w:val="left"/>
      </w:pPr>
      <w:r>
        <w:t xml:space="preserve">附件 </w:t>
      </w:r>
      <w:r>
        <w:fldChar w:fldCharType="begin"/>
      </w:r>
      <w:r>
        <w:instrText xml:space="preserve"> SEQ 附件 \* ARABIC </w:instrText>
      </w:r>
      <w:r>
        <w:fldChar w:fldCharType="separate"/>
      </w:r>
      <w:r>
        <w:t>9</w:t>
      </w:r>
      <w:r>
        <w:fldChar w:fldCharType="end"/>
      </w:r>
      <w:r>
        <w:rPr>
          <w:rFonts w:hint="eastAsia"/>
        </w:rPr>
        <w:t>专家评审意见</w:t>
      </w:r>
    </w:p>
    <w:p w14:paraId="3BF0B52A">
      <w:pPr>
        <w:widowControl/>
        <w:adjustRightInd w:val="0"/>
        <w:snapToGrid w:val="0"/>
        <w:jc w:val="center"/>
        <w:rPr>
          <w:b/>
        </w:rPr>
      </w:pPr>
      <w:r>
        <w:rPr>
          <w:rFonts w:hint="eastAsia"/>
          <w:b/>
          <w14:ligatures w14:val="none"/>
        </w:rPr>
        <w:drawing>
          <wp:inline distT="0" distB="0" distL="0" distR="0">
            <wp:extent cx="5977890" cy="8458200"/>
            <wp:effectExtent l="0" t="0" r="3810" b="0"/>
            <wp:docPr id="74053577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535776" name="图片 4"/>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83255" cy="8465509"/>
                    </a:xfrm>
                    <a:prstGeom prst="rect">
                      <a:avLst/>
                    </a:prstGeom>
                  </pic:spPr>
                </pic:pic>
              </a:graphicData>
            </a:graphic>
          </wp:inline>
        </w:drawing>
      </w:r>
    </w:p>
    <w:p w14:paraId="095042B3">
      <w:pPr>
        <w:widowControl/>
        <w:adjustRightInd w:val="0"/>
        <w:snapToGrid w:val="0"/>
        <w:jc w:val="center"/>
        <w:rPr>
          <w:b/>
        </w:rPr>
      </w:pPr>
    </w:p>
    <w:p w14:paraId="09A0705F">
      <w:pPr>
        <w:widowControl/>
        <w:adjustRightInd w:val="0"/>
        <w:snapToGrid w:val="0"/>
        <w:jc w:val="center"/>
        <w:rPr>
          <w:b/>
        </w:rPr>
      </w:pPr>
      <w:r>
        <w:rPr>
          <w:rFonts w:hint="eastAsia"/>
          <w:b/>
          <w14:ligatures w14:val="none"/>
        </w:rPr>
        <w:drawing>
          <wp:inline distT="0" distB="0" distL="0" distR="0">
            <wp:extent cx="6645910" cy="9403080"/>
            <wp:effectExtent l="0" t="0" r="2540" b="7620"/>
            <wp:docPr id="16090330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03305" name="图片 5"/>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645910" cy="9403080"/>
                    </a:xfrm>
                    <a:prstGeom prst="rect">
                      <a:avLst/>
                    </a:prstGeom>
                  </pic:spPr>
                </pic:pic>
              </a:graphicData>
            </a:graphic>
          </wp:inline>
        </w:drawing>
      </w:r>
    </w:p>
    <w:p w14:paraId="672D6AAA">
      <w:pPr>
        <w:widowControl/>
        <w:adjustRightInd w:val="0"/>
        <w:snapToGrid w:val="0"/>
        <w:jc w:val="center"/>
        <w:rPr>
          <w:b/>
        </w:rPr>
        <w:sectPr>
          <w:pgSz w:w="11906" w:h="16838"/>
          <w:pgMar w:top="720" w:right="720" w:bottom="720" w:left="720" w:header="851" w:footer="1077" w:gutter="0"/>
          <w:cols w:space="425" w:num="1"/>
          <w:docGrid w:linePitch="312" w:charSpace="0"/>
        </w:sectPr>
      </w:pPr>
    </w:p>
    <w:p w14:paraId="32969D29">
      <w:pPr>
        <w:pStyle w:val="19"/>
        <w:keepNext/>
        <w:jc w:val="left"/>
      </w:pPr>
      <w:r>
        <w:t xml:space="preserve">附件 </w:t>
      </w:r>
      <w:r>
        <w:fldChar w:fldCharType="begin"/>
      </w:r>
      <w:r>
        <w:instrText xml:space="preserve"> SEQ 附件 \* ARABIC </w:instrText>
      </w:r>
      <w:r>
        <w:fldChar w:fldCharType="separate"/>
      </w:r>
      <w:r>
        <w:t>10</w:t>
      </w:r>
      <w:r>
        <w:fldChar w:fldCharType="end"/>
      </w:r>
      <w:r>
        <w:rPr>
          <w:rFonts w:hint="eastAsia"/>
        </w:rPr>
        <w:t xml:space="preserve">  审批信息登记表</w:t>
      </w:r>
    </w:p>
    <w:p w14:paraId="4C85537F">
      <w:pPr>
        <w:widowControl/>
        <w:adjustRightInd w:val="0"/>
        <w:snapToGrid w:val="0"/>
        <w:jc w:val="center"/>
        <w:rPr>
          <w:b/>
        </w:rPr>
      </w:pPr>
      <w:r>
        <w:rPr>
          <w:b/>
          <w14:ligatures w14:val="none"/>
        </w:rPr>
        <w:drawing>
          <wp:inline distT="0" distB="0" distL="0" distR="0">
            <wp:extent cx="13166725" cy="8154670"/>
            <wp:effectExtent l="0" t="0" r="0" b="0"/>
            <wp:docPr id="4009541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954144" name="图片 2"/>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180450" cy="8163536"/>
                    </a:xfrm>
                    <a:prstGeom prst="rect">
                      <a:avLst/>
                    </a:prstGeom>
                  </pic:spPr>
                </pic:pic>
              </a:graphicData>
            </a:graphic>
          </wp:inline>
        </w:drawing>
      </w:r>
    </w:p>
    <w:p w14:paraId="09BBD9F0">
      <w:pPr>
        <w:widowControl/>
        <w:adjustRightInd w:val="0"/>
        <w:snapToGrid w:val="0"/>
        <w:jc w:val="center"/>
        <w:rPr>
          <w:b/>
        </w:rPr>
      </w:pPr>
      <w:r>
        <w:rPr>
          <w:rFonts w:hint="eastAsia"/>
          <w:b/>
          <w14:ligatures w14:val="none"/>
        </w:rPr>
        <w:drawing>
          <wp:inline distT="0" distB="0" distL="0" distR="0">
            <wp:extent cx="13830300" cy="9779000"/>
            <wp:effectExtent l="0" t="0" r="0" b="0"/>
            <wp:docPr id="10560888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088839" name="图片 1"/>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13830300" cy="9779000"/>
                    </a:xfrm>
                    <a:prstGeom prst="rect">
                      <a:avLst/>
                    </a:prstGeom>
                  </pic:spPr>
                </pic:pic>
              </a:graphicData>
            </a:graphic>
          </wp:inline>
        </w:drawing>
      </w:r>
    </w:p>
    <w:p w14:paraId="117EAFDC">
      <w:pPr>
        <w:widowControl/>
        <w:adjustRightInd w:val="0"/>
        <w:snapToGrid w:val="0"/>
        <w:jc w:val="center"/>
        <w:rPr>
          <w:b/>
        </w:rPr>
        <w:sectPr>
          <w:pgSz w:w="23808" w:h="16840" w:orient="landscape"/>
          <w:pgMar w:top="720" w:right="720" w:bottom="720" w:left="720" w:header="851" w:footer="1077" w:gutter="0"/>
          <w:cols w:space="425" w:num="1"/>
          <w:docGrid w:linePitch="312" w:charSpace="0"/>
        </w:sectPr>
      </w:pPr>
    </w:p>
    <w:p w14:paraId="6ADA9D08">
      <w:pPr>
        <w:widowControl/>
        <w:adjustRightInd w:val="0"/>
        <w:snapToGrid w:val="0"/>
        <w:jc w:val="center"/>
        <w:rPr>
          <w:b/>
        </w:rPr>
      </w:pPr>
    </w:p>
    <w:p w14:paraId="5FC7190A">
      <w:pPr>
        <w:pStyle w:val="96"/>
        <w:ind w:firstLine="480"/>
      </w:pPr>
    </w:p>
    <w:p w14:paraId="74188C71">
      <w:pPr>
        <w:pStyle w:val="96"/>
        <w:ind w:firstLine="480"/>
      </w:pPr>
    </w:p>
    <w:p w14:paraId="6CD0B5E5">
      <w:pPr>
        <w:pStyle w:val="96"/>
        <w:ind w:firstLine="480"/>
      </w:pPr>
    </w:p>
    <w:p w14:paraId="1DDF134C">
      <w:pPr>
        <w:pStyle w:val="96"/>
        <w:ind w:firstLine="480"/>
      </w:pPr>
    </w:p>
    <w:p w14:paraId="11F3FCE4">
      <w:pPr>
        <w:pStyle w:val="96"/>
        <w:ind w:firstLine="480"/>
      </w:pPr>
    </w:p>
    <w:p w14:paraId="583965BB">
      <w:pPr>
        <w:pStyle w:val="96"/>
        <w:ind w:firstLine="480"/>
      </w:pPr>
    </w:p>
    <w:p w14:paraId="2D00ABE6">
      <w:pPr>
        <w:pStyle w:val="96"/>
        <w:ind w:firstLine="480"/>
      </w:pPr>
    </w:p>
    <w:p w14:paraId="677422C1">
      <w:pPr>
        <w:pStyle w:val="96"/>
        <w:spacing w:line="240" w:lineRule="auto"/>
        <w:ind w:left="1" w:hanging="1" w:firstLineChars="0"/>
        <w:jc w:val="center"/>
        <w:rPr>
          <w:rFonts w:ascii="黑体" w:hAnsi="黑体" w:eastAsia="黑体"/>
          <w:sz w:val="44"/>
          <w:szCs w:val="44"/>
        </w:rPr>
      </w:pPr>
      <w:r>
        <w:rPr>
          <w:rFonts w:hint="eastAsia" w:ascii="黑体" w:hAnsi="黑体" w:eastAsia="黑体"/>
          <w:sz w:val="44"/>
          <w:szCs w:val="44"/>
        </w:rPr>
        <w:t>临兴东尚义区气田开发项目（二期）勘探井</w:t>
      </w:r>
    </w:p>
    <w:p w14:paraId="6D6628DE">
      <w:pPr>
        <w:pStyle w:val="96"/>
        <w:spacing w:line="240" w:lineRule="auto"/>
        <w:ind w:firstLine="0" w:firstLineChars="0"/>
        <w:jc w:val="center"/>
        <w:rPr>
          <w:rFonts w:ascii="黑体" w:hAnsi="黑体" w:eastAsia="黑体"/>
          <w:sz w:val="48"/>
          <w:szCs w:val="48"/>
        </w:rPr>
      </w:pPr>
    </w:p>
    <w:p w14:paraId="033AB5ED">
      <w:pPr>
        <w:pStyle w:val="96"/>
        <w:spacing w:line="240" w:lineRule="auto"/>
        <w:ind w:firstLine="0" w:firstLineChars="0"/>
        <w:jc w:val="center"/>
        <w:rPr>
          <w:rFonts w:ascii="黑体" w:hAnsi="黑体" w:eastAsia="黑体"/>
          <w:sz w:val="72"/>
          <w:szCs w:val="72"/>
        </w:rPr>
      </w:pPr>
      <w:r>
        <w:rPr>
          <w:rFonts w:hint="eastAsia" w:ascii="黑体" w:hAnsi="黑体" w:eastAsia="黑体"/>
          <w:sz w:val="72"/>
          <w:szCs w:val="72"/>
        </w:rPr>
        <w:t>生态环境影响专项评价</w:t>
      </w:r>
    </w:p>
    <w:p w14:paraId="7E620083"/>
    <w:p w14:paraId="10BAA35F"/>
    <w:p w14:paraId="631A2EC7"/>
    <w:p w14:paraId="7E817C21"/>
    <w:p w14:paraId="4883F726"/>
    <w:p w14:paraId="09AD3BB5"/>
    <w:p w14:paraId="55D84C7E"/>
    <w:p w14:paraId="65FB7163"/>
    <w:p w14:paraId="7A39C737"/>
    <w:p w14:paraId="159C8A89"/>
    <w:p w14:paraId="317B5F7F"/>
    <w:p w14:paraId="650B47AD"/>
    <w:p w14:paraId="7CC9AF0E"/>
    <w:p w14:paraId="604DABE9"/>
    <w:p w14:paraId="1EC9055A"/>
    <w:p w14:paraId="20DF2344"/>
    <w:p w14:paraId="2B58ABD1"/>
    <w:p w14:paraId="03C428AD"/>
    <w:p w14:paraId="17592DB9"/>
    <w:p w14:paraId="533BC083"/>
    <w:p w14:paraId="3655452C"/>
    <w:p w14:paraId="004B6BD3">
      <w:pPr>
        <w:pStyle w:val="96"/>
        <w:ind w:firstLine="0" w:firstLineChars="0"/>
        <w:jc w:val="center"/>
        <w:rPr>
          <w:sz w:val="32"/>
          <w:szCs w:val="28"/>
        </w:rPr>
      </w:pPr>
      <w:r>
        <w:rPr>
          <w:rFonts w:hint="eastAsia"/>
          <w:sz w:val="32"/>
          <w:szCs w:val="28"/>
        </w:rPr>
        <w:t>山西霆星科技有限公司</w:t>
      </w:r>
    </w:p>
    <w:p w14:paraId="68743206">
      <w:pPr>
        <w:pStyle w:val="96"/>
        <w:ind w:firstLine="0" w:firstLineChars="0"/>
        <w:jc w:val="center"/>
        <w:rPr>
          <w:sz w:val="32"/>
          <w:szCs w:val="28"/>
        </w:rPr>
      </w:pPr>
      <w:r>
        <w:rPr>
          <w:rFonts w:hint="eastAsia"/>
          <w:sz w:val="32"/>
          <w:szCs w:val="28"/>
        </w:rPr>
        <w:t>二〇二四年六月</w:t>
      </w:r>
    </w:p>
    <w:p w14:paraId="01AD0D33">
      <w:pPr>
        <w:pStyle w:val="96"/>
        <w:ind w:firstLine="0" w:firstLineChars="0"/>
        <w:jc w:val="center"/>
        <w:rPr>
          <w:sz w:val="32"/>
          <w:szCs w:val="28"/>
        </w:rPr>
        <w:sectPr>
          <w:pgSz w:w="11906" w:h="16838"/>
          <w:pgMar w:top="720" w:right="720" w:bottom="720" w:left="720" w:header="851" w:footer="1077" w:gutter="0"/>
          <w:cols w:space="425" w:num="1"/>
          <w:docGrid w:linePitch="312" w:charSpace="0"/>
        </w:sectPr>
      </w:pPr>
    </w:p>
    <w:sdt>
      <w:sdtPr>
        <w:rPr>
          <w:rFonts w:asciiTheme="minorHAnsi" w:hAnsiTheme="minorHAnsi" w:eastAsiaTheme="minorEastAsia" w:cstheme="minorBidi"/>
          <w:color w:val="auto"/>
          <w:kern w:val="2"/>
          <w:sz w:val="21"/>
          <w:szCs w:val="22"/>
          <w:lang w:val="zh-CN"/>
          <w14:ligatures w14:val="standardContextual"/>
        </w:rPr>
        <w:id w:val="-1975282246"/>
        <w:docPartObj>
          <w:docPartGallery w:val="Table of Contents"/>
          <w:docPartUnique/>
        </w:docPartObj>
      </w:sdtPr>
      <w:sdtEndPr>
        <w:rPr>
          <w:rFonts w:ascii="宋体" w:hAnsi="宋体" w:eastAsia="宋体" w:cstheme="minorBidi"/>
          <w:b/>
          <w:bCs/>
          <w:color w:val="auto"/>
          <w:kern w:val="2"/>
          <w:sz w:val="24"/>
          <w:szCs w:val="24"/>
          <w:lang w:val="zh-CN"/>
          <w14:ligatures w14:val="standardContextual"/>
        </w:rPr>
      </w:sdtEndPr>
      <w:sdtContent>
        <w:p w14:paraId="194081DC">
          <w:pPr>
            <w:pStyle w:val="111"/>
            <w:jc w:val="center"/>
            <w:rPr>
              <w:rFonts w:ascii="黑体" w:hAnsi="黑体" w:eastAsia="黑体"/>
              <w:color w:val="auto"/>
              <w:sz w:val="36"/>
              <w:szCs w:val="36"/>
            </w:rPr>
          </w:pPr>
          <w:r>
            <w:rPr>
              <w:rFonts w:ascii="黑体" w:hAnsi="黑体" w:eastAsia="黑体"/>
              <w:color w:val="auto"/>
              <w:sz w:val="36"/>
              <w:szCs w:val="36"/>
              <w:lang w:val="zh-CN"/>
            </w:rPr>
            <w:t>目录</w:t>
          </w:r>
        </w:p>
        <w:p w14:paraId="665CEFEC">
          <w:pPr>
            <w:pStyle w:val="50"/>
            <w:tabs>
              <w:tab w:val="right" w:leader="dot" w:pos="10456"/>
            </w:tabs>
          </w:pPr>
          <w:r>
            <w:rPr>
              <w:rFonts w:ascii="宋体" w:hAnsi="宋体" w:eastAsia="宋体"/>
              <w:sz w:val="24"/>
              <w:szCs w:val="24"/>
            </w:rPr>
            <w:fldChar w:fldCharType="begin"/>
          </w:r>
          <w:r>
            <w:rPr>
              <w:rFonts w:ascii="宋体" w:hAnsi="宋体" w:eastAsia="宋体"/>
              <w:sz w:val="24"/>
              <w:szCs w:val="24"/>
            </w:rPr>
            <w:instrText xml:space="preserve"> TOC \o "1-3" \h \z \u </w:instrText>
          </w:r>
          <w:r>
            <w:rPr>
              <w:rFonts w:ascii="宋体" w:hAnsi="宋体" w:eastAsia="宋体"/>
              <w:sz w:val="24"/>
              <w:szCs w:val="24"/>
            </w:rPr>
            <w:fldChar w:fldCharType="separate"/>
          </w:r>
        </w:p>
        <w:p w14:paraId="166D2E18">
          <w:pPr>
            <w:pStyle w:val="59"/>
            <w:tabs>
              <w:tab w:val="left" w:pos="1200"/>
              <w:tab w:val="right" w:leader="dot" w:pos="10456"/>
            </w:tabs>
          </w:pPr>
          <w:r>
            <w:fldChar w:fldCharType="begin"/>
          </w:r>
          <w:r>
            <w:instrText xml:space="preserve"> HYPERLINK \l "_Toc171579812" </w:instrText>
          </w:r>
          <w:r>
            <w:fldChar w:fldCharType="separate"/>
          </w:r>
          <w:r>
            <w:rPr>
              <w:rStyle w:val="86"/>
              <w:rFonts w:ascii="宋体" w:hAnsi="宋体"/>
            </w:rPr>
            <w:t>1.1</w:t>
          </w:r>
          <w:r>
            <w:tab/>
          </w:r>
          <w:r>
            <w:rPr>
              <w:rStyle w:val="86"/>
            </w:rPr>
            <w:t>生态环境影响评价原则</w:t>
          </w:r>
          <w:r>
            <w:tab/>
          </w:r>
          <w:r>
            <w:fldChar w:fldCharType="begin"/>
          </w:r>
          <w:r>
            <w:instrText xml:space="preserve"> PAGEREF _Toc171579812 \h </w:instrText>
          </w:r>
          <w:r>
            <w:fldChar w:fldCharType="separate"/>
          </w:r>
          <w:r>
            <w:t>118</w:t>
          </w:r>
          <w:r>
            <w:fldChar w:fldCharType="end"/>
          </w:r>
          <w:r>
            <w:fldChar w:fldCharType="end"/>
          </w:r>
        </w:p>
        <w:p w14:paraId="758E14C6">
          <w:pPr>
            <w:pStyle w:val="37"/>
            <w:tabs>
              <w:tab w:val="left" w:pos="1680"/>
              <w:tab w:val="right" w:leader="dot" w:pos="10456"/>
            </w:tabs>
          </w:pPr>
          <w:r>
            <w:fldChar w:fldCharType="begin"/>
          </w:r>
          <w:r>
            <w:instrText xml:space="preserve"> HYPERLINK \l "_Toc171579813" </w:instrText>
          </w:r>
          <w:r>
            <w:fldChar w:fldCharType="separate"/>
          </w:r>
          <w:r>
            <w:rPr>
              <w:rStyle w:val="86"/>
              <w:rFonts w:ascii="宋体" w:hAnsi="宋体"/>
            </w:rPr>
            <w:t>1.1.1</w:t>
          </w:r>
          <w:r>
            <w:tab/>
          </w:r>
          <w:r>
            <w:rPr>
              <w:rStyle w:val="86"/>
            </w:rPr>
            <w:t>评价目的</w:t>
          </w:r>
          <w:r>
            <w:tab/>
          </w:r>
          <w:r>
            <w:fldChar w:fldCharType="begin"/>
          </w:r>
          <w:r>
            <w:instrText xml:space="preserve"> PAGEREF _Toc171579813 \h </w:instrText>
          </w:r>
          <w:r>
            <w:fldChar w:fldCharType="separate"/>
          </w:r>
          <w:r>
            <w:t>118</w:t>
          </w:r>
          <w:r>
            <w:fldChar w:fldCharType="end"/>
          </w:r>
          <w:r>
            <w:fldChar w:fldCharType="end"/>
          </w:r>
        </w:p>
        <w:p w14:paraId="66BFE9C3">
          <w:pPr>
            <w:pStyle w:val="37"/>
            <w:tabs>
              <w:tab w:val="left" w:pos="1680"/>
              <w:tab w:val="right" w:leader="dot" w:pos="10456"/>
            </w:tabs>
          </w:pPr>
          <w:r>
            <w:fldChar w:fldCharType="begin"/>
          </w:r>
          <w:r>
            <w:instrText xml:space="preserve"> HYPERLINK \l "_Toc171579814" </w:instrText>
          </w:r>
          <w:r>
            <w:fldChar w:fldCharType="separate"/>
          </w:r>
          <w:r>
            <w:rPr>
              <w:rStyle w:val="86"/>
              <w:rFonts w:ascii="宋体" w:hAnsi="宋体"/>
            </w:rPr>
            <w:t>1.1.2</w:t>
          </w:r>
          <w:r>
            <w:tab/>
          </w:r>
          <w:r>
            <w:rPr>
              <w:rStyle w:val="86"/>
            </w:rPr>
            <w:t>评价等级</w:t>
          </w:r>
          <w:r>
            <w:tab/>
          </w:r>
          <w:r>
            <w:fldChar w:fldCharType="begin"/>
          </w:r>
          <w:r>
            <w:instrText xml:space="preserve"> PAGEREF _Toc171579814 \h </w:instrText>
          </w:r>
          <w:r>
            <w:fldChar w:fldCharType="separate"/>
          </w:r>
          <w:r>
            <w:t>118</w:t>
          </w:r>
          <w:r>
            <w:fldChar w:fldCharType="end"/>
          </w:r>
          <w:r>
            <w:fldChar w:fldCharType="end"/>
          </w:r>
        </w:p>
        <w:p w14:paraId="6B77C52A">
          <w:pPr>
            <w:pStyle w:val="37"/>
            <w:tabs>
              <w:tab w:val="left" w:pos="1680"/>
              <w:tab w:val="right" w:leader="dot" w:pos="10456"/>
            </w:tabs>
          </w:pPr>
          <w:r>
            <w:fldChar w:fldCharType="begin"/>
          </w:r>
          <w:r>
            <w:instrText xml:space="preserve"> HYPERLINK \l "_Toc171579815" </w:instrText>
          </w:r>
          <w:r>
            <w:fldChar w:fldCharType="separate"/>
          </w:r>
          <w:r>
            <w:rPr>
              <w:rStyle w:val="86"/>
              <w:rFonts w:ascii="宋体" w:hAnsi="宋体"/>
            </w:rPr>
            <w:t>1.1.3</w:t>
          </w:r>
          <w:r>
            <w:tab/>
          </w:r>
          <w:r>
            <w:rPr>
              <w:rStyle w:val="86"/>
            </w:rPr>
            <w:t>评价范围</w:t>
          </w:r>
          <w:r>
            <w:tab/>
          </w:r>
          <w:r>
            <w:fldChar w:fldCharType="begin"/>
          </w:r>
          <w:r>
            <w:instrText xml:space="preserve"> PAGEREF _Toc171579815 \h </w:instrText>
          </w:r>
          <w:r>
            <w:fldChar w:fldCharType="separate"/>
          </w:r>
          <w:r>
            <w:t>118</w:t>
          </w:r>
          <w:r>
            <w:fldChar w:fldCharType="end"/>
          </w:r>
          <w:r>
            <w:fldChar w:fldCharType="end"/>
          </w:r>
        </w:p>
        <w:p w14:paraId="6CD3C89A">
          <w:pPr>
            <w:pStyle w:val="37"/>
            <w:tabs>
              <w:tab w:val="left" w:pos="1680"/>
              <w:tab w:val="right" w:leader="dot" w:pos="10456"/>
            </w:tabs>
          </w:pPr>
          <w:r>
            <w:fldChar w:fldCharType="begin"/>
          </w:r>
          <w:r>
            <w:instrText xml:space="preserve"> HYPERLINK \l "_Toc171579816" </w:instrText>
          </w:r>
          <w:r>
            <w:fldChar w:fldCharType="separate"/>
          </w:r>
          <w:r>
            <w:rPr>
              <w:rStyle w:val="86"/>
              <w:rFonts w:ascii="宋体" w:hAnsi="宋体"/>
            </w:rPr>
            <w:t>1.1.4</w:t>
          </w:r>
          <w:r>
            <w:tab/>
          </w:r>
          <w:r>
            <w:rPr>
              <w:rStyle w:val="86"/>
            </w:rPr>
            <w:t>评价因子选择</w:t>
          </w:r>
          <w:r>
            <w:tab/>
          </w:r>
          <w:r>
            <w:fldChar w:fldCharType="begin"/>
          </w:r>
          <w:r>
            <w:instrText xml:space="preserve"> PAGEREF _Toc171579816 \h </w:instrText>
          </w:r>
          <w:r>
            <w:fldChar w:fldCharType="separate"/>
          </w:r>
          <w:r>
            <w:t>119</w:t>
          </w:r>
          <w:r>
            <w:fldChar w:fldCharType="end"/>
          </w:r>
          <w:r>
            <w:fldChar w:fldCharType="end"/>
          </w:r>
        </w:p>
        <w:p w14:paraId="13C3AEF7">
          <w:pPr>
            <w:pStyle w:val="37"/>
            <w:tabs>
              <w:tab w:val="left" w:pos="1680"/>
              <w:tab w:val="right" w:leader="dot" w:pos="10456"/>
            </w:tabs>
          </w:pPr>
          <w:r>
            <w:fldChar w:fldCharType="begin"/>
          </w:r>
          <w:r>
            <w:instrText xml:space="preserve"> HYPERLINK \l "_Toc171579817" </w:instrText>
          </w:r>
          <w:r>
            <w:fldChar w:fldCharType="separate"/>
          </w:r>
          <w:r>
            <w:rPr>
              <w:rStyle w:val="86"/>
              <w:rFonts w:ascii="宋体" w:hAnsi="宋体"/>
            </w:rPr>
            <w:t>1.1.5</w:t>
          </w:r>
          <w:r>
            <w:tab/>
          </w:r>
          <w:r>
            <w:rPr>
              <w:rStyle w:val="86"/>
            </w:rPr>
            <w:t>生态环境敏感目标</w:t>
          </w:r>
          <w:r>
            <w:tab/>
          </w:r>
          <w:r>
            <w:fldChar w:fldCharType="begin"/>
          </w:r>
          <w:r>
            <w:instrText xml:space="preserve"> PAGEREF _Toc171579817 \h </w:instrText>
          </w:r>
          <w:r>
            <w:fldChar w:fldCharType="separate"/>
          </w:r>
          <w:r>
            <w:t>119</w:t>
          </w:r>
          <w:r>
            <w:fldChar w:fldCharType="end"/>
          </w:r>
          <w:r>
            <w:fldChar w:fldCharType="end"/>
          </w:r>
        </w:p>
        <w:p w14:paraId="551BE650">
          <w:pPr>
            <w:pStyle w:val="59"/>
            <w:tabs>
              <w:tab w:val="left" w:pos="1200"/>
              <w:tab w:val="right" w:leader="dot" w:pos="10456"/>
            </w:tabs>
          </w:pPr>
          <w:r>
            <w:fldChar w:fldCharType="begin"/>
          </w:r>
          <w:r>
            <w:instrText xml:space="preserve"> HYPERLINK \l "_Toc171579818" </w:instrText>
          </w:r>
          <w:r>
            <w:fldChar w:fldCharType="separate"/>
          </w:r>
          <w:r>
            <w:rPr>
              <w:rStyle w:val="86"/>
              <w:rFonts w:ascii="宋体" w:hAnsi="宋体"/>
            </w:rPr>
            <w:t>1.2</w:t>
          </w:r>
          <w:r>
            <w:tab/>
          </w:r>
          <w:r>
            <w:rPr>
              <w:rStyle w:val="86"/>
            </w:rPr>
            <w:t>评价区生态环境现状调查</w:t>
          </w:r>
          <w:r>
            <w:tab/>
          </w:r>
          <w:r>
            <w:fldChar w:fldCharType="begin"/>
          </w:r>
          <w:r>
            <w:instrText xml:space="preserve"> PAGEREF _Toc171579818 \h </w:instrText>
          </w:r>
          <w:r>
            <w:fldChar w:fldCharType="separate"/>
          </w:r>
          <w:r>
            <w:t>120</w:t>
          </w:r>
          <w:r>
            <w:fldChar w:fldCharType="end"/>
          </w:r>
          <w:r>
            <w:fldChar w:fldCharType="end"/>
          </w:r>
        </w:p>
        <w:p w14:paraId="2A5F67D3">
          <w:pPr>
            <w:pStyle w:val="37"/>
            <w:tabs>
              <w:tab w:val="left" w:pos="1680"/>
              <w:tab w:val="right" w:leader="dot" w:pos="10456"/>
            </w:tabs>
          </w:pPr>
          <w:r>
            <w:fldChar w:fldCharType="begin"/>
          </w:r>
          <w:r>
            <w:instrText xml:space="preserve"> HYPERLINK \l "_Toc171579819" </w:instrText>
          </w:r>
          <w:r>
            <w:fldChar w:fldCharType="separate"/>
          </w:r>
          <w:r>
            <w:rPr>
              <w:rStyle w:val="86"/>
              <w:rFonts w:ascii="宋体" w:hAnsi="宋体"/>
            </w:rPr>
            <w:t>1.2.1</w:t>
          </w:r>
          <w:r>
            <w:tab/>
          </w:r>
          <w:r>
            <w:rPr>
              <w:rStyle w:val="86"/>
            </w:rPr>
            <w:t>生态环境现状调查方法</w:t>
          </w:r>
          <w:r>
            <w:tab/>
          </w:r>
          <w:r>
            <w:fldChar w:fldCharType="begin"/>
          </w:r>
          <w:r>
            <w:instrText xml:space="preserve"> PAGEREF _Toc171579819 \h </w:instrText>
          </w:r>
          <w:r>
            <w:fldChar w:fldCharType="separate"/>
          </w:r>
          <w:r>
            <w:t>120</w:t>
          </w:r>
          <w:r>
            <w:fldChar w:fldCharType="end"/>
          </w:r>
          <w:r>
            <w:fldChar w:fldCharType="end"/>
          </w:r>
        </w:p>
        <w:p w14:paraId="291EDE8C">
          <w:pPr>
            <w:pStyle w:val="37"/>
            <w:tabs>
              <w:tab w:val="left" w:pos="1680"/>
              <w:tab w:val="right" w:leader="dot" w:pos="10456"/>
            </w:tabs>
          </w:pPr>
          <w:r>
            <w:fldChar w:fldCharType="begin"/>
          </w:r>
          <w:r>
            <w:instrText xml:space="preserve"> HYPERLINK \l "_Toc171579820" </w:instrText>
          </w:r>
          <w:r>
            <w:fldChar w:fldCharType="separate"/>
          </w:r>
          <w:r>
            <w:rPr>
              <w:rStyle w:val="86"/>
              <w:rFonts w:ascii="宋体" w:hAnsi="宋体"/>
            </w:rPr>
            <w:t>1.2.2</w:t>
          </w:r>
          <w:r>
            <w:tab/>
          </w:r>
          <w:r>
            <w:rPr>
              <w:rStyle w:val="86"/>
            </w:rPr>
            <w:t>生态系统调查</w:t>
          </w:r>
          <w:r>
            <w:tab/>
          </w:r>
          <w:r>
            <w:fldChar w:fldCharType="begin"/>
          </w:r>
          <w:r>
            <w:instrText xml:space="preserve"> PAGEREF _Toc171579820 \h </w:instrText>
          </w:r>
          <w:r>
            <w:fldChar w:fldCharType="separate"/>
          </w:r>
          <w:r>
            <w:t>121</w:t>
          </w:r>
          <w:r>
            <w:fldChar w:fldCharType="end"/>
          </w:r>
          <w:r>
            <w:fldChar w:fldCharType="end"/>
          </w:r>
        </w:p>
        <w:p w14:paraId="204C72FC">
          <w:pPr>
            <w:pStyle w:val="37"/>
            <w:tabs>
              <w:tab w:val="left" w:pos="1680"/>
              <w:tab w:val="right" w:leader="dot" w:pos="10456"/>
            </w:tabs>
          </w:pPr>
          <w:r>
            <w:fldChar w:fldCharType="begin"/>
          </w:r>
          <w:r>
            <w:instrText xml:space="preserve"> HYPERLINK \l "_Toc171579821" </w:instrText>
          </w:r>
          <w:r>
            <w:fldChar w:fldCharType="separate"/>
          </w:r>
          <w:r>
            <w:rPr>
              <w:rStyle w:val="86"/>
              <w:rFonts w:ascii="宋体" w:hAnsi="宋体"/>
            </w:rPr>
            <w:t>1.2.3</w:t>
          </w:r>
          <w:r>
            <w:tab/>
          </w:r>
          <w:r>
            <w:rPr>
              <w:rStyle w:val="86"/>
            </w:rPr>
            <w:t>土地利用现状调查</w:t>
          </w:r>
          <w:r>
            <w:tab/>
          </w:r>
          <w:r>
            <w:fldChar w:fldCharType="begin"/>
          </w:r>
          <w:r>
            <w:instrText xml:space="preserve"> PAGEREF _Toc171579821 \h </w:instrText>
          </w:r>
          <w:r>
            <w:fldChar w:fldCharType="separate"/>
          </w:r>
          <w:r>
            <w:t>125</w:t>
          </w:r>
          <w:r>
            <w:fldChar w:fldCharType="end"/>
          </w:r>
          <w:r>
            <w:fldChar w:fldCharType="end"/>
          </w:r>
        </w:p>
        <w:p w14:paraId="2FE3E405">
          <w:pPr>
            <w:pStyle w:val="37"/>
            <w:tabs>
              <w:tab w:val="left" w:pos="1680"/>
              <w:tab w:val="right" w:leader="dot" w:pos="10456"/>
            </w:tabs>
          </w:pPr>
          <w:r>
            <w:fldChar w:fldCharType="begin"/>
          </w:r>
          <w:r>
            <w:instrText xml:space="preserve"> HYPERLINK \l "_Toc171579822" </w:instrText>
          </w:r>
          <w:r>
            <w:fldChar w:fldCharType="separate"/>
          </w:r>
          <w:r>
            <w:rPr>
              <w:rStyle w:val="86"/>
              <w:rFonts w:ascii="宋体" w:hAnsi="宋体"/>
            </w:rPr>
            <w:t>1.2.4</w:t>
          </w:r>
          <w:r>
            <w:tab/>
          </w:r>
          <w:r>
            <w:rPr>
              <w:rStyle w:val="86"/>
            </w:rPr>
            <w:t>植被及植物资源现状</w:t>
          </w:r>
          <w:r>
            <w:tab/>
          </w:r>
          <w:r>
            <w:fldChar w:fldCharType="begin"/>
          </w:r>
          <w:r>
            <w:instrText xml:space="preserve"> PAGEREF _Toc171579822 \h </w:instrText>
          </w:r>
          <w:r>
            <w:fldChar w:fldCharType="separate"/>
          </w:r>
          <w:r>
            <w:t>127</w:t>
          </w:r>
          <w:r>
            <w:fldChar w:fldCharType="end"/>
          </w:r>
          <w:r>
            <w:fldChar w:fldCharType="end"/>
          </w:r>
        </w:p>
        <w:p w14:paraId="54AF6FAD">
          <w:pPr>
            <w:pStyle w:val="37"/>
            <w:tabs>
              <w:tab w:val="left" w:pos="1680"/>
              <w:tab w:val="right" w:leader="dot" w:pos="10456"/>
            </w:tabs>
          </w:pPr>
          <w:r>
            <w:fldChar w:fldCharType="begin"/>
          </w:r>
          <w:r>
            <w:instrText xml:space="preserve"> HYPERLINK \l "_Toc171579823" </w:instrText>
          </w:r>
          <w:r>
            <w:fldChar w:fldCharType="separate"/>
          </w:r>
          <w:r>
            <w:rPr>
              <w:rStyle w:val="86"/>
              <w:rFonts w:ascii="宋体" w:hAnsi="宋体" w:cs="Arial"/>
            </w:rPr>
            <w:t>1.2.5</w:t>
          </w:r>
          <w:r>
            <w:tab/>
          </w:r>
          <w:r>
            <w:rPr>
              <w:rStyle w:val="86"/>
            </w:rPr>
            <w:t>野生动物现状</w:t>
          </w:r>
          <w:r>
            <w:tab/>
          </w:r>
          <w:r>
            <w:fldChar w:fldCharType="begin"/>
          </w:r>
          <w:r>
            <w:instrText xml:space="preserve"> PAGEREF _Toc171579823 \h </w:instrText>
          </w:r>
          <w:r>
            <w:fldChar w:fldCharType="separate"/>
          </w:r>
          <w:r>
            <w:t>135</w:t>
          </w:r>
          <w:r>
            <w:fldChar w:fldCharType="end"/>
          </w:r>
          <w:r>
            <w:fldChar w:fldCharType="end"/>
          </w:r>
        </w:p>
        <w:p w14:paraId="695C3436">
          <w:pPr>
            <w:pStyle w:val="37"/>
            <w:tabs>
              <w:tab w:val="left" w:pos="1680"/>
              <w:tab w:val="right" w:leader="dot" w:pos="10456"/>
            </w:tabs>
          </w:pPr>
          <w:r>
            <w:fldChar w:fldCharType="begin"/>
          </w:r>
          <w:r>
            <w:instrText xml:space="preserve"> HYPERLINK \l "_Toc171579824" </w:instrText>
          </w:r>
          <w:r>
            <w:fldChar w:fldCharType="separate"/>
          </w:r>
          <w:r>
            <w:rPr>
              <w:rStyle w:val="86"/>
              <w:rFonts w:ascii="宋体" w:hAnsi="宋体"/>
            </w:rPr>
            <w:t>1.2.6</w:t>
          </w:r>
          <w:r>
            <w:tab/>
          </w:r>
          <w:r>
            <w:rPr>
              <w:rStyle w:val="86"/>
            </w:rPr>
            <w:t>野生动物生境质量调查与评价</w:t>
          </w:r>
          <w:r>
            <w:tab/>
          </w:r>
          <w:r>
            <w:fldChar w:fldCharType="begin"/>
          </w:r>
          <w:r>
            <w:instrText xml:space="preserve"> PAGEREF _Toc171579824 \h </w:instrText>
          </w:r>
          <w:r>
            <w:fldChar w:fldCharType="separate"/>
          </w:r>
          <w:r>
            <w:t>144</w:t>
          </w:r>
          <w:r>
            <w:fldChar w:fldCharType="end"/>
          </w:r>
          <w:r>
            <w:fldChar w:fldCharType="end"/>
          </w:r>
        </w:p>
        <w:p w14:paraId="114BD8D5">
          <w:pPr>
            <w:pStyle w:val="37"/>
            <w:tabs>
              <w:tab w:val="left" w:pos="1680"/>
              <w:tab w:val="right" w:leader="dot" w:pos="10456"/>
            </w:tabs>
          </w:pPr>
          <w:r>
            <w:fldChar w:fldCharType="begin"/>
          </w:r>
          <w:r>
            <w:instrText xml:space="preserve"> HYPERLINK \l "_Toc171579825" </w:instrText>
          </w:r>
          <w:r>
            <w:fldChar w:fldCharType="separate"/>
          </w:r>
          <w:r>
            <w:rPr>
              <w:rStyle w:val="86"/>
              <w:rFonts w:ascii="宋体" w:hAnsi="宋体"/>
            </w:rPr>
            <w:t>1.2.7</w:t>
          </w:r>
          <w:r>
            <w:tab/>
          </w:r>
          <w:r>
            <w:rPr>
              <w:rStyle w:val="86"/>
            </w:rPr>
            <w:t>水土流失现状与评价</w:t>
          </w:r>
          <w:r>
            <w:tab/>
          </w:r>
          <w:r>
            <w:fldChar w:fldCharType="begin"/>
          </w:r>
          <w:r>
            <w:instrText xml:space="preserve"> PAGEREF _Toc171579825 \h </w:instrText>
          </w:r>
          <w:r>
            <w:fldChar w:fldCharType="separate"/>
          </w:r>
          <w:r>
            <w:t>149</w:t>
          </w:r>
          <w:r>
            <w:fldChar w:fldCharType="end"/>
          </w:r>
          <w:r>
            <w:fldChar w:fldCharType="end"/>
          </w:r>
        </w:p>
        <w:p w14:paraId="25CA155C">
          <w:pPr>
            <w:pStyle w:val="37"/>
            <w:tabs>
              <w:tab w:val="left" w:pos="1680"/>
              <w:tab w:val="right" w:leader="dot" w:pos="10456"/>
            </w:tabs>
          </w:pPr>
          <w:r>
            <w:fldChar w:fldCharType="begin"/>
          </w:r>
          <w:r>
            <w:instrText xml:space="preserve"> HYPERLINK \l "_Toc171579826" </w:instrText>
          </w:r>
          <w:r>
            <w:fldChar w:fldCharType="separate"/>
          </w:r>
          <w:r>
            <w:rPr>
              <w:rStyle w:val="86"/>
              <w:rFonts w:ascii="宋体" w:hAnsi="宋体"/>
            </w:rPr>
            <w:t>1.2.8</w:t>
          </w:r>
          <w:r>
            <w:tab/>
          </w:r>
          <w:r>
            <w:rPr>
              <w:rStyle w:val="86"/>
            </w:rPr>
            <w:t>区域生态问题调查</w:t>
          </w:r>
          <w:r>
            <w:tab/>
          </w:r>
          <w:r>
            <w:fldChar w:fldCharType="begin"/>
          </w:r>
          <w:r>
            <w:instrText xml:space="preserve"> PAGEREF _Toc171579826 \h </w:instrText>
          </w:r>
          <w:r>
            <w:fldChar w:fldCharType="separate"/>
          </w:r>
          <w:r>
            <w:t>150</w:t>
          </w:r>
          <w:r>
            <w:fldChar w:fldCharType="end"/>
          </w:r>
          <w:r>
            <w:fldChar w:fldCharType="end"/>
          </w:r>
        </w:p>
        <w:p w14:paraId="54A223D1">
          <w:pPr>
            <w:pStyle w:val="37"/>
            <w:tabs>
              <w:tab w:val="left" w:pos="1680"/>
              <w:tab w:val="right" w:leader="dot" w:pos="10456"/>
            </w:tabs>
          </w:pPr>
          <w:r>
            <w:fldChar w:fldCharType="begin"/>
          </w:r>
          <w:r>
            <w:instrText xml:space="preserve"> HYPERLINK \l "_Toc171579827" </w:instrText>
          </w:r>
          <w:r>
            <w:fldChar w:fldCharType="separate"/>
          </w:r>
          <w:r>
            <w:rPr>
              <w:rStyle w:val="86"/>
              <w:rFonts w:ascii="宋体" w:hAnsi="宋体"/>
            </w:rPr>
            <w:t>1.2.9</w:t>
          </w:r>
          <w:r>
            <w:tab/>
          </w:r>
          <w:r>
            <w:rPr>
              <w:rStyle w:val="86"/>
            </w:rPr>
            <w:t>生态现状评价的结论</w:t>
          </w:r>
          <w:r>
            <w:tab/>
          </w:r>
          <w:r>
            <w:fldChar w:fldCharType="begin"/>
          </w:r>
          <w:r>
            <w:instrText xml:space="preserve"> PAGEREF _Toc171579827 \h </w:instrText>
          </w:r>
          <w:r>
            <w:fldChar w:fldCharType="separate"/>
          </w:r>
          <w:r>
            <w:t>150</w:t>
          </w:r>
          <w:r>
            <w:fldChar w:fldCharType="end"/>
          </w:r>
          <w:r>
            <w:fldChar w:fldCharType="end"/>
          </w:r>
        </w:p>
        <w:p w14:paraId="6B44E802">
          <w:pPr>
            <w:pStyle w:val="59"/>
            <w:tabs>
              <w:tab w:val="left" w:pos="1200"/>
              <w:tab w:val="right" w:leader="dot" w:pos="10456"/>
            </w:tabs>
          </w:pPr>
          <w:r>
            <w:fldChar w:fldCharType="begin"/>
          </w:r>
          <w:r>
            <w:instrText xml:space="preserve"> HYPERLINK \l "_Toc171579828" </w:instrText>
          </w:r>
          <w:r>
            <w:fldChar w:fldCharType="separate"/>
          </w:r>
          <w:r>
            <w:rPr>
              <w:rStyle w:val="86"/>
              <w:rFonts w:ascii="宋体" w:hAnsi="宋体"/>
            </w:rPr>
            <w:t>1.3</w:t>
          </w:r>
          <w:r>
            <w:tab/>
          </w:r>
          <w:r>
            <w:rPr>
              <w:rStyle w:val="86"/>
            </w:rPr>
            <w:t>生态环境影响预测与评价</w:t>
          </w:r>
          <w:r>
            <w:tab/>
          </w:r>
          <w:r>
            <w:fldChar w:fldCharType="begin"/>
          </w:r>
          <w:r>
            <w:instrText xml:space="preserve"> PAGEREF _Toc171579828 \h </w:instrText>
          </w:r>
          <w:r>
            <w:fldChar w:fldCharType="separate"/>
          </w:r>
          <w:r>
            <w:t>151</w:t>
          </w:r>
          <w:r>
            <w:fldChar w:fldCharType="end"/>
          </w:r>
          <w:r>
            <w:fldChar w:fldCharType="end"/>
          </w:r>
        </w:p>
        <w:p w14:paraId="4D8581D2">
          <w:pPr>
            <w:pStyle w:val="37"/>
            <w:tabs>
              <w:tab w:val="left" w:pos="1680"/>
              <w:tab w:val="right" w:leader="dot" w:pos="10456"/>
            </w:tabs>
          </w:pPr>
          <w:r>
            <w:fldChar w:fldCharType="begin"/>
          </w:r>
          <w:r>
            <w:instrText xml:space="preserve"> HYPERLINK \l "_Toc171579829" </w:instrText>
          </w:r>
          <w:r>
            <w:fldChar w:fldCharType="separate"/>
          </w:r>
          <w:r>
            <w:rPr>
              <w:rStyle w:val="86"/>
              <w:rFonts w:ascii="宋体" w:hAnsi="宋体"/>
            </w:rPr>
            <w:t>1.3.1</w:t>
          </w:r>
          <w:r>
            <w:tab/>
          </w:r>
          <w:r>
            <w:rPr>
              <w:rStyle w:val="86"/>
            </w:rPr>
            <w:t>钻井期和压裂期生态环境影响预测与评价</w:t>
          </w:r>
          <w:r>
            <w:tab/>
          </w:r>
          <w:r>
            <w:fldChar w:fldCharType="begin"/>
          </w:r>
          <w:r>
            <w:instrText xml:space="preserve"> PAGEREF _Toc171579829 \h </w:instrText>
          </w:r>
          <w:r>
            <w:fldChar w:fldCharType="separate"/>
          </w:r>
          <w:r>
            <w:t>151</w:t>
          </w:r>
          <w:r>
            <w:fldChar w:fldCharType="end"/>
          </w:r>
          <w:r>
            <w:fldChar w:fldCharType="end"/>
          </w:r>
        </w:p>
        <w:p w14:paraId="15D2411D">
          <w:pPr>
            <w:pStyle w:val="37"/>
            <w:tabs>
              <w:tab w:val="left" w:pos="1680"/>
              <w:tab w:val="right" w:leader="dot" w:pos="10456"/>
            </w:tabs>
          </w:pPr>
          <w:r>
            <w:fldChar w:fldCharType="begin"/>
          </w:r>
          <w:r>
            <w:instrText xml:space="preserve"> HYPERLINK \l "_Toc171579830" </w:instrText>
          </w:r>
          <w:r>
            <w:fldChar w:fldCharType="separate"/>
          </w:r>
          <w:r>
            <w:rPr>
              <w:rStyle w:val="86"/>
              <w:rFonts w:ascii="宋体" w:hAnsi="宋体"/>
            </w:rPr>
            <w:t>1.3.2</w:t>
          </w:r>
          <w:r>
            <w:tab/>
          </w:r>
          <w:r>
            <w:rPr>
              <w:rStyle w:val="86"/>
            </w:rPr>
            <w:t>试气期生态环境影响分析</w:t>
          </w:r>
          <w:r>
            <w:tab/>
          </w:r>
          <w:r>
            <w:fldChar w:fldCharType="begin"/>
          </w:r>
          <w:r>
            <w:instrText xml:space="preserve"> PAGEREF _Toc171579830 \h </w:instrText>
          </w:r>
          <w:r>
            <w:fldChar w:fldCharType="separate"/>
          </w:r>
          <w:r>
            <w:t>158</w:t>
          </w:r>
          <w:r>
            <w:fldChar w:fldCharType="end"/>
          </w:r>
          <w:r>
            <w:fldChar w:fldCharType="end"/>
          </w:r>
        </w:p>
        <w:p w14:paraId="3E18B79F">
          <w:pPr>
            <w:pStyle w:val="37"/>
            <w:tabs>
              <w:tab w:val="left" w:pos="1680"/>
              <w:tab w:val="right" w:leader="dot" w:pos="10456"/>
            </w:tabs>
          </w:pPr>
          <w:r>
            <w:fldChar w:fldCharType="begin"/>
          </w:r>
          <w:r>
            <w:instrText xml:space="preserve"> HYPERLINK \l "_Toc171579831" </w:instrText>
          </w:r>
          <w:r>
            <w:fldChar w:fldCharType="separate"/>
          </w:r>
          <w:r>
            <w:rPr>
              <w:rStyle w:val="86"/>
              <w:rFonts w:ascii="宋体" w:hAnsi="宋体"/>
            </w:rPr>
            <w:t>1.3.3</w:t>
          </w:r>
          <w:r>
            <w:tab/>
          </w:r>
          <w:r>
            <w:rPr>
              <w:rStyle w:val="86"/>
            </w:rPr>
            <w:t>关井期生态环境影响分析</w:t>
          </w:r>
          <w:r>
            <w:tab/>
          </w:r>
          <w:r>
            <w:fldChar w:fldCharType="begin"/>
          </w:r>
          <w:r>
            <w:instrText xml:space="preserve"> PAGEREF _Toc171579831 \h </w:instrText>
          </w:r>
          <w:r>
            <w:fldChar w:fldCharType="separate"/>
          </w:r>
          <w:r>
            <w:t>158</w:t>
          </w:r>
          <w:r>
            <w:fldChar w:fldCharType="end"/>
          </w:r>
          <w:r>
            <w:fldChar w:fldCharType="end"/>
          </w:r>
        </w:p>
        <w:p w14:paraId="5549308B">
          <w:pPr>
            <w:pStyle w:val="37"/>
            <w:tabs>
              <w:tab w:val="left" w:pos="1680"/>
              <w:tab w:val="right" w:leader="dot" w:pos="10456"/>
            </w:tabs>
          </w:pPr>
          <w:r>
            <w:fldChar w:fldCharType="begin"/>
          </w:r>
          <w:r>
            <w:instrText xml:space="preserve"> HYPERLINK \l "_Toc171579832" </w:instrText>
          </w:r>
          <w:r>
            <w:fldChar w:fldCharType="separate"/>
          </w:r>
          <w:r>
            <w:rPr>
              <w:rStyle w:val="86"/>
              <w:rFonts w:ascii="宋体" w:hAnsi="宋体"/>
            </w:rPr>
            <w:t>1.3.4</w:t>
          </w:r>
          <w:r>
            <w:tab/>
          </w:r>
          <w:r>
            <w:rPr>
              <w:rStyle w:val="86"/>
            </w:rPr>
            <w:t>生态影响评价自查表</w:t>
          </w:r>
          <w:r>
            <w:tab/>
          </w:r>
          <w:r>
            <w:fldChar w:fldCharType="begin"/>
          </w:r>
          <w:r>
            <w:instrText xml:space="preserve"> PAGEREF _Toc171579832 \h </w:instrText>
          </w:r>
          <w:r>
            <w:fldChar w:fldCharType="separate"/>
          </w:r>
          <w:r>
            <w:t>159</w:t>
          </w:r>
          <w:r>
            <w:fldChar w:fldCharType="end"/>
          </w:r>
          <w:r>
            <w:fldChar w:fldCharType="end"/>
          </w:r>
        </w:p>
        <w:p w14:paraId="73D81FE8">
          <w:pPr>
            <w:pStyle w:val="59"/>
            <w:tabs>
              <w:tab w:val="left" w:pos="1200"/>
              <w:tab w:val="right" w:leader="dot" w:pos="10456"/>
            </w:tabs>
          </w:pPr>
          <w:r>
            <w:fldChar w:fldCharType="begin"/>
          </w:r>
          <w:r>
            <w:instrText xml:space="preserve"> HYPERLINK \l "_Toc171579833" </w:instrText>
          </w:r>
          <w:r>
            <w:fldChar w:fldCharType="separate"/>
          </w:r>
          <w:r>
            <w:rPr>
              <w:rStyle w:val="86"/>
              <w:rFonts w:ascii="宋体" w:hAnsi="宋体"/>
            </w:rPr>
            <w:t>1.4</w:t>
          </w:r>
          <w:r>
            <w:tab/>
          </w:r>
          <w:r>
            <w:rPr>
              <w:rStyle w:val="86"/>
            </w:rPr>
            <w:t>生态保护和恢复措施</w:t>
          </w:r>
          <w:r>
            <w:tab/>
          </w:r>
          <w:r>
            <w:fldChar w:fldCharType="begin"/>
          </w:r>
          <w:r>
            <w:instrText xml:space="preserve"> PAGEREF _Toc171579833 \h </w:instrText>
          </w:r>
          <w:r>
            <w:fldChar w:fldCharType="separate"/>
          </w:r>
          <w:r>
            <w:t>159</w:t>
          </w:r>
          <w:r>
            <w:fldChar w:fldCharType="end"/>
          </w:r>
          <w:r>
            <w:fldChar w:fldCharType="end"/>
          </w:r>
        </w:p>
        <w:p w14:paraId="454CF833">
          <w:pPr>
            <w:pStyle w:val="37"/>
            <w:tabs>
              <w:tab w:val="left" w:pos="1680"/>
              <w:tab w:val="right" w:leader="dot" w:pos="10456"/>
            </w:tabs>
          </w:pPr>
          <w:r>
            <w:fldChar w:fldCharType="begin"/>
          </w:r>
          <w:r>
            <w:instrText xml:space="preserve"> HYPERLINK \l "_Toc171579834" </w:instrText>
          </w:r>
          <w:r>
            <w:fldChar w:fldCharType="separate"/>
          </w:r>
          <w:r>
            <w:rPr>
              <w:rStyle w:val="86"/>
              <w:rFonts w:ascii="宋体" w:hAnsi="宋体" w:cs="Arial"/>
            </w:rPr>
            <w:t>1.4.1</w:t>
          </w:r>
          <w:r>
            <w:tab/>
          </w:r>
          <w:r>
            <w:rPr>
              <w:rStyle w:val="86"/>
            </w:rPr>
            <w:t>防护原则</w:t>
          </w:r>
          <w:r>
            <w:tab/>
          </w:r>
          <w:r>
            <w:fldChar w:fldCharType="begin"/>
          </w:r>
          <w:r>
            <w:instrText xml:space="preserve"> PAGEREF _Toc171579834 \h </w:instrText>
          </w:r>
          <w:r>
            <w:fldChar w:fldCharType="separate"/>
          </w:r>
          <w:r>
            <w:t>159</w:t>
          </w:r>
          <w:r>
            <w:fldChar w:fldCharType="end"/>
          </w:r>
          <w:r>
            <w:fldChar w:fldCharType="end"/>
          </w:r>
        </w:p>
        <w:p w14:paraId="34DA8C2D">
          <w:pPr>
            <w:pStyle w:val="37"/>
            <w:tabs>
              <w:tab w:val="left" w:pos="1680"/>
              <w:tab w:val="right" w:leader="dot" w:pos="10456"/>
            </w:tabs>
          </w:pPr>
          <w:r>
            <w:fldChar w:fldCharType="begin"/>
          </w:r>
          <w:r>
            <w:instrText xml:space="preserve"> HYPERLINK \l "_Toc171579835" </w:instrText>
          </w:r>
          <w:r>
            <w:fldChar w:fldCharType="separate"/>
          </w:r>
          <w:r>
            <w:rPr>
              <w:rStyle w:val="86"/>
              <w:rFonts w:ascii="宋体" w:hAnsi="宋体"/>
            </w:rPr>
            <w:t>1.4.2</w:t>
          </w:r>
          <w:r>
            <w:tab/>
          </w:r>
          <w:r>
            <w:rPr>
              <w:rStyle w:val="86"/>
            </w:rPr>
            <w:t>避让措施</w:t>
          </w:r>
          <w:r>
            <w:tab/>
          </w:r>
          <w:r>
            <w:fldChar w:fldCharType="begin"/>
          </w:r>
          <w:r>
            <w:instrText xml:space="preserve"> PAGEREF _Toc171579835 \h </w:instrText>
          </w:r>
          <w:r>
            <w:fldChar w:fldCharType="separate"/>
          </w:r>
          <w:r>
            <w:t>160</w:t>
          </w:r>
          <w:r>
            <w:fldChar w:fldCharType="end"/>
          </w:r>
          <w:r>
            <w:fldChar w:fldCharType="end"/>
          </w:r>
        </w:p>
        <w:p w14:paraId="3F407769">
          <w:pPr>
            <w:pStyle w:val="37"/>
            <w:tabs>
              <w:tab w:val="left" w:pos="1680"/>
              <w:tab w:val="right" w:leader="dot" w:pos="10456"/>
            </w:tabs>
          </w:pPr>
          <w:r>
            <w:fldChar w:fldCharType="begin"/>
          </w:r>
          <w:r>
            <w:instrText xml:space="preserve"> HYPERLINK \l "_Toc171579836" </w:instrText>
          </w:r>
          <w:r>
            <w:fldChar w:fldCharType="separate"/>
          </w:r>
          <w:r>
            <w:rPr>
              <w:rStyle w:val="86"/>
              <w:rFonts w:ascii="宋体" w:hAnsi="宋体"/>
            </w:rPr>
            <w:t>1.4.3</w:t>
          </w:r>
          <w:r>
            <w:tab/>
          </w:r>
          <w:r>
            <w:rPr>
              <w:rStyle w:val="86"/>
            </w:rPr>
            <w:t>钻井期和完井期生态保护与恢复措施</w:t>
          </w:r>
          <w:r>
            <w:tab/>
          </w:r>
          <w:r>
            <w:fldChar w:fldCharType="begin"/>
          </w:r>
          <w:r>
            <w:instrText xml:space="preserve"> PAGEREF _Toc171579836 \h </w:instrText>
          </w:r>
          <w:r>
            <w:fldChar w:fldCharType="separate"/>
          </w:r>
          <w:r>
            <w:t>160</w:t>
          </w:r>
          <w:r>
            <w:fldChar w:fldCharType="end"/>
          </w:r>
          <w:r>
            <w:fldChar w:fldCharType="end"/>
          </w:r>
        </w:p>
        <w:p w14:paraId="2731C18D">
          <w:pPr>
            <w:pStyle w:val="37"/>
            <w:tabs>
              <w:tab w:val="left" w:pos="1680"/>
              <w:tab w:val="right" w:leader="dot" w:pos="10456"/>
            </w:tabs>
          </w:pPr>
          <w:r>
            <w:fldChar w:fldCharType="begin"/>
          </w:r>
          <w:r>
            <w:instrText xml:space="preserve"> HYPERLINK \l "_Toc171579837" </w:instrText>
          </w:r>
          <w:r>
            <w:fldChar w:fldCharType="separate"/>
          </w:r>
          <w:r>
            <w:rPr>
              <w:rStyle w:val="86"/>
              <w:rFonts w:ascii="宋体" w:hAnsi="宋体"/>
            </w:rPr>
            <w:t>1.4.4</w:t>
          </w:r>
          <w:r>
            <w:tab/>
          </w:r>
          <w:r>
            <w:rPr>
              <w:rStyle w:val="86"/>
            </w:rPr>
            <w:t>关井期生态恢复措施</w:t>
          </w:r>
          <w:r>
            <w:tab/>
          </w:r>
          <w:r>
            <w:fldChar w:fldCharType="begin"/>
          </w:r>
          <w:r>
            <w:instrText xml:space="preserve"> PAGEREF _Toc171579837 \h </w:instrText>
          </w:r>
          <w:r>
            <w:fldChar w:fldCharType="separate"/>
          </w:r>
          <w:r>
            <w:t>167</w:t>
          </w:r>
          <w:r>
            <w:fldChar w:fldCharType="end"/>
          </w:r>
          <w:r>
            <w:fldChar w:fldCharType="end"/>
          </w:r>
        </w:p>
        <w:p w14:paraId="3ADAFFDC">
          <w:pPr>
            <w:pStyle w:val="37"/>
            <w:tabs>
              <w:tab w:val="left" w:pos="1680"/>
              <w:tab w:val="right" w:leader="dot" w:pos="10456"/>
            </w:tabs>
          </w:pPr>
          <w:r>
            <w:fldChar w:fldCharType="begin"/>
          </w:r>
          <w:r>
            <w:instrText xml:space="preserve"> HYPERLINK \l "_Toc171579838" </w:instrText>
          </w:r>
          <w:r>
            <w:fldChar w:fldCharType="separate"/>
          </w:r>
          <w:r>
            <w:rPr>
              <w:rStyle w:val="86"/>
              <w:rFonts w:ascii="宋体" w:hAnsi="宋体" w:cs="Arial"/>
            </w:rPr>
            <w:t>1.4.5</w:t>
          </w:r>
          <w:r>
            <w:tab/>
          </w:r>
          <w:r>
            <w:rPr>
              <w:rStyle w:val="86"/>
            </w:rPr>
            <w:t>土地复垦措施</w:t>
          </w:r>
          <w:r>
            <w:tab/>
          </w:r>
          <w:r>
            <w:fldChar w:fldCharType="begin"/>
          </w:r>
          <w:r>
            <w:instrText xml:space="preserve"> PAGEREF _Toc171579838 \h </w:instrText>
          </w:r>
          <w:r>
            <w:fldChar w:fldCharType="separate"/>
          </w:r>
          <w:r>
            <w:t>168</w:t>
          </w:r>
          <w:r>
            <w:fldChar w:fldCharType="end"/>
          </w:r>
          <w:r>
            <w:fldChar w:fldCharType="end"/>
          </w:r>
        </w:p>
        <w:p w14:paraId="7E967941">
          <w:pPr>
            <w:pStyle w:val="59"/>
            <w:tabs>
              <w:tab w:val="left" w:pos="1200"/>
              <w:tab w:val="right" w:leader="dot" w:pos="10456"/>
            </w:tabs>
          </w:pPr>
          <w:r>
            <w:fldChar w:fldCharType="begin"/>
          </w:r>
          <w:r>
            <w:instrText xml:space="preserve"> HYPERLINK \l "_Toc171579839" </w:instrText>
          </w:r>
          <w:r>
            <w:fldChar w:fldCharType="separate"/>
          </w:r>
          <w:r>
            <w:rPr>
              <w:rStyle w:val="86"/>
              <w:rFonts w:ascii="宋体" w:hAnsi="宋体" w:cs="Arial"/>
            </w:rPr>
            <w:t>1.5</w:t>
          </w:r>
          <w:r>
            <w:tab/>
          </w:r>
          <w:r>
            <w:rPr>
              <w:rStyle w:val="86"/>
            </w:rPr>
            <w:t>生态跟踪监测措施</w:t>
          </w:r>
          <w:r>
            <w:tab/>
          </w:r>
          <w:r>
            <w:fldChar w:fldCharType="begin"/>
          </w:r>
          <w:r>
            <w:instrText xml:space="preserve"> PAGEREF _Toc171579839 \h </w:instrText>
          </w:r>
          <w:r>
            <w:fldChar w:fldCharType="separate"/>
          </w:r>
          <w:r>
            <w:t>170</w:t>
          </w:r>
          <w:r>
            <w:fldChar w:fldCharType="end"/>
          </w:r>
          <w:r>
            <w:fldChar w:fldCharType="end"/>
          </w:r>
        </w:p>
        <w:p w14:paraId="6DB6A6C0">
          <w:pPr>
            <w:pStyle w:val="37"/>
            <w:tabs>
              <w:tab w:val="left" w:pos="1680"/>
              <w:tab w:val="right" w:leader="dot" w:pos="10456"/>
            </w:tabs>
          </w:pPr>
          <w:r>
            <w:fldChar w:fldCharType="begin"/>
          </w:r>
          <w:r>
            <w:instrText xml:space="preserve"> HYPERLINK \l "_Toc171579840" </w:instrText>
          </w:r>
          <w:r>
            <w:fldChar w:fldCharType="separate"/>
          </w:r>
          <w:r>
            <w:rPr>
              <w:rStyle w:val="86"/>
              <w:rFonts w:ascii="宋体" w:hAnsi="宋体"/>
            </w:rPr>
            <w:t>1.5.1</w:t>
          </w:r>
          <w:r>
            <w:tab/>
          </w:r>
          <w:r>
            <w:rPr>
              <w:rStyle w:val="86"/>
            </w:rPr>
            <w:t>监测计划</w:t>
          </w:r>
          <w:r>
            <w:tab/>
          </w:r>
          <w:r>
            <w:fldChar w:fldCharType="begin"/>
          </w:r>
          <w:r>
            <w:instrText xml:space="preserve"> PAGEREF _Toc171579840 \h </w:instrText>
          </w:r>
          <w:r>
            <w:fldChar w:fldCharType="separate"/>
          </w:r>
          <w:r>
            <w:t>170</w:t>
          </w:r>
          <w:r>
            <w:fldChar w:fldCharType="end"/>
          </w:r>
          <w:r>
            <w:fldChar w:fldCharType="end"/>
          </w:r>
        </w:p>
        <w:p w14:paraId="13280292">
          <w:pPr>
            <w:pStyle w:val="37"/>
            <w:tabs>
              <w:tab w:val="left" w:pos="1680"/>
              <w:tab w:val="right" w:leader="dot" w:pos="10456"/>
            </w:tabs>
          </w:pPr>
          <w:r>
            <w:fldChar w:fldCharType="begin"/>
          </w:r>
          <w:r>
            <w:instrText xml:space="preserve"> HYPERLINK \l "_Toc171579841" </w:instrText>
          </w:r>
          <w:r>
            <w:fldChar w:fldCharType="separate"/>
          </w:r>
          <w:r>
            <w:rPr>
              <w:rStyle w:val="86"/>
              <w:rFonts w:ascii="宋体" w:hAnsi="宋体"/>
            </w:rPr>
            <w:t>1.5.2</w:t>
          </w:r>
          <w:r>
            <w:tab/>
          </w:r>
          <w:r>
            <w:rPr>
              <w:rStyle w:val="86"/>
            </w:rPr>
            <w:t>生态环境跟踪监测点布置</w:t>
          </w:r>
          <w:r>
            <w:tab/>
          </w:r>
          <w:r>
            <w:fldChar w:fldCharType="begin"/>
          </w:r>
          <w:r>
            <w:instrText xml:space="preserve"> PAGEREF _Toc171579841 \h </w:instrText>
          </w:r>
          <w:r>
            <w:fldChar w:fldCharType="separate"/>
          </w:r>
          <w:r>
            <w:t>171</w:t>
          </w:r>
          <w:r>
            <w:fldChar w:fldCharType="end"/>
          </w:r>
          <w:r>
            <w:fldChar w:fldCharType="end"/>
          </w:r>
        </w:p>
        <w:p w14:paraId="219CC403">
          <w:pPr>
            <w:rPr>
              <w:rFonts w:ascii="宋体" w:hAnsi="宋体" w:eastAsia="宋体"/>
              <w:sz w:val="24"/>
              <w:szCs w:val="24"/>
            </w:rPr>
          </w:pPr>
          <w:r>
            <w:rPr>
              <w:rFonts w:ascii="宋体" w:hAnsi="宋体" w:eastAsia="宋体"/>
              <w:b/>
              <w:bCs/>
              <w:sz w:val="24"/>
              <w:szCs w:val="24"/>
              <w:lang w:val="zh-CN"/>
            </w:rPr>
            <w:fldChar w:fldCharType="end"/>
          </w:r>
        </w:p>
      </w:sdtContent>
    </w:sdt>
    <w:p w14:paraId="104FE900">
      <w:pPr>
        <w:pStyle w:val="96"/>
        <w:ind w:firstLine="0" w:firstLineChars="0"/>
        <w:jc w:val="center"/>
        <w:rPr>
          <w:sz w:val="32"/>
          <w:szCs w:val="28"/>
        </w:rPr>
        <w:sectPr>
          <w:pgSz w:w="11906" w:h="16838"/>
          <w:pgMar w:top="720" w:right="720" w:bottom="720" w:left="720" w:header="851" w:footer="1077" w:gutter="0"/>
          <w:cols w:space="425" w:num="1"/>
          <w:docGrid w:linePitch="312" w:charSpace="0"/>
        </w:sectPr>
      </w:pPr>
    </w:p>
    <w:p w14:paraId="44A9C10C">
      <w:pPr>
        <w:pStyle w:val="3"/>
      </w:pPr>
      <w:bookmarkStart w:id="130" w:name="_Toc171579812"/>
      <w:r>
        <w:t>生态环境影响评价原则</w:t>
      </w:r>
      <w:bookmarkEnd w:id="130"/>
    </w:p>
    <w:p w14:paraId="3F5FC5E5">
      <w:pPr>
        <w:pStyle w:val="4"/>
        <w:numPr>
          <w:ilvl w:val="2"/>
          <w:numId w:val="15"/>
        </w:numPr>
      </w:pPr>
      <w:bookmarkStart w:id="131" w:name="_Toc171579813"/>
      <w:r>
        <w:t>评价目的</w:t>
      </w:r>
      <w:bookmarkEnd w:id="131"/>
    </w:p>
    <w:p w14:paraId="5837C88B">
      <w:pPr>
        <w:pStyle w:val="96"/>
        <w:ind w:firstLine="480"/>
      </w:pPr>
      <w:r>
        <w:rPr>
          <w:rFonts w:hint="eastAsia"/>
        </w:rPr>
        <w:t>通过对本项目所在地区自然资源和社会经济状况的调查，土壤、农作物和自然生态环境现状分析，结合本工程施工和营运的影响特征，对评价范围内动植物、水土流失、农业生产等生态质量做出综合评价，在此基础上，提出项目建设、试采和关井时区域生态环境保护的措施和建议。</w:t>
      </w:r>
    </w:p>
    <w:p w14:paraId="6F155AFA">
      <w:pPr>
        <w:pStyle w:val="96"/>
        <w:ind w:firstLine="480"/>
      </w:pPr>
      <w:r>
        <w:rPr>
          <w:rFonts w:hint="eastAsia"/>
        </w:rPr>
        <w:t>本区域致密气勘探试采将采用排水采气的方式，勘探井占地导致的区域生态环境的变化是本次工程应重点关注的问题，对此，评价将以严谨的态度对工程生态影响进行分析，并提出具体的生态保护对策。</w:t>
      </w:r>
    </w:p>
    <w:p w14:paraId="21502AE6">
      <w:pPr>
        <w:pStyle w:val="4"/>
      </w:pPr>
      <w:bookmarkStart w:id="132" w:name="_Toc171579814"/>
      <w:r>
        <w:t>评价等级</w:t>
      </w:r>
      <w:bookmarkEnd w:id="132"/>
    </w:p>
    <w:p w14:paraId="1B8A799F">
      <w:pPr>
        <w:pStyle w:val="96"/>
        <w:ind w:firstLine="480"/>
      </w:pPr>
      <w:r>
        <w:rPr>
          <w:rFonts w:hint="eastAsia"/>
        </w:rPr>
        <w:t>本项目井场及其道路占地22.</w:t>
      </w:r>
      <w:r>
        <w:t>91</w:t>
      </w:r>
      <w:r>
        <w:rPr>
          <w:rFonts w:hint="eastAsia"/>
        </w:rPr>
        <w:t>ha</w:t>
      </w:r>
      <w:r>
        <w:t>，</w:t>
      </w:r>
      <w:r>
        <w:rPr>
          <w:rFonts w:hint="eastAsia"/>
        </w:rPr>
        <w:t>项目所在区域不涉及国家公园、自然保护区、世界自然遗迹、重要生境、自然公园，评价范围内涉及生态保护红线；地下水水位或土壤影响范围内无天然林、涉及占用其他地方公益林。根据《环境影响评价技术导则生态影响》（</w:t>
      </w:r>
      <w:r>
        <w:t>HJ19-2022）评价等级判断标准，生态评价等级应为</w:t>
      </w:r>
      <w:r>
        <w:rPr>
          <w:rFonts w:hint="eastAsia"/>
        </w:rPr>
        <w:t>二级</w:t>
      </w:r>
      <w:r>
        <w:t>。</w:t>
      </w:r>
    </w:p>
    <w:p w14:paraId="2A6887DA">
      <w:pPr>
        <w:pStyle w:val="19"/>
        <w:keepNext/>
      </w:pPr>
      <w:r>
        <w:t xml:space="preserve">表 </w:t>
      </w:r>
      <w:r>
        <w:fldChar w:fldCharType="begin"/>
      </w:r>
      <w:r>
        <w:instrText xml:space="preserve"> SEQ 表 \* ARABIC </w:instrText>
      </w:r>
      <w:r>
        <w:fldChar w:fldCharType="separate"/>
      </w:r>
      <w:r>
        <w:t>39</w:t>
      </w:r>
      <w:r>
        <w:fldChar w:fldCharType="end"/>
      </w:r>
      <w:r>
        <w:rPr>
          <w:rFonts w:hint="eastAsia"/>
        </w:rPr>
        <w:t>生态环境影响评价等级划分</w:t>
      </w:r>
    </w:p>
    <w:tbl>
      <w:tblPr>
        <w:tblStyle w:val="7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58"/>
        <w:gridCol w:w="3206"/>
        <w:gridCol w:w="4346"/>
        <w:gridCol w:w="1085"/>
        <w:gridCol w:w="1083"/>
      </w:tblGrid>
      <w:tr w14:paraId="1FB727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50" w:type="pct"/>
            <w:gridSpan w:val="2"/>
            <w:tcBorders>
              <w:top w:val="single" w:color="auto" w:sz="12" w:space="0"/>
              <w:left w:val="single" w:color="auto" w:sz="12" w:space="0"/>
              <w:bottom w:val="single" w:color="auto" w:sz="4" w:space="0"/>
              <w:right w:val="single" w:color="auto" w:sz="4" w:space="0"/>
            </w:tcBorders>
            <w:vAlign w:val="center"/>
          </w:tcPr>
          <w:p w14:paraId="07308DCA">
            <w:pPr>
              <w:pStyle w:val="94"/>
              <w:rPr>
                <w:color w:val="auto"/>
              </w:rPr>
            </w:pPr>
            <w:r>
              <w:rPr>
                <w:rFonts w:hint="eastAsia"/>
                <w:color w:val="auto"/>
              </w:rPr>
              <w:t>划分依据</w:t>
            </w:r>
          </w:p>
        </w:tc>
        <w:tc>
          <w:tcPr>
            <w:tcW w:w="2035" w:type="pct"/>
            <w:tcBorders>
              <w:top w:val="single" w:color="auto" w:sz="12" w:space="0"/>
              <w:left w:val="nil"/>
              <w:bottom w:val="single" w:color="auto" w:sz="4" w:space="0"/>
              <w:right w:val="single" w:color="auto" w:sz="4" w:space="0"/>
            </w:tcBorders>
            <w:vAlign w:val="center"/>
          </w:tcPr>
          <w:p w14:paraId="6CBC3ED2">
            <w:pPr>
              <w:pStyle w:val="94"/>
              <w:rPr>
                <w:color w:val="auto"/>
              </w:rPr>
            </w:pPr>
            <w:r>
              <w:rPr>
                <w:rFonts w:hint="eastAsia"/>
                <w:color w:val="auto"/>
              </w:rPr>
              <w:t>本项目情况</w:t>
            </w:r>
          </w:p>
        </w:tc>
        <w:tc>
          <w:tcPr>
            <w:tcW w:w="508" w:type="pct"/>
            <w:tcBorders>
              <w:top w:val="single" w:color="auto" w:sz="12" w:space="0"/>
              <w:left w:val="nil"/>
              <w:bottom w:val="single" w:color="auto" w:sz="4" w:space="0"/>
              <w:right w:val="single" w:color="auto" w:sz="12" w:space="0"/>
            </w:tcBorders>
            <w:vAlign w:val="center"/>
          </w:tcPr>
          <w:p w14:paraId="0CC2E039">
            <w:pPr>
              <w:pStyle w:val="94"/>
              <w:rPr>
                <w:color w:val="auto"/>
              </w:rPr>
            </w:pPr>
            <w:r>
              <w:rPr>
                <w:rFonts w:hint="eastAsia"/>
                <w:color w:val="auto"/>
              </w:rPr>
              <w:t>评价等级</w:t>
            </w:r>
          </w:p>
        </w:tc>
        <w:tc>
          <w:tcPr>
            <w:tcW w:w="507" w:type="pct"/>
            <w:tcBorders>
              <w:top w:val="single" w:color="auto" w:sz="12" w:space="0"/>
              <w:left w:val="single" w:color="auto" w:sz="4" w:space="0"/>
              <w:bottom w:val="single" w:color="auto" w:sz="4" w:space="0"/>
              <w:right w:val="single" w:color="auto" w:sz="12" w:space="0"/>
            </w:tcBorders>
            <w:vAlign w:val="center"/>
          </w:tcPr>
          <w:p w14:paraId="2B20ADC5">
            <w:pPr>
              <w:pStyle w:val="94"/>
              <w:rPr>
                <w:color w:val="auto"/>
              </w:rPr>
            </w:pPr>
            <w:r>
              <w:rPr>
                <w:rFonts w:hint="eastAsia"/>
                <w:color w:val="auto"/>
              </w:rPr>
              <w:t>本项目评价等级确认</w:t>
            </w:r>
          </w:p>
        </w:tc>
      </w:tr>
      <w:tr w14:paraId="7DF092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9" w:type="pct"/>
            <w:tcBorders>
              <w:top w:val="single" w:color="auto" w:sz="4" w:space="0"/>
              <w:left w:val="single" w:color="auto" w:sz="12" w:space="0"/>
              <w:bottom w:val="single" w:color="auto" w:sz="4" w:space="0"/>
              <w:right w:val="single" w:color="auto" w:sz="4" w:space="0"/>
            </w:tcBorders>
            <w:vAlign w:val="center"/>
          </w:tcPr>
          <w:p w14:paraId="50807C09">
            <w:pPr>
              <w:pStyle w:val="94"/>
              <w:rPr>
                <w:color w:val="auto"/>
              </w:rPr>
            </w:pPr>
            <w:r>
              <w:rPr>
                <w:color w:val="auto"/>
              </w:rPr>
              <w:t>1</w:t>
            </w:r>
          </w:p>
        </w:tc>
        <w:tc>
          <w:tcPr>
            <w:tcW w:w="1501" w:type="pct"/>
            <w:tcBorders>
              <w:top w:val="single" w:color="auto" w:sz="4" w:space="0"/>
              <w:left w:val="nil"/>
              <w:bottom w:val="single" w:color="auto" w:sz="4" w:space="0"/>
              <w:right w:val="single" w:color="auto" w:sz="4" w:space="0"/>
            </w:tcBorders>
            <w:vAlign w:val="center"/>
          </w:tcPr>
          <w:p w14:paraId="6C2334B1">
            <w:pPr>
              <w:pStyle w:val="94"/>
              <w:rPr>
                <w:color w:val="auto"/>
              </w:rPr>
            </w:pPr>
            <w:r>
              <w:rPr>
                <w:rFonts w:hint="eastAsia"/>
                <w:color w:val="auto"/>
              </w:rPr>
              <w:t>涉及国家公园、自然保护区、世界自然遗产、重要生境时，评价等级为一级</w:t>
            </w:r>
          </w:p>
        </w:tc>
        <w:tc>
          <w:tcPr>
            <w:tcW w:w="2035" w:type="pct"/>
            <w:tcBorders>
              <w:top w:val="single" w:color="auto" w:sz="4" w:space="0"/>
              <w:left w:val="nil"/>
              <w:bottom w:val="single" w:color="auto" w:sz="4" w:space="0"/>
              <w:right w:val="single" w:color="auto" w:sz="4" w:space="0"/>
            </w:tcBorders>
            <w:vAlign w:val="center"/>
          </w:tcPr>
          <w:p w14:paraId="1DA958D3">
            <w:pPr>
              <w:pStyle w:val="94"/>
              <w:rPr>
                <w:color w:val="auto"/>
              </w:rPr>
            </w:pPr>
            <w:r>
              <w:rPr>
                <w:rFonts w:hint="eastAsia"/>
                <w:color w:val="auto"/>
              </w:rPr>
              <w:t>评价范围内不涉及国家公园、自然保护区、世界自然遗产、重要生境</w:t>
            </w:r>
          </w:p>
        </w:tc>
        <w:tc>
          <w:tcPr>
            <w:tcW w:w="508" w:type="pct"/>
            <w:tcBorders>
              <w:top w:val="single" w:color="auto" w:sz="4" w:space="0"/>
              <w:left w:val="nil"/>
              <w:bottom w:val="single" w:color="auto" w:sz="12" w:space="0"/>
              <w:right w:val="single" w:color="auto" w:sz="12" w:space="0"/>
            </w:tcBorders>
            <w:vAlign w:val="center"/>
          </w:tcPr>
          <w:p w14:paraId="04C14723">
            <w:pPr>
              <w:pStyle w:val="94"/>
              <w:rPr>
                <w:color w:val="auto"/>
              </w:rPr>
            </w:pPr>
            <w:r>
              <w:rPr>
                <w:color w:val="auto"/>
              </w:rPr>
              <w:t>一级</w:t>
            </w:r>
          </w:p>
        </w:tc>
        <w:tc>
          <w:tcPr>
            <w:tcW w:w="507" w:type="pct"/>
            <w:tcBorders>
              <w:top w:val="single" w:color="auto" w:sz="4" w:space="0"/>
              <w:left w:val="single" w:color="auto" w:sz="4" w:space="0"/>
              <w:bottom w:val="single" w:color="auto" w:sz="12" w:space="0"/>
              <w:right w:val="single" w:color="auto" w:sz="12" w:space="0"/>
            </w:tcBorders>
            <w:vAlign w:val="center"/>
          </w:tcPr>
          <w:p w14:paraId="05D2AAD6">
            <w:pPr>
              <w:pStyle w:val="94"/>
              <w:rPr>
                <w:color w:val="auto"/>
              </w:rPr>
            </w:pPr>
            <w:r>
              <w:rPr>
                <w:rFonts w:hint="eastAsia"/>
                <w:color w:val="auto"/>
              </w:rPr>
              <w:t>不涉及</w:t>
            </w:r>
          </w:p>
        </w:tc>
      </w:tr>
      <w:tr w14:paraId="781B53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9" w:type="pct"/>
            <w:tcBorders>
              <w:top w:val="single" w:color="auto" w:sz="4" w:space="0"/>
              <w:left w:val="single" w:color="auto" w:sz="12" w:space="0"/>
              <w:bottom w:val="single" w:color="auto" w:sz="4" w:space="0"/>
              <w:right w:val="single" w:color="auto" w:sz="4" w:space="0"/>
            </w:tcBorders>
            <w:vAlign w:val="center"/>
          </w:tcPr>
          <w:p w14:paraId="1123EE23">
            <w:pPr>
              <w:pStyle w:val="94"/>
              <w:rPr>
                <w:color w:val="auto"/>
              </w:rPr>
            </w:pPr>
            <w:r>
              <w:rPr>
                <w:color w:val="auto"/>
              </w:rPr>
              <w:t>2</w:t>
            </w:r>
          </w:p>
        </w:tc>
        <w:tc>
          <w:tcPr>
            <w:tcW w:w="1501" w:type="pct"/>
            <w:tcBorders>
              <w:top w:val="single" w:color="auto" w:sz="4" w:space="0"/>
              <w:left w:val="nil"/>
              <w:bottom w:val="single" w:color="auto" w:sz="4" w:space="0"/>
              <w:right w:val="single" w:color="auto" w:sz="4" w:space="0"/>
            </w:tcBorders>
            <w:vAlign w:val="center"/>
          </w:tcPr>
          <w:p w14:paraId="2A7373E2">
            <w:pPr>
              <w:pStyle w:val="94"/>
              <w:rPr>
                <w:color w:val="auto"/>
              </w:rPr>
            </w:pPr>
            <w:r>
              <w:rPr>
                <w:rFonts w:hint="eastAsia"/>
                <w:color w:val="auto"/>
              </w:rPr>
              <w:t>涉及自然公园时，评价等级为二级</w:t>
            </w:r>
          </w:p>
        </w:tc>
        <w:tc>
          <w:tcPr>
            <w:tcW w:w="2035" w:type="pct"/>
            <w:tcBorders>
              <w:top w:val="single" w:color="auto" w:sz="4" w:space="0"/>
              <w:left w:val="nil"/>
              <w:bottom w:val="single" w:color="auto" w:sz="4" w:space="0"/>
              <w:right w:val="single" w:color="auto" w:sz="4" w:space="0"/>
            </w:tcBorders>
            <w:vAlign w:val="center"/>
          </w:tcPr>
          <w:p w14:paraId="2A315D4D">
            <w:pPr>
              <w:pStyle w:val="94"/>
              <w:rPr>
                <w:color w:val="auto"/>
              </w:rPr>
            </w:pPr>
            <w:r>
              <w:rPr>
                <w:rFonts w:hint="eastAsia"/>
                <w:color w:val="auto"/>
              </w:rPr>
              <w:t>评价范围内不涉及自然公园</w:t>
            </w:r>
          </w:p>
        </w:tc>
        <w:tc>
          <w:tcPr>
            <w:tcW w:w="508" w:type="pct"/>
            <w:tcBorders>
              <w:top w:val="single" w:color="auto" w:sz="4" w:space="0"/>
              <w:left w:val="nil"/>
              <w:bottom w:val="single" w:color="auto" w:sz="12" w:space="0"/>
              <w:right w:val="single" w:color="auto" w:sz="12" w:space="0"/>
            </w:tcBorders>
            <w:vAlign w:val="center"/>
          </w:tcPr>
          <w:p w14:paraId="42D50F4A">
            <w:pPr>
              <w:pStyle w:val="94"/>
              <w:rPr>
                <w:color w:val="auto"/>
              </w:rPr>
            </w:pPr>
            <w:r>
              <w:rPr>
                <w:color w:val="auto"/>
              </w:rPr>
              <w:t>二级</w:t>
            </w:r>
          </w:p>
        </w:tc>
        <w:tc>
          <w:tcPr>
            <w:tcW w:w="507" w:type="pct"/>
            <w:tcBorders>
              <w:top w:val="single" w:color="auto" w:sz="4" w:space="0"/>
              <w:left w:val="single" w:color="auto" w:sz="4" w:space="0"/>
              <w:bottom w:val="single" w:color="auto" w:sz="12" w:space="0"/>
              <w:right w:val="single" w:color="auto" w:sz="12" w:space="0"/>
            </w:tcBorders>
            <w:vAlign w:val="center"/>
          </w:tcPr>
          <w:p w14:paraId="02B86C31">
            <w:pPr>
              <w:pStyle w:val="94"/>
              <w:rPr>
                <w:color w:val="auto"/>
              </w:rPr>
            </w:pPr>
            <w:r>
              <w:rPr>
                <w:rFonts w:hint="eastAsia"/>
                <w:color w:val="auto"/>
              </w:rPr>
              <w:t>不涉及</w:t>
            </w:r>
          </w:p>
        </w:tc>
      </w:tr>
      <w:tr w14:paraId="12C4E4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9" w:type="pct"/>
            <w:tcBorders>
              <w:top w:val="single" w:color="auto" w:sz="4" w:space="0"/>
              <w:left w:val="single" w:color="auto" w:sz="12" w:space="0"/>
              <w:bottom w:val="single" w:color="auto" w:sz="4" w:space="0"/>
              <w:right w:val="single" w:color="auto" w:sz="4" w:space="0"/>
            </w:tcBorders>
            <w:vAlign w:val="center"/>
          </w:tcPr>
          <w:p w14:paraId="4B562BC6">
            <w:pPr>
              <w:pStyle w:val="94"/>
              <w:rPr>
                <w:color w:val="auto"/>
              </w:rPr>
            </w:pPr>
            <w:r>
              <w:rPr>
                <w:color w:val="auto"/>
              </w:rPr>
              <w:t>3</w:t>
            </w:r>
          </w:p>
        </w:tc>
        <w:tc>
          <w:tcPr>
            <w:tcW w:w="1501" w:type="pct"/>
            <w:tcBorders>
              <w:top w:val="single" w:color="auto" w:sz="4" w:space="0"/>
              <w:left w:val="nil"/>
              <w:bottom w:val="single" w:color="auto" w:sz="4" w:space="0"/>
              <w:right w:val="single" w:color="auto" w:sz="4" w:space="0"/>
            </w:tcBorders>
            <w:vAlign w:val="center"/>
          </w:tcPr>
          <w:p w14:paraId="43DA3434">
            <w:pPr>
              <w:pStyle w:val="94"/>
              <w:rPr>
                <w:color w:val="auto"/>
              </w:rPr>
            </w:pPr>
            <w:r>
              <w:rPr>
                <w:rFonts w:hint="eastAsia"/>
                <w:color w:val="auto"/>
              </w:rPr>
              <w:t>涉及生态保护红线时，评价等级不低于二级</w:t>
            </w:r>
          </w:p>
        </w:tc>
        <w:tc>
          <w:tcPr>
            <w:tcW w:w="2035" w:type="pct"/>
            <w:tcBorders>
              <w:top w:val="single" w:color="auto" w:sz="4" w:space="0"/>
              <w:left w:val="nil"/>
              <w:bottom w:val="single" w:color="auto" w:sz="4" w:space="0"/>
              <w:right w:val="single" w:color="auto" w:sz="4" w:space="0"/>
            </w:tcBorders>
            <w:vAlign w:val="center"/>
          </w:tcPr>
          <w:p w14:paraId="25119099">
            <w:pPr>
              <w:pStyle w:val="94"/>
              <w:rPr>
                <w:color w:val="auto"/>
              </w:rPr>
            </w:pPr>
            <w:r>
              <w:rPr>
                <w:rFonts w:hint="eastAsia"/>
                <w:color w:val="auto"/>
              </w:rPr>
              <w:t>评价范围内涉及生态红线172.38ha</w:t>
            </w:r>
          </w:p>
        </w:tc>
        <w:tc>
          <w:tcPr>
            <w:tcW w:w="508" w:type="pct"/>
            <w:tcBorders>
              <w:top w:val="single" w:color="auto" w:sz="4" w:space="0"/>
              <w:left w:val="nil"/>
              <w:bottom w:val="single" w:color="auto" w:sz="12" w:space="0"/>
              <w:right w:val="single" w:color="auto" w:sz="12" w:space="0"/>
            </w:tcBorders>
            <w:vAlign w:val="center"/>
          </w:tcPr>
          <w:p w14:paraId="2DE51207">
            <w:pPr>
              <w:pStyle w:val="94"/>
              <w:rPr>
                <w:color w:val="auto"/>
              </w:rPr>
            </w:pPr>
            <w:r>
              <w:rPr>
                <w:color w:val="auto"/>
              </w:rPr>
              <w:t>二级</w:t>
            </w:r>
          </w:p>
        </w:tc>
        <w:tc>
          <w:tcPr>
            <w:tcW w:w="507" w:type="pct"/>
            <w:tcBorders>
              <w:top w:val="single" w:color="auto" w:sz="4" w:space="0"/>
              <w:left w:val="single" w:color="auto" w:sz="4" w:space="0"/>
              <w:bottom w:val="single" w:color="auto" w:sz="12" w:space="0"/>
              <w:right w:val="single" w:color="auto" w:sz="12" w:space="0"/>
            </w:tcBorders>
            <w:vAlign w:val="center"/>
          </w:tcPr>
          <w:p w14:paraId="47F16538">
            <w:pPr>
              <w:pStyle w:val="94"/>
              <w:rPr>
                <w:color w:val="auto"/>
              </w:rPr>
            </w:pPr>
            <w:r>
              <w:rPr>
                <w:rFonts w:hint="eastAsia"/>
                <w:color w:val="auto"/>
              </w:rPr>
              <w:t>二级</w:t>
            </w:r>
          </w:p>
        </w:tc>
      </w:tr>
      <w:tr w14:paraId="754CFD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9" w:type="pct"/>
            <w:tcBorders>
              <w:top w:val="single" w:color="auto" w:sz="4" w:space="0"/>
              <w:left w:val="single" w:color="auto" w:sz="12" w:space="0"/>
              <w:bottom w:val="single" w:color="auto" w:sz="4" w:space="0"/>
              <w:right w:val="single" w:color="auto" w:sz="4" w:space="0"/>
            </w:tcBorders>
            <w:vAlign w:val="center"/>
          </w:tcPr>
          <w:p w14:paraId="2680821D">
            <w:pPr>
              <w:pStyle w:val="94"/>
              <w:rPr>
                <w:color w:val="auto"/>
              </w:rPr>
            </w:pPr>
            <w:r>
              <w:rPr>
                <w:color w:val="auto"/>
              </w:rPr>
              <w:t>4</w:t>
            </w:r>
          </w:p>
        </w:tc>
        <w:tc>
          <w:tcPr>
            <w:tcW w:w="1501" w:type="pct"/>
            <w:tcBorders>
              <w:top w:val="single" w:color="auto" w:sz="4" w:space="0"/>
              <w:left w:val="nil"/>
              <w:bottom w:val="single" w:color="auto" w:sz="4" w:space="0"/>
              <w:right w:val="single" w:color="auto" w:sz="4" w:space="0"/>
            </w:tcBorders>
            <w:vAlign w:val="center"/>
          </w:tcPr>
          <w:p w14:paraId="2B0C4F4E">
            <w:pPr>
              <w:pStyle w:val="94"/>
              <w:rPr>
                <w:color w:val="auto"/>
              </w:rPr>
            </w:pPr>
            <w:r>
              <w:rPr>
                <w:rFonts w:hint="eastAsia"/>
                <w:color w:val="auto"/>
              </w:rPr>
              <w:t>根据</w:t>
            </w:r>
            <w:r>
              <w:rPr>
                <w:color w:val="auto"/>
              </w:rPr>
              <w:t>HJ2.3</w:t>
            </w:r>
            <w:r>
              <w:rPr>
                <w:rFonts w:hint="eastAsia"/>
                <w:color w:val="auto"/>
              </w:rPr>
              <w:t>判断属于水文要素影响型且地表水评价等级不低于二级的建设项目，生态影响评价等级不低于二级</w:t>
            </w:r>
          </w:p>
        </w:tc>
        <w:tc>
          <w:tcPr>
            <w:tcW w:w="2035" w:type="pct"/>
            <w:tcBorders>
              <w:top w:val="single" w:color="auto" w:sz="4" w:space="0"/>
              <w:left w:val="nil"/>
              <w:bottom w:val="single" w:color="auto" w:sz="4" w:space="0"/>
              <w:right w:val="single" w:color="auto" w:sz="4" w:space="0"/>
            </w:tcBorders>
            <w:vAlign w:val="center"/>
          </w:tcPr>
          <w:p w14:paraId="124B22BA">
            <w:pPr>
              <w:pStyle w:val="94"/>
              <w:rPr>
                <w:color w:val="auto"/>
              </w:rPr>
            </w:pPr>
            <w:r>
              <w:rPr>
                <w:rFonts w:hint="eastAsia"/>
                <w:color w:val="auto"/>
              </w:rPr>
              <w:t>根据《环境影响评价技术导则地表水环境》（</w:t>
            </w:r>
            <w:r>
              <w:rPr>
                <w:color w:val="auto"/>
              </w:rPr>
              <w:t>HJ2.3-2018</w:t>
            </w:r>
            <w:r>
              <w:rPr>
                <w:rFonts w:hint="eastAsia"/>
                <w:color w:val="auto"/>
              </w:rPr>
              <w:t>）判断项目不属于水文要素影响型</w:t>
            </w:r>
          </w:p>
        </w:tc>
        <w:tc>
          <w:tcPr>
            <w:tcW w:w="508" w:type="pct"/>
            <w:tcBorders>
              <w:top w:val="single" w:color="auto" w:sz="4" w:space="0"/>
              <w:left w:val="nil"/>
              <w:bottom w:val="single" w:color="auto" w:sz="12" w:space="0"/>
              <w:right w:val="single" w:color="auto" w:sz="12" w:space="0"/>
            </w:tcBorders>
            <w:vAlign w:val="center"/>
          </w:tcPr>
          <w:p w14:paraId="678006AB">
            <w:pPr>
              <w:pStyle w:val="94"/>
              <w:rPr>
                <w:color w:val="auto"/>
              </w:rPr>
            </w:pPr>
            <w:r>
              <w:rPr>
                <w:color w:val="auto"/>
              </w:rPr>
              <w:t>不低于二级</w:t>
            </w:r>
          </w:p>
        </w:tc>
        <w:tc>
          <w:tcPr>
            <w:tcW w:w="507" w:type="pct"/>
            <w:tcBorders>
              <w:top w:val="single" w:color="auto" w:sz="4" w:space="0"/>
              <w:left w:val="single" w:color="auto" w:sz="4" w:space="0"/>
              <w:bottom w:val="single" w:color="auto" w:sz="12" w:space="0"/>
              <w:right w:val="single" w:color="auto" w:sz="12" w:space="0"/>
            </w:tcBorders>
            <w:vAlign w:val="center"/>
          </w:tcPr>
          <w:p w14:paraId="358CCACD">
            <w:pPr>
              <w:pStyle w:val="94"/>
              <w:rPr>
                <w:color w:val="auto"/>
              </w:rPr>
            </w:pPr>
            <w:r>
              <w:rPr>
                <w:rFonts w:hint="eastAsia"/>
                <w:color w:val="auto"/>
              </w:rPr>
              <w:t>不涉及</w:t>
            </w:r>
          </w:p>
        </w:tc>
      </w:tr>
      <w:tr w14:paraId="6C09A6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9" w:type="pct"/>
            <w:tcBorders>
              <w:top w:val="single" w:color="auto" w:sz="4" w:space="0"/>
              <w:left w:val="single" w:color="auto" w:sz="12" w:space="0"/>
              <w:bottom w:val="single" w:color="auto" w:sz="4" w:space="0"/>
              <w:right w:val="single" w:color="auto" w:sz="4" w:space="0"/>
            </w:tcBorders>
            <w:vAlign w:val="center"/>
          </w:tcPr>
          <w:p w14:paraId="25B5622F">
            <w:pPr>
              <w:pStyle w:val="94"/>
              <w:rPr>
                <w:color w:val="auto"/>
              </w:rPr>
            </w:pPr>
            <w:r>
              <w:rPr>
                <w:color w:val="auto"/>
              </w:rPr>
              <w:t>5</w:t>
            </w:r>
          </w:p>
        </w:tc>
        <w:tc>
          <w:tcPr>
            <w:tcW w:w="1501" w:type="pct"/>
            <w:tcBorders>
              <w:top w:val="single" w:color="auto" w:sz="4" w:space="0"/>
              <w:left w:val="nil"/>
              <w:bottom w:val="single" w:color="auto" w:sz="4" w:space="0"/>
              <w:right w:val="single" w:color="auto" w:sz="4" w:space="0"/>
            </w:tcBorders>
            <w:vAlign w:val="center"/>
          </w:tcPr>
          <w:p w14:paraId="3A8461D7">
            <w:pPr>
              <w:pStyle w:val="94"/>
              <w:rPr>
                <w:color w:val="auto"/>
              </w:rPr>
            </w:pPr>
            <w:r>
              <w:rPr>
                <w:rFonts w:hint="eastAsia"/>
                <w:color w:val="auto"/>
              </w:rPr>
              <w:t>根据</w:t>
            </w:r>
            <w:r>
              <w:rPr>
                <w:color w:val="auto"/>
              </w:rPr>
              <w:t>HJ610</w:t>
            </w:r>
            <w:r>
              <w:rPr>
                <w:rFonts w:hint="eastAsia"/>
                <w:color w:val="auto"/>
              </w:rPr>
              <w:t>、</w:t>
            </w:r>
            <w:r>
              <w:rPr>
                <w:color w:val="auto"/>
              </w:rPr>
              <w:t>HJ964</w:t>
            </w:r>
            <w:r>
              <w:rPr>
                <w:rFonts w:hint="eastAsia"/>
                <w:color w:val="auto"/>
              </w:rPr>
              <w:t>判断地下水水位或土壤影响范围内分布有天然林、公益林、湿地等生态保护目标的建设项目，生态影响评价等级不低于二级</w:t>
            </w:r>
          </w:p>
        </w:tc>
        <w:tc>
          <w:tcPr>
            <w:tcW w:w="2035" w:type="pct"/>
            <w:tcBorders>
              <w:top w:val="single" w:color="auto" w:sz="4" w:space="0"/>
              <w:left w:val="nil"/>
              <w:bottom w:val="single" w:color="auto" w:sz="4" w:space="0"/>
              <w:right w:val="single" w:color="auto" w:sz="4" w:space="0"/>
            </w:tcBorders>
            <w:vAlign w:val="center"/>
          </w:tcPr>
          <w:p w14:paraId="03AA5ADD">
            <w:pPr>
              <w:pStyle w:val="94"/>
              <w:rPr>
                <w:color w:val="auto"/>
              </w:rPr>
            </w:pPr>
            <w:r>
              <w:rPr>
                <w:rFonts w:hint="eastAsia"/>
                <w:color w:val="auto"/>
              </w:rPr>
              <w:t>本项目涉及占用其他地方公益林0</w:t>
            </w:r>
            <w:r>
              <w:rPr>
                <w:color w:val="auto"/>
              </w:rPr>
              <w:t>.05</w:t>
            </w:r>
            <w:r>
              <w:rPr>
                <w:rFonts w:hint="eastAsia"/>
                <w:color w:val="auto"/>
              </w:rPr>
              <w:t>ha</w:t>
            </w:r>
          </w:p>
        </w:tc>
        <w:tc>
          <w:tcPr>
            <w:tcW w:w="508" w:type="pct"/>
            <w:tcBorders>
              <w:top w:val="single" w:color="auto" w:sz="4" w:space="0"/>
              <w:left w:val="nil"/>
              <w:bottom w:val="single" w:color="auto" w:sz="12" w:space="0"/>
              <w:right w:val="single" w:color="auto" w:sz="12" w:space="0"/>
            </w:tcBorders>
            <w:vAlign w:val="center"/>
          </w:tcPr>
          <w:p w14:paraId="396C7706">
            <w:pPr>
              <w:pStyle w:val="94"/>
              <w:rPr>
                <w:color w:val="auto"/>
              </w:rPr>
            </w:pPr>
            <w:r>
              <w:rPr>
                <w:color w:val="auto"/>
              </w:rPr>
              <w:t>不低于二级</w:t>
            </w:r>
          </w:p>
        </w:tc>
        <w:tc>
          <w:tcPr>
            <w:tcW w:w="507" w:type="pct"/>
            <w:tcBorders>
              <w:top w:val="single" w:color="auto" w:sz="4" w:space="0"/>
              <w:left w:val="single" w:color="auto" w:sz="4" w:space="0"/>
              <w:bottom w:val="single" w:color="auto" w:sz="12" w:space="0"/>
              <w:right w:val="single" w:color="auto" w:sz="12" w:space="0"/>
            </w:tcBorders>
            <w:vAlign w:val="center"/>
          </w:tcPr>
          <w:p w14:paraId="111EF780">
            <w:pPr>
              <w:pStyle w:val="94"/>
              <w:rPr>
                <w:color w:val="auto"/>
              </w:rPr>
            </w:pPr>
            <w:r>
              <w:rPr>
                <w:rFonts w:hint="eastAsia"/>
                <w:color w:val="auto"/>
              </w:rPr>
              <w:t>二级</w:t>
            </w:r>
          </w:p>
        </w:tc>
      </w:tr>
      <w:tr w14:paraId="65D23F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9" w:type="pct"/>
            <w:tcBorders>
              <w:top w:val="single" w:color="auto" w:sz="4" w:space="0"/>
              <w:left w:val="single" w:color="auto" w:sz="12" w:space="0"/>
              <w:bottom w:val="single" w:color="auto" w:sz="4" w:space="0"/>
              <w:right w:val="single" w:color="auto" w:sz="4" w:space="0"/>
            </w:tcBorders>
            <w:vAlign w:val="center"/>
          </w:tcPr>
          <w:p w14:paraId="4947E3F0">
            <w:pPr>
              <w:pStyle w:val="94"/>
              <w:rPr>
                <w:color w:val="auto"/>
              </w:rPr>
            </w:pPr>
            <w:r>
              <w:rPr>
                <w:color w:val="auto"/>
              </w:rPr>
              <w:t>6</w:t>
            </w:r>
          </w:p>
        </w:tc>
        <w:tc>
          <w:tcPr>
            <w:tcW w:w="1501" w:type="pct"/>
            <w:tcBorders>
              <w:top w:val="single" w:color="auto" w:sz="4" w:space="0"/>
              <w:left w:val="nil"/>
              <w:bottom w:val="single" w:color="auto" w:sz="4" w:space="0"/>
              <w:right w:val="single" w:color="auto" w:sz="4" w:space="0"/>
            </w:tcBorders>
            <w:vAlign w:val="center"/>
          </w:tcPr>
          <w:p w14:paraId="66005151">
            <w:pPr>
              <w:pStyle w:val="94"/>
              <w:rPr>
                <w:color w:val="auto"/>
              </w:rPr>
            </w:pPr>
            <w:r>
              <w:rPr>
                <w:rFonts w:hint="eastAsia"/>
                <w:color w:val="auto"/>
              </w:rPr>
              <w:t>当工程占地规模大于</w:t>
            </w:r>
            <w:r>
              <w:rPr>
                <w:color w:val="auto"/>
              </w:rPr>
              <w:t>20km2</w:t>
            </w:r>
            <w:r>
              <w:rPr>
                <w:rFonts w:hint="eastAsia"/>
                <w:color w:val="auto"/>
              </w:rPr>
              <w:t>时（包括永久和临时占用陆域和水域），评价等级不低于二级；改扩建项目的占地范围以新增占地（包括陆域和水域）确定</w:t>
            </w:r>
          </w:p>
        </w:tc>
        <w:tc>
          <w:tcPr>
            <w:tcW w:w="2035" w:type="pct"/>
            <w:tcBorders>
              <w:top w:val="single" w:color="auto" w:sz="4" w:space="0"/>
              <w:left w:val="nil"/>
              <w:bottom w:val="single" w:color="auto" w:sz="4" w:space="0"/>
              <w:right w:val="single" w:color="auto" w:sz="4" w:space="0"/>
            </w:tcBorders>
            <w:vAlign w:val="center"/>
          </w:tcPr>
          <w:p w14:paraId="353C762E">
            <w:pPr>
              <w:pStyle w:val="94"/>
              <w:rPr>
                <w:color w:val="auto"/>
              </w:rPr>
            </w:pPr>
            <w:r>
              <w:rPr>
                <w:rFonts w:hint="eastAsia"/>
                <w:color w:val="auto"/>
              </w:rPr>
              <w:t>本项目新增占地面积为</w:t>
            </w:r>
            <w:r>
              <w:rPr>
                <w:color w:val="auto"/>
              </w:rPr>
              <w:t>0.2291km</w:t>
            </w:r>
            <w:r>
              <w:rPr>
                <w:color w:val="auto"/>
                <w:vertAlign w:val="superscript"/>
              </w:rPr>
              <w:t>2</w:t>
            </w:r>
            <w:r>
              <w:rPr>
                <w:color w:val="auto"/>
              </w:rPr>
              <w:t xml:space="preserve"> </w:t>
            </w:r>
          </w:p>
        </w:tc>
        <w:tc>
          <w:tcPr>
            <w:tcW w:w="508" w:type="pct"/>
            <w:tcBorders>
              <w:top w:val="single" w:color="auto" w:sz="4" w:space="0"/>
              <w:left w:val="nil"/>
              <w:bottom w:val="single" w:color="auto" w:sz="12" w:space="0"/>
              <w:right w:val="single" w:color="auto" w:sz="12" w:space="0"/>
            </w:tcBorders>
            <w:vAlign w:val="center"/>
          </w:tcPr>
          <w:p w14:paraId="6B8E8FCF">
            <w:pPr>
              <w:pStyle w:val="94"/>
              <w:rPr>
                <w:color w:val="auto"/>
              </w:rPr>
            </w:pPr>
            <w:r>
              <w:rPr>
                <w:color w:val="auto"/>
              </w:rPr>
              <w:t>不低于二级</w:t>
            </w:r>
          </w:p>
        </w:tc>
        <w:tc>
          <w:tcPr>
            <w:tcW w:w="507" w:type="pct"/>
            <w:tcBorders>
              <w:top w:val="single" w:color="auto" w:sz="4" w:space="0"/>
              <w:left w:val="single" w:color="auto" w:sz="4" w:space="0"/>
              <w:bottom w:val="single" w:color="auto" w:sz="12" w:space="0"/>
              <w:right w:val="single" w:color="auto" w:sz="12" w:space="0"/>
            </w:tcBorders>
            <w:vAlign w:val="center"/>
          </w:tcPr>
          <w:p w14:paraId="572FF4E1">
            <w:pPr>
              <w:pStyle w:val="94"/>
              <w:rPr>
                <w:color w:val="auto"/>
              </w:rPr>
            </w:pPr>
            <w:r>
              <w:rPr>
                <w:rFonts w:hint="eastAsia"/>
                <w:color w:val="auto"/>
              </w:rPr>
              <w:t>三级</w:t>
            </w:r>
          </w:p>
        </w:tc>
      </w:tr>
    </w:tbl>
    <w:p w14:paraId="4DCE2FE2">
      <w:pPr>
        <w:pStyle w:val="4"/>
      </w:pPr>
      <w:bookmarkStart w:id="133" w:name="_Toc171579815"/>
      <w:r>
        <w:t>评价范围</w:t>
      </w:r>
      <w:bookmarkEnd w:id="133"/>
    </w:p>
    <w:p w14:paraId="7A0FD414">
      <w:pPr>
        <w:pStyle w:val="96"/>
        <w:ind w:firstLine="480"/>
      </w:pPr>
      <w:r>
        <w:rPr>
          <w:rFonts w:hint="eastAsia"/>
        </w:rPr>
        <w:t>生态影响评价范围应能够充分体现生态完整性，涵盖评价项目全部活动的直接影响区域和间接影响区域。依据评价项目对生态因子的影响方式、影响程度和生态因子之间的相互影响和相互依存关系，参考《山西省重点行业“一本式”环评报告编制技术指南</w:t>
      </w:r>
      <w:r>
        <w:t>煤层气开采</w:t>
      </w:r>
      <w:r>
        <w:rPr>
          <w:rFonts w:hint="eastAsia"/>
        </w:rPr>
        <w:t>》本次生态评价范围以井场四周外扩</w:t>
      </w:r>
      <w:r>
        <w:t>50m</w:t>
      </w:r>
      <w:r>
        <w:rPr>
          <w:rFonts w:hint="eastAsia"/>
        </w:rPr>
        <w:t>，井场道路外扩300m</w:t>
      </w:r>
      <w:r>
        <w:t>，评价范围</w:t>
      </w:r>
      <w:r>
        <w:rPr>
          <w:rFonts w:hint="eastAsia"/>
        </w:rPr>
        <w:t>525.49ha</w:t>
      </w:r>
      <w:r>
        <w:t>。</w:t>
      </w:r>
    </w:p>
    <w:p w14:paraId="4C480172">
      <w:pPr>
        <w:pStyle w:val="4"/>
      </w:pPr>
      <w:bookmarkStart w:id="134" w:name="_Toc171579816"/>
      <w:r>
        <w:t>评价因子选择</w:t>
      </w:r>
      <w:bookmarkEnd w:id="134"/>
    </w:p>
    <w:p w14:paraId="016C47C3">
      <w:pPr>
        <w:pStyle w:val="96"/>
        <w:ind w:firstLine="480"/>
      </w:pPr>
      <w:r>
        <w:rPr>
          <w:rFonts w:hint="eastAsia"/>
        </w:rPr>
        <w:t>为明确项目建设与运行可能引起的生态环境变化，本次评价通过定性与定量相结合的方法，采用</w:t>
      </w:r>
      <w:r>
        <w:t>3S技术结合现场调查的方法，对项目运行前后的区域生态状况进行对比，在说明项目影响的同时，可针对受影响的重点区域提出对应的生态保护对策。</w:t>
      </w:r>
    </w:p>
    <w:p w14:paraId="3209B30C">
      <w:pPr>
        <w:pStyle w:val="96"/>
        <w:ind w:firstLine="480"/>
      </w:pPr>
      <w:r>
        <w:rPr>
          <w:rFonts w:hint="eastAsia"/>
        </w:rPr>
        <w:t>根据以上分析，结合当地的生态环境特征，本项目生态评价因子筛选见下表。</w:t>
      </w:r>
    </w:p>
    <w:p w14:paraId="39269779">
      <w:pPr>
        <w:pStyle w:val="19"/>
        <w:keepNext/>
      </w:pPr>
      <w:r>
        <w:t xml:space="preserve">表 </w:t>
      </w:r>
      <w:r>
        <w:fldChar w:fldCharType="begin"/>
      </w:r>
      <w:r>
        <w:instrText xml:space="preserve"> SEQ 表 \* ARABIC </w:instrText>
      </w:r>
      <w:r>
        <w:fldChar w:fldCharType="separate"/>
      </w:r>
      <w:r>
        <w:t>40</w:t>
      </w:r>
      <w:r>
        <w:fldChar w:fldCharType="end"/>
      </w:r>
      <w:r>
        <w:rPr>
          <w:rFonts w:hint="eastAsia"/>
        </w:rPr>
        <w:t>生态影响评价因子筛选表</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45"/>
        <w:gridCol w:w="4953"/>
        <w:gridCol w:w="1326"/>
        <w:gridCol w:w="1326"/>
        <w:gridCol w:w="966"/>
        <w:gridCol w:w="966"/>
      </w:tblGrid>
      <w:tr w14:paraId="5F0B52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vAlign w:val="center"/>
          </w:tcPr>
          <w:p w14:paraId="188DC035">
            <w:pPr>
              <w:pStyle w:val="94"/>
              <w:rPr>
                <w:color w:val="auto"/>
              </w:rPr>
            </w:pPr>
            <w:r>
              <w:rPr>
                <w:rFonts w:hint="eastAsia"/>
                <w:color w:val="auto"/>
              </w:rPr>
              <w:t>受影响对象</w:t>
            </w:r>
          </w:p>
        </w:tc>
        <w:tc>
          <w:tcPr>
            <w:tcW w:w="0" w:type="auto"/>
            <w:vAlign w:val="center"/>
          </w:tcPr>
          <w:p w14:paraId="111378BD">
            <w:pPr>
              <w:pStyle w:val="94"/>
              <w:rPr>
                <w:color w:val="auto"/>
              </w:rPr>
            </w:pPr>
            <w:r>
              <w:rPr>
                <w:rFonts w:hint="eastAsia"/>
                <w:color w:val="auto"/>
              </w:rPr>
              <w:t>评价因子</w:t>
            </w:r>
          </w:p>
        </w:tc>
        <w:tc>
          <w:tcPr>
            <w:tcW w:w="0" w:type="auto"/>
            <w:vAlign w:val="center"/>
          </w:tcPr>
          <w:p w14:paraId="330BA914">
            <w:pPr>
              <w:pStyle w:val="94"/>
              <w:rPr>
                <w:color w:val="auto"/>
              </w:rPr>
            </w:pPr>
            <w:r>
              <w:rPr>
                <w:rFonts w:hint="eastAsia"/>
                <w:color w:val="auto"/>
              </w:rPr>
              <w:t>工程内容</w:t>
            </w:r>
          </w:p>
        </w:tc>
        <w:tc>
          <w:tcPr>
            <w:tcW w:w="0" w:type="auto"/>
            <w:vAlign w:val="center"/>
          </w:tcPr>
          <w:p w14:paraId="61622381">
            <w:pPr>
              <w:pStyle w:val="94"/>
              <w:rPr>
                <w:color w:val="auto"/>
              </w:rPr>
            </w:pPr>
            <w:r>
              <w:rPr>
                <w:rFonts w:hint="eastAsia"/>
                <w:color w:val="auto"/>
              </w:rPr>
              <w:t>影响方式</w:t>
            </w:r>
          </w:p>
        </w:tc>
        <w:tc>
          <w:tcPr>
            <w:tcW w:w="0" w:type="auto"/>
            <w:vAlign w:val="center"/>
          </w:tcPr>
          <w:p w14:paraId="0CF8F165">
            <w:pPr>
              <w:pStyle w:val="94"/>
              <w:rPr>
                <w:color w:val="auto"/>
              </w:rPr>
            </w:pPr>
            <w:r>
              <w:rPr>
                <w:rFonts w:hint="eastAsia"/>
                <w:color w:val="auto"/>
              </w:rPr>
              <w:t>影响性质</w:t>
            </w:r>
          </w:p>
        </w:tc>
        <w:tc>
          <w:tcPr>
            <w:tcW w:w="0" w:type="auto"/>
            <w:vAlign w:val="center"/>
          </w:tcPr>
          <w:p w14:paraId="455167E3">
            <w:pPr>
              <w:pStyle w:val="94"/>
              <w:rPr>
                <w:color w:val="auto"/>
              </w:rPr>
            </w:pPr>
            <w:r>
              <w:rPr>
                <w:rFonts w:hint="eastAsia"/>
                <w:color w:val="auto"/>
              </w:rPr>
              <w:t>影响程度</w:t>
            </w:r>
          </w:p>
        </w:tc>
      </w:tr>
      <w:tr w14:paraId="5FB5F7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vAlign w:val="center"/>
          </w:tcPr>
          <w:p w14:paraId="505B37BF">
            <w:pPr>
              <w:pStyle w:val="94"/>
              <w:rPr>
                <w:color w:val="auto"/>
              </w:rPr>
            </w:pPr>
            <w:r>
              <w:rPr>
                <w:rFonts w:hint="eastAsia"/>
                <w:color w:val="auto"/>
              </w:rPr>
              <w:t>生物群落</w:t>
            </w:r>
          </w:p>
        </w:tc>
        <w:tc>
          <w:tcPr>
            <w:tcW w:w="0" w:type="auto"/>
            <w:vAlign w:val="center"/>
          </w:tcPr>
          <w:p w14:paraId="56768037">
            <w:pPr>
              <w:pStyle w:val="94"/>
              <w:rPr>
                <w:color w:val="auto"/>
              </w:rPr>
            </w:pPr>
            <w:r>
              <w:rPr>
                <w:rFonts w:hint="eastAsia"/>
                <w:color w:val="auto"/>
              </w:rPr>
              <w:t>占地范围内物种组成、群落结构等</w:t>
            </w:r>
          </w:p>
        </w:tc>
        <w:tc>
          <w:tcPr>
            <w:tcW w:w="0" w:type="auto"/>
            <w:vAlign w:val="center"/>
          </w:tcPr>
          <w:p w14:paraId="1B21920D">
            <w:pPr>
              <w:pStyle w:val="94"/>
              <w:rPr>
                <w:color w:val="auto"/>
              </w:rPr>
            </w:pPr>
            <w:r>
              <w:rPr>
                <w:rFonts w:hint="eastAsia"/>
                <w:color w:val="auto"/>
              </w:rPr>
              <w:t>项目临时占地</w:t>
            </w:r>
          </w:p>
        </w:tc>
        <w:tc>
          <w:tcPr>
            <w:tcW w:w="0" w:type="auto"/>
            <w:vAlign w:val="center"/>
          </w:tcPr>
          <w:p w14:paraId="71ECCEEB">
            <w:pPr>
              <w:pStyle w:val="94"/>
              <w:rPr>
                <w:color w:val="auto"/>
              </w:rPr>
            </w:pPr>
            <w:r>
              <w:rPr>
                <w:rFonts w:hint="eastAsia"/>
                <w:color w:val="auto"/>
              </w:rPr>
              <w:t>直接生态影响</w:t>
            </w:r>
          </w:p>
        </w:tc>
        <w:tc>
          <w:tcPr>
            <w:tcW w:w="0" w:type="auto"/>
            <w:vAlign w:val="center"/>
          </w:tcPr>
          <w:p w14:paraId="24CAF12D">
            <w:pPr>
              <w:pStyle w:val="94"/>
              <w:rPr>
                <w:color w:val="auto"/>
              </w:rPr>
            </w:pPr>
            <w:r>
              <w:rPr>
                <w:rFonts w:hint="eastAsia"/>
                <w:color w:val="auto"/>
              </w:rPr>
              <w:t>短期</w:t>
            </w:r>
          </w:p>
        </w:tc>
        <w:tc>
          <w:tcPr>
            <w:tcW w:w="0" w:type="auto"/>
            <w:vAlign w:val="center"/>
          </w:tcPr>
          <w:p w14:paraId="18932317">
            <w:pPr>
              <w:pStyle w:val="94"/>
              <w:rPr>
                <w:color w:val="auto"/>
              </w:rPr>
            </w:pPr>
            <w:r>
              <w:rPr>
                <w:rFonts w:hint="eastAsia"/>
                <w:color w:val="auto"/>
              </w:rPr>
              <w:t>中</w:t>
            </w:r>
          </w:p>
        </w:tc>
      </w:tr>
      <w:tr w14:paraId="1D7C85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vAlign w:val="center"/>
          </w:tcPr>
          <w:p w14:paraId="62ED9A9F">
            <w:pPr>
              <w:pStyle w:val="94"/>
              <w:rPr>
                <w:color w:val="auto"/>
              </w:rPr>
            </w:pPr>
            <w:r>
              <w:rPr>
                <w:rFonts w:hint="eastAsia"/>
                <w:color w:val="auto"/>
              </w:rPr>
              <w:t>生态系统</w:t>
            </w:r>
          </w:p>
        </w:tc>
        <w:tc>
          <w:tcPr>
            <w:tcW w:w="0" w:type="auto"/>
            <w:vAlign w:val="center"/>
          </w:tcPr>
          <w:p w14:paraId="5051AFDC">
            <w:pPr>
              <w:pStyle w:val="94"/>
              <w:rPr>
                <w:color w:val="auto"/>
              </w:rPr>
            </w:pPr>
            <w:r>
              <w:rPr>
                <w:rFonts w:hint="eastAsia"/>
                <w:color w:val="auto"/>
              </w:rPr>
              <w:t>占地范围内植被覆盖度、生产力、生物量、生态系统功能等</w:t>
            </w:r>
          </w:p>
        </w:tc>
        <w:tc>
          <w:tcPr>
            <w:tcW w:w="0" w:type="auto"/>
            <w:vAlign w:val="center"/>
          </w:tcPr>
          <w:p w14:paraId="68D46C8D">
            <w:pPr>
              <w:pStyle w:val="94"/>
              <w:rPr>
                <w:color w:val="auto"/>
              </w:rPr>
            </w:pPr>
            <w:r>
              <w:rPr>
                <w:rFonts w:hint="eastAsia"/>
                <w:color w:val="auto"/>
              </w:rPr>
              <w:t>项目临时占地</w:t>
            </w:r>
          </w:p>
        </w:tc>
        <w:tc>
          <w:tcPr>
            <w:tcW w:w="0" w:type="auto"/>
            <w:vAlign w:val="center"/>
          </w:tcPr>
          <w:p w14:paraId="38555110">
            <w:pPr>
              <w:pStyle w:val="94"/>
              <w:rPr>
                <w:color w:val="auto"/>
              </w:rPr>
            </w:pPr>
            <w:r>
              <w:rPr>
                <w:rFonts w:hint="eastAsia"/>
                <w:color w:val="auto"/>
              </w:rPr>
              <w:t>直接生态影响</w:t>
            </w:r>
          </w:p>
        </w:tc>
        <w:tc>
          <w:tcPr>
            <w:tcW w:w="0" w:type="auto"/>
            <w:vAlign w:val="center"/>
          </w:tcPr>
          <w:p w14:paraId="3C13A59C">
            <w:pPr>
              <w:pStyle w:val="94"/>
              <w:rPr>
                <w:color w:val="auto"/>
              </w:rPr>
            </w:pPr>
            <w:r>
              <w:rPr>
                <w:rFonts w:hint="eastAsia"/>
                <w:color w:val="auto"/>
              </w:rPr>
              <w:t>短期</w:t>
            </w:r>
          </w:p>
        </w:tc>
        <w:tc>
          <w:tcPr>
            <w:tcW w:w="0" w:type="auto"/>
            <w:vAlign w:val="center"/>
          </w:tcPr>
          <w:p w14:paraId="58C5207F">
            <w:pPr>
              <w:pStyle w:val="94"/>
              <w:rPr>
                <w:color w:val="auto"/>
              </w:rPr>
            </w:pPr>
            <w:r>
              <w:rPr>
                <w:rFonts w:hint="eastAsia"/>
                <w:color w:val="auto"/>
              </w:rPr>
              <w:t>中</w:t>
            </w:r>
          </w:p>
        </w:tc>
      </w:tr>
      <w:tr w14:paraId="1EF4B5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vAlign w:val="center"/>
          </w:tcPr>
          <w:p w14:paraId="4D119FCD">
            <w:pPr>
              <w:pStyle w:val="94"/>
              <w:rPr>
                <w:color w:val="auto"/>
              </w:rPr>
            </w:pPr>
            <w:r>
              <w:rPr>
                <w:rFonts w:hint="eastAsia"/>
                <w:color w:val="auto"/>
              </w:rPr>
              <w:t>生物多样性</w:t>
            </w:r>
          </w:p>
        </w:tc>
        <w:tc>
          <w:tcPr>
            <w:tcW w:w="0" w:type="auto"/>
            <w:vAlign w:val="center"/>
          </w:tcPr>
          <w:p w14:paraId="382C5F5A">
            <w:pPr>
              <w:pStyle w:val="94"/>
              <w:rPr>
                <w:color w:val="auto"/>
              </w:rPr>
            </w:pPr>
            <w:r>
              <w:rPr>
                <w:rFonts w:hint="eastAsia"/>
                <w:color w:val="auto"/>
              </w:rPr>
              <w:t>占地范围内物种丰富度、均匀度、优势度等</w:t>
            </w:r>
          </w:p>
        </w:tc>
        <w:tc>
          <w:tcPr>
            <w:tcW w:w="0" w:type="auto"/>
            <w:vAlign w:val="center"/>
          </w:tcPr>
          <w:p w14:paraId="1952DE68">
            <w:pPr>
              <w:pStyle w:val="94"/>
              <w:rPr>
                <w:color w:val="auto"/>
              </w:rPr>
            </w:pPr>
            <w:r>
              <w:rPr>
                <w:rFonts w:hint="eastAsia"/>
                <w:color w:val="auto"/>
              </w:rPr>
              <w:t>项目临时占地</w:t>
            </w:r>
          </w:p>
        </w:tc>
        <w:tc>
          <w:tcPr>
            <w:tcW w:w="0" w:type="auto"/>
            <w:vAlign w:val="center"/>
          </w:tcPr>
          <w:p w14:paraId="1B2B060A">
            <w:pPr>
              <w:pStyle w:val="94"/>
              <w:rPr>
                <w:color w:val="auto"/>
              </w:rPr>
            </w:pPr>
            <w:r>
              <w:rPr>
                <w:rFonts w:hint="eastAsia"/>
                <w:color w:val="auto"/>
              </w:rPr>
              <w:t>直接生态影响</w:t>
            </w:r>
          </w:p>
        </w:tc>
        <w:tc>
          <w:tcPr>
            <w:tcW w:w="0" w:type="auto"/>
            <w:vAlign w:val="center"/>
          </w:tcPr>
          <w:p w14:paraId="5C936155">
            <w:pPr>
              <w:pStyle w:val="94"/>
              <w:rPr>
                <w:color w:val="auto"/>
              </w:rPr>
            </w:pPr>
            <w:r>
              <w:rPr>
                <w:rFonts w:hint="eastAsia"/>
                <w:color w:val="auto"/>
              </w:rPr>
              <w:t>短期</w:t>
            </w:r>
          </w:p>
        </w:tc>
        <w:tc>
          <w:tcPr>
            <w:tcW w:w="0" w:type="auto"/>
            <w:vAlign w:val="center"/>
          </w:tcPr>
          <w:p w14:paraId="1D09E075">
            <w:pPr>
              <w:pStyle w:val="94"/>
              <w:rPr>
                <w:color w:val="auto"/>
              </w:rPr>
            </w:pPr>
            <w:r>
              <w:rPr>
                <w:rFonts w:hint="eastAsia"/>
                <w:color w:val="auto"/>
              </w:rPr>
              <w:t>中</w:t>
            </w:r>
          </w:p>
        </w:tc>
      </w:tr>
      <w:tr w14:paraId="0C84C4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vAlign w:val="center"/>
          </w:tcPr>
          <w:p w14:paraId="2CE4F1C2">
            <w:pPr>
              <w:pStyle w:val="94"/>
              <w:rPr>
                <w:color w:val="auto"/>
              </w:rPr>
            </w:pPr>
            <w:r>
              <w:rPr>
                <w:rFonts w:hint="eastAsia"/>
                <w:color w:val="auto"/>
              </w:rPr>
              <w:t>自然景观</w:t>
            </w:r>
          </w:p>
        </w:tc>
        <w:tc>
          <w:tcPr>
            <w:tcW w:w="0" w:type="auto"/>
            <w:vAlign w:val="center"/>
          </w:tcPr>
          <w:p w14:paraId="661B60AA">
            <w:pPr>
              <w:pStyle w:val="94"/>
              <w:rPr>
                <w:color w:val="auto"/>
              </w:rPr>
            </w:pPr>
            <w:r>
              <w:rPr>
                <w:rFonts w:hint="eastAsia"/>
                <w:color w:val="auto"/>
              </w:rPr>
              <w:t>水土流失、景观多样性、完整性等</w:t>
            </w:r>
          </w:p>
        </w:tc>
        <w:tc>
          <w:tcPr>
            <w:tcW w:w="0" w:type="auto"/>
            <w:vAlign w:val="center"/>
          </w:tcPr>
          <w:p w14:paraId="435834A5">
            <w:pPr>
              <w:pStyle w:val="94"/>
              <w:rPr>
                <w:color w:val="auto"/>
              </w:rPr>
            </w:pPr>
            <w:r>
              <w:rPr>
                <w:rFonts w:hint="eastAsia"/>
                <w:color w:val="auto"/>
              </w:rPr>
              <w:t>项目临时占地</w:t>
            </w:r>
          </w:p>
        </w:tc>
        <w:tc>
          <w:tcPr>
            <w:tcW w:w="0" w:type="auto"/>
            <w:vAlign w:val="center"/>
          </w:tcPr>
          <w:p w14:paraId="29E88472">
            <w:pPr>
              <w:pStyle w:val="94"/>
              <w:rPr>
                <w:color w:val="auto"/>
              </w:rPr>
            </w:pPr>
            <w:r>
              <w:rPr>
                <w:rFonts w:hint="eastAsia"/>
                <w:color w:val="auto"/>
              </w:rPr>
              <w:t>直接生态影响</w:t>
            </w:r>
          </w:p>
        </w:tc>
        <w:tc>
          <w:tcPr>
            <w:tcW w:w="0" w:type="auto"/>
            <w:vAlign w:val="center"/>
          </w:tcPr>
          <w:p w14:paraId="582DCF79">
            <w:pPr>
              <w:pStyle w:val="94"/>
              <w:rPr>
                <w:color w:val="auto"/>
              </w:rPr>
            </w:pPr>
            <w:r>
              <w:rPr>
                <w:rFonts w:hint="eastAsia"/>
                <w:color w:val="auto"/>
              </w:rPr>
              <w:t>短期</w:t>
            </w:r>
          </w:p>
        </w:tc>
        <w:tc>
          <w:tcPr>
            <w:tcW w:w="0" w:type="auto"/>
            <w:vAlign w:val="center"/>
          </w:tcPr>
          <w:p w14:paraId="707D286D">
            <w:pPr>
              <w:pStyle w:val="94"/>
              <w:rPr>
                <w:color w:val="auto"/>
              </w:rPr>
            </w:pPr>
            <w:r>
              <w:rPr>
                <w:rFonts w:hint="eastAsia"/>
                <w:color w:val="auto"/>
              </w:rPr>
              <w:t>中</w:t>
            </w:r>
          </w:p>
        </w:tc>
      </w:tr>
    </w:tbl>
    <w:p w14:paraId="5C7DBE6A">
      <w:pPr>
        <w:pStyle w:val="4"/>
      </w:pPr>
      <w:bookmarkStart w:id="135" w:name="_Toc171579817"/>
      <w:r>
        <w:t>生态环境敏感目标</w:t>
      </w:r>
      <w:bookmarkEnd w:id="135"/>
    </w:p>
    <w:p w14:paraId="5EFEC438">
      <w:pPr>
        <w:pStyle w:val="96"/>
        <w:ind w:firstLine="480"/>
      </w:pPr>
      <w:r>
        <w:rPr>
          <w:rFonts w:hint="eastAsia"/>
        </w:rPr>
        <w:t>根据《全国水土保持规划国家级水土流失重点预防区和重点治理区复核划分成果》，探井所在区域兴县属于黄河多沙粗沙国家级水土流失重点治理区，属于《建设项目环境影响评价分类管理名录》中的生态敏感区。另外本项目占地范围涉及其他地方公益林，不占用国家一、二级公益林和山西省永久性生态公益林、I级保护林地、II级保护林地，具体见下表。</w:t>
      </w:r>
    </w:p>
    <w:p w14:paraId="6EBA7EC5">
      <w:pPr>
        <w:pStyle w:val="19"/>
        <w:keepNext/>
      </w:pPr>
      <w:r>
        <w:t xml:space="preserve">表 </w:t>
      </w:r>
      <w:r>
        <w:fldChar w:fldCharType="begin"/>
      </w:r>
      <w:r>
        <w:instrText xml:space="preserve"> SEQ 表 \* ARABIC </w:instrText>
      </w:r>
      <w:r>
        <w:fldChar w:fldCharType="separate"/>
      </w:r>
      <w:r>
        <w:t>41</w:t>
      </w:r>
      <w:r>
        <w:fldChar w:fldCharType="end"/>
      </w:r>
      <w:r>
        <w:rPr>
          <w:rFonts w:hint="eastAsia"/>
        </w:rPr>
        <w:t>本项目生态环境保护目标一览表</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89"/>
        <w:gridCol w:w="739"/>
        <w:gridCol w:w="1012"/>
        <w:gridCol w:w="4042"/>
        <w:gridCol w:w="4500"/>
      </w:tblGrid>
      <w:tr w14:paraId="6A0E0D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0" w:hRule="atLeast"/>
        </w:trPr>
        <w:tc>
          <w:tcPr>
            <w:tcW w:w="381" w:type="dxa"/>
            <w:tcBorders>
              <w:top w:val="single" w:color="auto" w:sz="4" w:space="0"/>
              <w:left w:val="single" w:color="auto" w:sz="4" w:space="0"/>
              <w:bottom w:val="single" w:color="auto" w:sz="4" w:space="0"/>
              <w:right w:val="single" w:color="auto" w:sz="4" w:space="0"/>
            </w:tcBorders>
            <w:vAlign w:val="center"/>
          </w:tcPr>
          <w:p w14:paraId="039E3106">
            <w:pPr>
              <w:pStyle w:val="94"/>
              <w:rPr>
                <w:color w:val="auto"/>
              </w:rPr>
            </w:pPr>
            <w:r>
              <w:rPr>
                <w:rFonts w:hint="eastAsia"/>
                <w:color w:val="auto"/>
              </w:rPr>
              <w:t>影响</w:t>
            </w:r>
          </w:p>
          <w:p w14:paraId="66CB648E">
            <w:pPr>
              <w:pStyle w:val="94"/>
              <w:rPr>
                <w:color w:val="auto"/>
              </w:rPr>
            </w:pPr>
            <w:r>
              <w:rPr>
                <w:rFonts w:hint="eastAsia"/>
                <w:color w:val="auto"/>
              </w:rPr>
              <w:t>因素</w:t>
            </w:r>
          </w:p>
        </w:tc>
        <w:tc>
          <w:tcPr>
            <w:tcW w:w="723" w:type="dxa"/>
            <w:tcBorders>
              <w:top w:val="single" w:color="auto" w:sz="4" w:space="0"/>
              <w:left w:val="single" w:color="auto" w:sz="4" w:space="0"/>
              <w:bottom w:val="single" w:color="auto" w:sz="4" w:space="0"/>
              <w:right w:val="single" w:color="auto" w:sz="4" w:space="0"/>
            </w:tcBorders>
            <w:noWrap/>
            <w:vAlign w:val="center"/>
          </w:tcPr>
          <w:p w14:paraId="23DD9054">
            <w:pPr>
              <w:pStyle w:val="94"/>
              <w:rPr>
                <w:color w:val="auto"/>
              </w:rPr>
            </w:pPr>
            <w:r>
              <w:rPr>
                <w:rFonts w:hint="eastAsia"/>
                <w:color w:val="auto"/>
              </w:rPr>
              <w:t>保护目标类型</w:t>
            </w:r>
          </w:p>
        </w:tc>
        <w:tc>
          <w:tcPr>
            <w:tcW w:w="991" w:type="dxa"/>
            <w:tcBorders>
              <w:top w:val="single" w:color="auto" w:sz="4" w:space="0"/>
              <w:left w:val="single" w:color="auto" w:sz="4" w:space="0"/>
              <w:bottom w:val="single" w:color="auto" w:sz="4" w:space="0"/>
              <w:right w:val="single" w:color="auto" w:sz="4" w:space="0"/>
            </w:tcBorders>
            <w:noWrap/>
            <w:vAlign w:val="center"/>
          </w:tcPr>
          <w:p w14:paraId="05F699D8">
            <w:pPr>
              <w:pStyle w:val="94"/>
              <w:rPr>
                <w:color w:val="auto"/>
              </w:rPr>
            </w:pPr>
            <w:r>
              <w:rPr>
                <w:rFonts w:hint="eastAsia"/>
                <w:color w:val="auto"/>
              </w:rPr>
              <w:t>环境保护对象</w:t>
            </w:r>
          </w:p>
        </w:tc>
        <w:tc>
          <w:tcPr>
            <w:tcW w:w="3956" w:type="dxa"/>
            <w:tcBorders>
              <w:top w:val="single" w:color="auto" w:sz="4" w:space="0"/>
              <w:left w:val="single" w:color="auto" w:sz="4" w:space="0"/>
              <w:bottom w:val="single" w:color="auto" w:sz="4" w:space="0"/>
              <w:right w:val="single" w:color="auto" w:sz="4" w:space="0"/>
            </w:tcBorders>
            <w:noWrap/>
            <w:vAlign w:val="center"/>
          </w:tcPr>
          <w:p w14:paraId="6078B734">
            <w:pPr>
              <w:pStyle w:val="94"/>
              <w:rPr>
                <w:color w:val="auto"/>
              </w:rPr>
            </w:pPr>
            <w:r>
              <w:rPr>
                <w:rFonts w:hint="eastAsia"/>
                <w:color w:val="auto"/>
              </w:rPr>
              <w:t>保护目标基本情况</w:t>
            </w:r>
          </w:p>
        </w:tc>
        <w:tc>
          <w:tcPr>
            <w:tcW w:w="4405" w:type="dxa"/>
            <w:tcBorders>
              <w:top w:val="single" w:color="auto" w:sz="4" w:space="0"/>
              <w:left w:val="single" w:color="auto" w:sz="4" w:space="0"/>
              <w:bottom w:val="single" w:color="auto" w:sz="4" w:space="0"/>
              <w:right w:val="single" w:color="auto" w:sz="4" w:space="0"/>
            </w:tcBorders>
            <w:noWrap/>
            <w:vAlign w:val="center"/>
          </w:tcPr>
          <w:p w14:paraId="12192786">
            <w:pPr>
              <w:pStyle w:val="94"/>
              <w:rPr>
                <w:color w:val="auto"/>
              </w:rPr>
            </w:pPr>
            <w:r>
              <w:rPr>
                <w:rFonts w:hint="eastAsia"/>
                <w:color w:val="auto"/>
              </w:rPr>
              <w:t>环境保护要求</w:t>
            </w:r>
          </w:p>
        </w:tc>
      </w:tr>
      <w:tr w14:paraId="65A8BC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81" w:type="dxa"/>
            <w:vMerge w:val="restart"/>
            <w:tcBorders>
              <w:top w:val="nil"/>
              <w:left w:val="single" w:color="auto" w:sz="4" w:space="0"/>
              <w:bottom w:val="single" w:color="auto" w:sz="4" w:space="0"/>
              <w:right w:val="single" w:color="auto" w:sz="4" w:space="0"/>
            </w:tcBorders>
            <w:vAlign w:val="center"/>
          </w:tcPr>
          <w:p w14:paraId="381B8A54">
            <w:pPr>
              <w:pStyle w:val="94"/>
              <w:rPr>
                <w:color w:val="auto"/>
              </w:rPr>
            </w:pPr>
            <w:r>
              <w:rPr>
                <w:rFonts w:hint="eastAsia"/>
                <w:color w:val="auto"/>
              </w:rPr>
              <w:t>工程占地</w:t>
            </w:r>
          </w:p>
        </w:tc>
        <w:tc>
          <w:tcPr>
            <w:tcW w:w="723" w:type="dxa"/>
            <w:vMerge w:val="restart"/>
            <w:tcBorders>
              <w:top w:val="nil"/>
              <w:left w:val="single" w:color="auto" w:sz="4" w:space="0"/>
              <w:bottom w:val="single" w:color="auto" w:sz="4" w:space="0"/>
              <w:right w:val="single" w:color="auto" w:sz="4" w:space="0"/>
            </w:tcBorders>
            <w:noWrap/>
            <w:vAlign w:val="center"/>
          </w:tcPr>
          <w:p w14:paraId="13968758">
            <w:pPr>
              <w:pStyle w:val="94"/>
              <w:rPr>
                <w:color w:val="auto"/>
              </w:rPr>
            </w:pPr>
            <w:r>
              <w:rPr>
                <w:rFonts w:hint="eastAsia"/>
                <w:color w:val="auto"/>
              </w:rPr>
              <w:t>重要物种</w:t>
            </w:r>
          </w:p>
        </w:tc>
        <w:tc>
          <w:tcPr>
            <w:tcW w:w="991" w:type="dxa"/>
            <w:tcBorders>
              <w:top w:val="single" w:color="auto" w:sz="4" w:space="0"/>
              <w:left w:val="single" w:color="auto" w:sz="4" w:space="0"/>
              <w:bottom w:val="single" w:color="auto" w:sz="4" w:space="0"/>
              <w:right w:val="single" w:color="auto" w:sz="4" w:space="0"/>
            </w:tcBorders>
            <w:noWrap/>
            <w:vAlign w:val="center"/>
          </w:tcPr>
          <w:p w14:paraId="10D2F1BF">
            <w:pPr>
              <w:pStyle w:val="94"/>
              <w:rPr>
                <w:color w:val="auto"/>
              </w:rPr>
            </w:pPr>
            <w:r>
              <w:rPr>
                <w:rFonts w:hint="eastAsia"/>
                <w:color w:val="auto"/>
              </w:rPr>
              <w:t>重点保护</w:t>
            </w:r>
          </w:p>
        </w:tc>
        <w:tc>
          <w:tcPr>
            <w:tcW w:w="3956" w:type="dxa"/>
            <w:tcBorders>
              <w:top w:val="single" w:color="auto" w:sz="4" w:space="0"/>
              <w:left w:val="single" w:color="auto" w:sz="4" w:space="0"/>
              <w:bottom w:val="single" w:color="auto" w:sz="4" w:space="0"/>
              <w:right w:val="single" w:color="auto" w:sz="4" w:space="0"/>
            </w:tcBorders>
            <w:noWrap/>
            <w:vAlign w:val="center"/>
          </w:tcPr>
          <w:p w14:paraId="0790D766">
            <w:pPr>
              <w:pStyle w:val="94"/>
              <w:rPr>
                <w:color w:val="auto"/>
              </w:rPr>
            </w:pPr>
            <w:r>
              <w:rPr>
                <w:rFonts w:hint="eastAsia"/>
                <w:color w:val="auto"/>
              </w:rPr>
              <w:t>评价范围不涉及国家重点保护野生动物、山西省重点保护野生动物</w:t>
            </w:r>
            <w:r>
              <w:rPr>
                <w:color w:val="auto"/>
              </w:rPr>
              <w:t xml:space="preserve"> </w:t>
            </w:r>
          </w:p>
        </w:tc>
        <w:tc>
          <w:tcPr>
            <w:tcW w:w="4405" w:type="dxa"/>
            <w:vMerge w:val="restart"/>
            <w:tcBorders>
              <w:top w:val="nil"/>
              <w:left w:val="single" w:color="auto" w:sz="4" w:space="0"/>
              <w:bottom w:val="single" w:color="auto" w:sz="4" w:space="0"/>
              <w:right w:val="single" w:color="auto" w:sz="4" w:space="0"/>
            </w:tcBorders>
            <w:noWrap/>
            <w:vAlign w:val="center"/>
          </w:tcPr>
          <w:p w14:paraId="5AA42192">
            <w:pPr>
              <w:pStyle w:val="94"/>
              <w:rPr>
                <w:color w:val="auto"/>
              </w:rPr>
            </w:pPr>
            <w:r>
              <w:rPr>
                <w:rFonts w:hint="eastAsia"/>
                <w:color w:val="auto"/>
              </w:rPr>
              <w:t>做好施工组织工作，加强施工管理、施工人员培训；严格控制施工作业范围，严禁越界施工；设置标志牌；合理安排施工时序，避开重点保护野生动物繁殖时期；生态监测</w:t>
            </w:r>
          </w:p>
        </w:tc>
      </w:tr>
      <w:tr w14:paraId="42DD97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81" w:type="dxa"/>
            <w:vMerge w:val="continue"/>
            <w:tcBorders>
              <w:top w:val="nil"/>
              <w:left w:val="single" w:color="auto" w:sz="4" w:space="0"/>
              <w:bottom w:val="single" w:color="auto" w:sz="4" w:space="0"/>
              <w:right w:val="single" w:color="auto" w:sz="4" w:space="0"/>
            </w:tcBorders>
            <w:vAlign w:val="center"/>
          </w:tcPr>
          <w:p w14:paraId="155DDC02">
            <w:pPr>
              <w:pStyle w:val="94"/>
              <w:rPr>
                <w:color w:val="auto"/>
              </w:rPr>
            </w:pPr>
          </w:p>
        </w:tc>
        <w:tc>
          <w:tcPr>
            <w:tcW w:w="723" w:type="dxa"/>
            <w:vMerge w:val="continue"/>
            <w:tcBorders>
              <w:top w:val="nil"/>
              <w:left w:val="single" w:color="auto" w:sz="4" w:space="0"/>
              <w:bottom w:val="single" w:color="auto" w:sz="4" w:space="0"/>
              <w:right w:val="single" w:color="auto" w:sz="4" w:space="0"/>
            </w:tcBorders>
            <w:vAlign w:val="center"/>
          </w:tcPr>
          <w:p w14:paraId="4CCDEC6D">
            <w:pPr>
              <w:pStyle w:val="94"/>
              <w:rPr>
                <w:color w:val="auto"/>
              </w:rPr>
            </w:pPr>
          </w:p>
        </w:tc>
        <w:tc>
          <w:tcPr>
            <w:tcW w:w="991" w:type="dxa"/>
            <w:tcBorders>
              <w:top w:val="single" w:color="auto" w:sz="4" w:space="0"/>
              <w:left w:val="single" w:color="auto" w:sz="4" w:space="0"/>
              <w:bottom w:val="single" w:color="auto" w:sz="4" w:space="0"/>
              <w:right w:val="single" w:color="auto" w:sz="4" w:space="0"/>
            </w:tcBorders>
            <w:noWrap/>
            <w:vAlign w:val="center"/>
          </w:tcPr>
          <w:p w14:paraId="12F3F82D">
            <w:pPr>
              <w:pStyle w:val="94"/>
              <w:rPr>
                <w:color w:val="auto"/>
              </w:rPr>
            </w:pPr>
            <w:r>
              <w:rPr>
                <w:rFonts w:hint="eastAsia"/>
                <w:color w:val="auto"/>
              </w:rPr>
              <w:t>“三危物种”</w:t>
            </w:r>
          </w:p>
        </w:tc>
        <w:tc>
          <w:tcPr>
            <w:tcW w:w="3956" w:type="dxa"/>
            <w:tcBorders>
              <w:top w:val="single" w:color="auto" w:sz="4" w:space="0"/>
              <w:left w:val="single" w:color="auto" w:sz="4" w:space="0"/>
              <w:bottom w:val="single" w:color="auto" w:sz="4" w:space="0"/>
              <w:right w:val="single" w:color="auto" w:sz="4" w:space="0"/>
            </w:tcBorders>
            <w:noWrap/>
            <w:vAlign w:val="center"/>
          </w:tcPr>
          <w:p w14:paraId="3484A360">
            <w:pPr>
              <w:pStyle w:val="94"/>
              <w:rPr>
                <w:color w:val="auto"/>
              </w:rPr>
            </w:pPr>
            <w:r>
              <w:rPr>
                <w:rFonts w:hint="eastAsia"/>
                <w:color w:val="auto"/>
              </w:rPr>
              <w:t>评价区不涉及“三危物种”物种</w:t>
            </w:r>
          </w:p>
        </w:tc>
        <w:tc>
          <w:tcPr>
            <w:tcW w:w="4405" w:type="dxa"/>
            <w:vMerge w:val="continue"/>
            <w:tcBorders>
              <w:top w:val="nil"/>
              <w:left w:val="single" w:color="auto" w:sz="4" w:space="0"/>
              <w:bottom w:val="single" w:color="auto" w:sz="4" w:space="0"/>
              <w:right w:val="single" w:color="auto" w:sz="4" w:space="0"/>
            </w:tcBorders>
            <w:vAlign w:val="center"/>
          </w:tcPr>
          <w:p w14:paraId="5F7C6939">
            <w:pPr>
              <w:pStyle w:val="94"/>
              <w:rPr>
                <w:color w:val="auto"/>
              </w:rPr>
            </w:pPr>
          </w:p>
        </w:tc>
      </w:tr>
      <w:tr w14:paraId="34C8AA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81" w:type="dxa"/>
            <w:vMerge w:val="continue"/>
            <w:tcBorders>
              <w:top w:val="nil"/>
              <w:left w:val="single" w:color="auto" w:sz="4" w:space="0"/>
              <w:bottom w:val="single" w:color="auto" w:sz="4" w:space="0"/>
              <w:right w:val="single" w:color="auto" w:sz="4" w:space="0"/>
            </w:tcBorders>
            <w:vAlign w:val="center"/>
          </w:tcPr>
          <w:p w14:paraId="4A0099DD">
            <w:pPr>
              <w:pStyle w:val="94"/>
              <w:rPr>
                <w:color w:val="auto"/>
              </w:rPr>
            </w:pPr>
          </w:p>
        </w:tc>
        <w:tc>
          <w:tcPr>
            <w:tcW w:w="723" w:type="dxa"/>
            <w:vMerge w:val="restart"/>
            <w:tcBorders>
              <w:top w:val="nil"/>
              <w:left w:val="single" w:color="auto" w:sz="4" w:space="0"/>
              <w:bottom w:val="single" w:color="auto" w:sz="4" w:space="0"/>
              <w:right w:val="single" w:color="auto" w:sz="4" w:space="0"/>
            </w:tcBorders>
            <w:noWrap/>
            <w:vAlign w:val="center"/>
          </w:tcPr>
          <w:p w14:paraId="141B99CA">
            <w:pPr>
              <w:pStyle w:val="94"/>
              <w:rPr>
                <w:color w:val="auto"/>
              </w:rPr>
            </w:pPr>
            <w:r>
              <w:rPr>
                <w:rFonts w:hint="eastAsia"/>
                <w:color w:val="auto"/>
              </w:rPr>
              <w:t>生态敏感区</w:t>
            </w:r>
          </w:p>
        </w:tc>
        <w:tc>
          <w:tcPr>
            <w:tcW w:w="991" w:type="dxa"/>
            <w:tcBorders>
              <w:top w:val="single" w:color="auto" w:sz="4" w:space="0"/>
              <w:left w:val="single" w:color="auto" w:sz="4" w:space="0"/>
              <w:bottom w:val="single" w:color="auto" w:sz="4" w:space="0"/>
              <w:right w:val="single" w:color="auto" w:sz="4" w:space="0"/>
            </w:tcBorders>
            <w:noWrap/>
            <w:vAlign w:val="center"/>
          </w:tcPr>
          <w:p w14:paraId="01E7A072">
            <w:pPr>
              <w:pStyle w:val="94"/>
              <w:rPr>
                <w:color w:val="auto"/>
              </w:rPr>
            </w:pPr>
            <w:r>
              <w:rPr>
                <w:rFonts w:hint="eastAsia"/>
                <w:color w:val="auto"/>
              </w:rPr>
              <w:t>生态红线</w:t>
            </w:r>
          </w:p>
        </w:tc>
        <w:tc>
          <w:tcPr>
            <w:tcW w:w="3956" w:type="dxa"/>
            <w:tcBorders>
              <w:top w:val="single" w:color="auto" w:sz="4" w:space="0"/>
              <w:left w:val="single" w:color="auto" w:sz="4" w:space="0"/>
              <w:bottom w:val="single" w:color="auto" w:sz="4" w:space="0"/>
              <w:right w:val="single" w:color="auto" w:sz="4" w:space="0"/>
            </w:tcBorders>
            <w:noWrap/>
            <w:vAlign w:val="center"/>
          </w:tcPr>
          <w:p w14:paraId="2E02E286">
            <w:pPr>
              <w:pStyle w:val="94"/>
              <w:rPr>
                <w:color w:val="auto"/>
              </w:rPr>
            </w:pPr>
            <w:r>
              <w:rPr>
                <w:rFonts w:hint="eastAsia"/>
                <w:color w:val="auto"/>
              </w:rPr>
              <w:t>项目占地范围内不涉及生态红线，评价范围内涉及生态红线172.38ha</w:t>
            </w:r>
          </w:p>
        </w:tc>
        <w:tc>
          <w:tcPr>
            <w:tcW w:w="4405" w:type="dxa"/>
            <w:tcBorders>
              <w:top w:val="single" w:color="auto" w:sz="4" w:space="0"/>
              <w:left w:val="single" w:color="auto" w:sz="4" w:space="0"/>
              <w:bottom w:val="single" w:color="auto" w:sz="4" w:space="0"/>
              <w:right w:val="single" w:color="auto" w:sz="4" w:space="0"/>
            </w:tcBorders>
            <w:noWrap/>
            <w:vAlign w:val="center"/>
          </w:tcPr>
          <w:p w14:paraId="3FB8EF7F">
            <w:pPr>
              <w:pStyle w:val="94"/>
              <w:rPr>
                <w:color w:val="auto"/>
              </w:rPr>
            </w:pPr>
            <w:r>
              <w:rPr>
                <w:rFonts w:hint="eastAsia"/>
                <w:color w:val="auto"/>
              </w:rPr>
              <w:t>严格控制施工作业范围，禁止越界进入生态保护红线内施工</w:t>
            </w:r>
          </w:p>
        </w:tc>
      </w:tr>
      <w:tr w14:paraId="68ADBE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81" w:type="dxa"/>
            <w:vMerge w:val="continue"/>
            <w:tcBorders>
              <w:top w:val="nil"/>
              <w:left w:val="single" w:color="auto" w:sz="4" w:space="0"/>
              <w:bottom w:val="single" w:color="auto" w:sz="4" w:space="0"/>
              <w:right w:val="single" w:color="auto" w:sz="4" w:space="0"/>
            </w:tcBorders>
            <w:vAlign w:val="center"/>
          </w:tcPr>
          <w:p w14:paraId="1135BF1E">
            <w:pPr>
              <w:pStyle w:val="94"/>
              <w:rPr>
                <w:color w:val="auto"/>
              </w:rPr>
            </w:pPr>
          </w:p>
        </w:tc>
        <w:tc>
          <w:tcPr>
            <w:tcW w:w="723" w:type="dxa"/>
            <w:vMerge w:val="continue"/>
            <w:tcBorders>
              <w:top w:val="nil"/>
              <w:left w:val="single" w:color="auto" w:sz="4" w:space="0"/>
              <w:bottom w:val="single" w:color="auto" w:sz="4" w:space="0"/>
              <w:right w:val="single" w:color="auto" w:sz="4" w:space="0"/>
            </w:tcBorders>
            <w:vAlign w:val="center"/>
          </w:tcPr>
          <w:p w14:paraId="55F1A6E8">
            <w:pPr>
              <w:pStyle w:val="94"/>
              <w:rPr>
                <w:color w:val="auto"/>
              </w:rPr>
            </w:pPr>
          </w:p>
        </w:tc>
        <w:tc>
          <w:tcPr>
            <w:tcW w:w="991" w:type="dxa"/>
            <w:tcBorders>
              <w:top w:val="single" w:color="auto" w:sz="4" w:space="0"/>
              <w:left w:val="single" w:color="auto" w:sz="4" w:space="0"/>
              <w:bottom w:val="single" w:color="auto" w:sz="4" w:space="0"/>
              <w:right w:val="single" w:color="auto" w:sz="4" w:space="0"/>
            </w:tcBorders>
            <w:noWrap/>
            <w:vAlign w:val="center"/>
          </w:tcPr>
          <w:p w14:paraId="329CF749">
            <w:pPr>
              <w:pStyle w:val="94"/>
              <w:rPr>
                <w:color w:val="auto"/>
              </w:rPr>
            </w:pPr>
            <w:r>
              <w:rPr>
                <w:rFonts w:hint="eastAsia"/>
                <w:color w:val="auto"/>
              </w:rPr>
              <w:t>公益林</w:t>
            </w:r>
          </w:p>
        </w:tc>
        <w:tc>
          <w:tcPr>
            <w:tcW w:w="3956" w:type="dxa"/>
            <w:tcBorders>
              <w:top w:val="single" w:color="auto" w:sz="4" w:space="0"/>
              <w:left w:val="single" w:color="auto" w:sz="4" w:space="0"/>
              <w:bottom w:val="single" w:color="auto" w:sz="4" w:space="0"/>
              <w:right w:val="single" w:color="auto" w:sz="4" w:space="0"/>
            </w:tcBorders>
            <w:noWrap/>
            <w:vAlign w:val="center"/>
          </w:tcPr>
          <w:p w14:paraId="4AC77FAA">
            <w:pPr>
              <w:pStyle w:val="94"/>
              <w:rPr>
                <w:color w:val="auto"/>
              </w:rPr>
            </w:pPr>
            <w:r>
              <w:rPr>
                <w:rFonts w:hint="eastAsia"/>
                <w:color w:val="auto"/>
              </w:rPr>
              <w:t>临时占地范围与国家一级公益林、国家二级公益林、I级保护林地、II级保护林地、山西省永久性生态公益林不重叠，涉及占用其他地方公益林0</w:t>
            </w:r>
            <w:r>
              <w:rPr>
                <w:color w:val="auto"/>
              </w:rPr>
              <w:t>.05</w:t>
            </w:r>
            <w:r>
              <w:rPr>
                <w:rFonts w:hint="eastAsia"/>
                <w:color w:val="auto"/>
              </w:rPr>
              <w:t>ha。</w:t>
            </w:r>
          </w:p>
        </w:tc>
        <w:tc>
          <w:tcPr>
            <w:tcW w:w="4405" w:type="dxa"/>
            <w:tcBorders>
              <w:top w:val="single" w:color="auto" w:sz="4" w:space="0"/>
              <w:left w:val="single" w:color="auto" w:sz="4" w:space="0"/>
              <w:bottom w:val="single" w:color="auto" w:sz="4" w:space="0"/>
              <w:right w:val="single" w:color="auto" w:sz="4" w:space="0"/>
            </w:tcBorders>
            <w:noWrap/>
            <w:vAlign w:val="center"/>
          </w:tcPr>
          <w:p w14:paraId="627975EC">
            <w:pPr>
              <w:pStyle w:val="94"/>
              <w:rPr>
                <w:color w:val="auto"/>
              </w:rPr>
            </w:pPr>
            <w:r>
              <w:rPr>
                <w:rFonts w:hint="eastAsia"/>
                <w:color w:val="auto"/>
              </w:rPr>
              <w:t>不占用国家公益林，施工结束后及时进行覆土恢复植被。</w:t>
            </w:r>
          </w:p>
        </w:tc>
      </w:tr>
      <w:tr w14:paraId="0505C4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81" w:type="dxa"/>
            <w:vMerge w:val="continue"/>
            <w:tcBorders>
              <w:top w:val="nil"/>
              <w:left w:val="single" w:color="auto" w:sz="4" w:space="0"/>
              <w:bottom w:val="single" w:color="auto" w:sz="4" w:space="0"/>
              <w:right w:val="single" w:color="auto" w:sz="4" w:space="0"/>
            </w:tcBorders>
            <w:vAlign w:val="center"/>
          </w:tcPr>
          <w:p w14:paraId="6C6EE6FC">
            <w:pPr>
              <w:pStyle w:val="94"/>
              <w:rPr>
                <w:color w:val="auto"/>
              </w:rPr>
            </w:pPr>
          </w:p>
        </w:tc>
        <w:tc>
          <w:tcPr>
            <w:tcW w:w="723" w:type="dxa"/>
            <w:vMerge w:val="continue"/>
            <w:tcBorders>
              <w:top w:val="nil"/>
              <w:left w:val="single" w:color="auto" w:sz="4" w:space="0"/>
              <w:bottom w:val="single" w:color="auto" w:sz="4" w:space="0"/>
              <w:right w:val="single" w:color="auto" w:sz="4" w:space="0"/>
            </w:tcBorders>
            <w:vAlign w:val="center"/>
          </w:tcPr>
          <w:p w14:paraId="75A042C3">
            <w:pPr>
              <w:pStyle w:val="94"/>
              <w:rPr>
                <w:color w:val="auto"/>
              </w:rPr>
            </w:pPr>
          </w:p>
        </w:tc>
        <w:tc>
          <w:tcPr>
            <w:tcW w:w="991" w:type="dxa"/>
            <w:tcBorders>
              <w:top w:val="single" w:color="auto" w:sz="4" w:space="0"/>
              <w:left w:val="single" w:color="auto" w:sz="4" w:space="0"/>
              <w:bottom w:val="single" w:color="auto" w:sz="4" w:space="0"/>
              <w:right w:val="single" w:color="auto" w:sz="4" w:space="0"/>
            </w:tcBorders>
            <w:noWrap/>
            <w:vAlign w:val="center"/>
          </w:tcPr>
          <w:p w14:paraId="202E1E5D">
            <w:pPr>
              <w:pStyle w:val="94"/>
              <w:rPr>
                <w:color w:val="auto"/>
              </w:rPr>
            </w:pPr>
            <w:r>
              <w:rPr>
                <w:rFonts w:hint="eastAsia"/>
                <w:color w:val="auto"/>
              </w:rPr>
              <w:t>基本农田</w:t>
            </w:r>
          </w:p>
        </w:tc>
        <w:tc>
          <w:tcPr>
            <w:tcW w:w="3956" w:type="dxa"/>
            <w:tcBorders>
              <w:top w:val="single" w:color="auto" w:sz="4" w:space="0"/>
              <w:left w:val="single" w:color="auto" w:sz="4" w:space="0"/>
              <w:bottom w:val="single" w:color="auto" w:sz="4" w:space="0"/>
              <w:right w:val="single" w:color="auto" w:sz="4" w:space="0"/>
            </w:tcBorders>
            <w:noWrap/>
            <w:vAlign w:val="center"/>
          </w:tcPr>
          <w:p w14:paraId="244FA270">
            <w:pPr>
              <w:pStyle w:val="94"/>
              <w:rPr>
                <w:color w:val="auto"/>
              </w:rPr>
            </w:pPr>
            <w:r>
              <w:rPr>
                <w:rFonts w:hint="eastAsia"/>
                <w:color w:val="auto"/>
              </w:rPr>
              <w:t>项目井场、井场道路占地范围内不涉及占用基本农田，评价范围共涉及基本农田84.47hm</w:t>
            </w:r>
            <w:r>
              <w:rPr>
                <w:rFonts w:hint="eastAsia"/>
                <w:color w:val="auto"/>
                <w:vertAlign w:val="superscript"/>
              </w:rPr>
              <w:t>2，</w:t>
            </w:r>
            <w:r>
              <w:rPr>
                <w:rFonts w:hint="eastAsia"/>
                <w:color w:val="auto"/>
              </w:rPr>
              <w:t>具体见附图</w:t>
            </w:r>
          </w:p>
        </w:tc>
        <w:tc>
          <w:tcPr>
            <w:tcW w:w="4405" w:type="dxa"/>
            <w:tcBorders>
              <w:top w:val="single" w:color="auto" w:sz="4" w:space="0"/>
              <w:left w:val="single" w:color="auto" w:sz="4" w:space="0"/>
              <w:bottom w:val="single" w:color="auto" w:sz="4" w:space="0"/>
              <w:right w:val="single" w:color="auto" w:sz="4" w:space="0"/>
            </w:tcBorders>
            <w:noWrap/>
            <w:vAlign w:val="center"/>
          </w:tcPr>
          <w:p w14:paraId="1E177590">
            <w:pPr>
              <w:pStyle w:val="94"/>
              <w:rPr>
                <w:color w:val="auto"/>
              </w:rPr>
            </w:pPr>
            <w:r>
              <w:rPr>
                <w:rFonts w:hint="eastAsia"/>
                <w:color w:val="auto"/>
              </w:rPr>
              <w:t>占地范围内不涉及占用基本农田，控制施工作业范围，尽量不影响农业生产季节进行施工，确保基本农田面积不减少</w:t>
            </w:r>
          </w:p>
        </w:tc>
      </w:tr>
      <w:tr w14:paraId="2F193B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81" w:type="dxa"/>
            <w:vMerge w:val="continue"/>
            <w:tcBorders>
              <w:top w:val="nil"/>
              <w:left w:val="single" w:color="auto" w:sz="4" w:space="0"/>
              <w:bottom w:val="single" w:color="auto" w:sz="4" w:space="0"/>
              <w:right w:val="single" w:color="auto" w:sz="4" w:space="0"/>
            </w:tcBorders>
            <w:vAlign w:val="center"/>
          </w:tcPr>
          <w:p w14:paraId="4959860A">
            <w:pPr>
              <w:pStyle w:val="94"/>
              <w:rPr>
                <w:color w:val="auto"/>
              </w:rPr>
            </w:pPr>
          </w:p>
        </w:tc>
        <w:tc>
          <w:tcPr>
            <w:tcW w:w="723" w:type="dxa"/>
            <w:tcBorders>
              <w:top w:val="single" w:color="auto" w:sz="4" w:space="0"/>
              <w:left w:val="single" w:color="auto" w:sz="4" w:space="0"/>
              <w:bottom w:val="single" w:color="auto" w:sz="4" w:space="0"/>
              <w:right w:val="single" w:color="auto" w:sz="4" w:space="0"/>
            </w:tcBorders>
            <w:vAlign w:val="center"/>
          </w:tcPr>
          <w:p w14:paraId="0A77FF62">
            <w:pPr>
              <w:pStyle w:val="94"/>
              <w:rPr>
                <w:color w:val="auto"/>
              </w:rPr>
            </w:pPr>
            <w:r>
              <w:rPr>
                <w:rFonts w:hint="eastAsia"/>
                <w:color w:val="auto"/>
              </w:rPr>
              <w:t>其他生态保护目标</w:t>
            </w:r>
          </w:p>
        </w:tc>
        <w:tc>
          <w:tcPr>
            <w:tcW w:w="991" w:type="dxa"/>
            <w:tcBorders>
              <w:top w:val="single" w:color="auto" w:sz="4" w:space="0"/>
              <w:left w:val="single" w:color="auto" w:sz="4" w:space="0"/>
              <w:bottom w:val="single" w:color="auto" w:sz="4" w:space="0"/>
              <w:right w:val="single" w:color="auto" w:sz="4" w:space="0"/>
            </w:tcBorders>
            <w:noWrap/>
            <w:vAlign w:val="center"/>
          </w:tcPr>
          <w:p w14:paraId="388D0C99">
            <w:pPr>
              <w:pStyle w:val="94"/>
              <w:rPr>
                <w:color w:val="auto"/>
              </w:rPr>
            </w:pPr>
            <w:r>
              <w:rPr>
                <w:rFonts w:hint="eastAsia"/>
                <w:color w:val="auto"/>
              </w:rPr>
              <w:t>水土流失重点治理区</w:t>
            </w:r>
          </w:p>
        </w:tc>
        <w:tc>
          <w:tcPr>
            <w:tcW w:w="3956" w:type="dxa"/>
            <w:tcBorders>
              <w:top w:val="single" w:color="auto" w:sz="4" w:space="0"/>
              <w:left w:val="single" w:color="auto" w:sz="4" w:space="0"/>
              <w:bottom w:val="single" w:color="auto" w:sz="4" w:space="0"/>
              <w:right w:val="single" w:color="auto" w:sz="4" w:space="0"/>
            </w:tcBorders>
            <w:noWrap/>
            <w:vAlign w:val="center"/>
          </w:tcPr>
          <w:p w14:paraId="162913B0">
            <w:pPr>
              <w:pStyle w:val="94"/>
              <w:rPr>
                <w:color w:val="auto"/>
              </w:rPr>
            </w:pPr>
            <w:r>
              <w:rPr>
                <w:color w:val="auto"/>
              </w:rPr>
              <w:t xml:space="preserve">根据《山西省人民政府关于划分水土流失重点防治区的公告》(晋政发 ( 1998 )42号) </w:t>
            </w:r>
            <w:r>
              <w:rPr>
                <w:rFonts w:hint="eastAsia"/>
                <w:color w:val="auto"/>
              </w:rPr>
              <w:t>，</w:t>
            </w:r>
            <w:r>
              <w:rPr>
                <w:color w:val="auto"/>
              </w:rPr>
              <w:t>本项目位于</w:t>
            </w:r>
            <w:r>
              <w:rPr>
                <w:rFonts w:hint="eastAsia"/>
                <w:color w:val="auto"/>
              </w:rPr>
              <w:t>黄河多沙粗沙国家级水土流失重点治理区</w:t>
            </w:r>
          </w:p>
        </w:tc>
        <w:tc>
          <w:tcPr>
            <w:tcW w:w="4405" w:type="dxa"/>
            <w:tcBorders>
              <w:top w:val="single" w:color="auto" w:sz="4" w:space="0"/>
              <w:left w:val="single" w:color="auto" w:sz="4" w:space="0"/>
              <w:bottom w:val="single" w:color="auto" w:sz="4" w:space="0"/>
              <w:right w:val="single" w:color="auto" w:sz="4" w:space="0"/>
            </w:tcBorders>
            <w:noWrap/>
            <w:vAlign w:val="center"/>
          </w:tcPr>
          <w:p w14:paraId="40E51311">
            <w:pPr>
              <w:pStyle w:val="94"/>
              <w:rPr>
                <w:color w:val="auto"/>
              </w:rPr>
            </w:pPr>
            <w:r>
              <w:rPr>
                <w:rFonts w:hint="eastAsia"/>
                <w:color w:val="auto"/>
              </w:rPr>
              <w:t>严格控制施工作业范围，做好施工期水土流失防治措施、生态恢复措施</w:t>
            </w:r>
          </w:p>
        </w:tc>
      </w:tr>
    </w:tbl>
    <w:p w14:paraId="76118220">
      <w:pPr>
        <w:pStyle w:val="3"/>
      </w:pPr>
      <w:bookmarkStart w:id="136" w:name="_Toc171579818"/>
      <w:r>
        <w:t>评价区生态环境现状调查</w:t>
      </w:r>
      <w:bookmarkEnd w:id="136"/>
    </w:p>
    <w:p w14:paraId="18BA0262">
      <w:pPr>
        <w:pStyle w:val="4"/>
      </w:pPr>
      <w:bookmarkStart w:id="137" w:name="_Toc171579819"/>
      <w:r>
        <w:t>生态环境现状调查方法</w:t>
      </w:r>
      <w:bookmarkEnd w:id="137"/>
    </w:p>
    <w:p w14:paraId="32FA2DB6">
      <w:pPr>
        <w:pStyle w:val="5"/>
      </w:pPr>
      <w:r>
        <w:t>调查方法</w:t>
      </w:r>
    </w:p>
    <w:p w14:paraId="42B87D3A">
      <w:pPr>
        <w:pStyle w:val="96"/>
        <w:ind w:firstLine="480"/>
      </w:pPr>
      <w:r>
        <w:rPr>
          <w:rFonts w:hint="eastAsia"/>
        </w:rPr>
        <w:t>根据《环境影响评价技术导则生态影响》（</w:t>
      </w:r>
      <w:r>
        <w:t>HJ19-2022）,本项目生态现状调查方法采用资料收集、现场调查及遥感调查法。</w:t>
      </w:r>
    </w:p>
    <w:p w14:paraId="3AA8F94E">
      <w:pPr>
        <w:pStyle w:val="5"/>
      </w:pPr>
      <w:r>
        <w:t>遥感数据源的选择与解译</w:t>
      </w:r>
    </w:p>
    <w:p w14:paraId="7F70FA00">
      <w:pPr>
        <w:pStyle w:val="96"/>
        <w:ind w:firstLine="480"/>
      </w:pPr>
      <w:r>
        <w:rPr>
          <w:rFonts w:hint="eastAsia"/>
        </w:rPr>
        <w:t>（</w:t>
      </w:r>
      <w:r>
        <w:t>1）遥感数据源的选择</w:t>
      </w:r>
    </w:p>
    <w:p w14:paraId="2C33DBF2">
      <w:pPr>
        <w:pStyle w:val="96"/>
        <w:ind w:firstLine="480"/>
      </w:pPr>
      <w:r>
        <w:rPr>
          <w:rFonts w:hint="eastAsia"/>
        </w:rPr>
        <w:t>以</w:t>
      </w:r>
      <w:r>
        <w:t>2023年9月高分二号遥感影像作为数据源，多光谱波段的空间分辨率达4m.全色波段影像的空间分辨率达1m，参照地形图对影像进行空间校正，对红光波段、绿光波段、近红外波段的单波段数据进行标准假彩色合成，在遥感影像处理软件中根据各类地物的影像特征建立训练区对合成的标准假彩色影像进行监督分类，得到解译结果。</w:t>
      </w:r>
    </w:p>
    <w:p w14:paraId="5C8995D3">
      <w:pPr>
        <w:pStyle w:val="96"/>
        <w:ind w:firstLine="480"/>
      </w:pPr>
      <w:r>
        <w:rPr>
          <w:rFonts w:hint="eastAsia"/>
        </w:rPr>
        <w:t>高分二号特征表见下表</w:t>
      </w:r>
      <w:r>
        <w:t>。</w:t>
      </w:r>
    </w:p>
    <w:p w14:paraId="2545A15C">
      <w:pPr>
        <w:pStyle w:val="19"/>
        <w:keepNext/>
      </w:pPr>
      <w:r>
        <w:t xml:space="preserve">表 </w:t>
      </w:r>
      <w:r>
        <w:fldChar w:fldCharType="begin"/>
      </w:r>
      <w:r>
        <w:instrText xml:space="preserve"> SEQ 表 \* ARABIC </w:instrText>
      </w:r>
      <w:r>
        <w:fldChar w:fldCharType="separate"/>
      </w:r>
      <w:r>
        <w:t>42</w:t>
      </w:r>
      <w:r>
        <w:fldChar w:fldCharType="end"/>
      </w:r>
      <w:r>
        <w:rPr>
          <w:rFonts w:hint="eastAsia"/>
        </w:rPr>
        <w:t>本项目截取的高分二号影像资料特征表</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732"/>
        <w:gridCol w:w="850"/>
        <w:gridCol w:w="1622"/>
        <w:gridCol w:w="1737"/>
        <w:gridCol w:w="1891"/>
        <w:gridCol w:w="1286"/>
        <w:gridCol w:w="1564"/>
      </w:tblGrid>
      <w:tr w14:paraId="460763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811" w:type="pct"/>
            <w:vAlign w:val="center"/>
          </w:tcPr>
          <w:p w14:paraId="7B4C1ADD">
            <w:pPr>
              <w:pStyle w:val="94"/>
              <w:rPr>
                <w:color w:val="auto"/>
              </w:rPr>
            </w:pPr>
            <w:r>
              <w:rPr>
                <w:color w:val="auto"/>
              </w:rPr>
              <w:t>载荷</w:t>
            </w:r>
          </w:p>
        </w:tc>
        <w:tc>
          <w:tcPr>
            <w:tcW w:w="398" w:type="pct"/>
            <w:vAlign w:val="center"/>
          </w:tcPr>
          <w:p w14:paraId="31AF8553">
            <w:pPr>
              <w:pStyle w:val="94"/>
              <w:rPr>
                <w:color w:val="auto"/>
              </w:rPr>
            </w:pPr>
            <w:r>
              <w:rPr>
                <w:color w:val="auto"/>
              </w:rPr>
              <w:t>谱段号</w:t>
            </w:r>
          </w:p>
        </w:tc>
        <w:tc>
          <w:tcPr>
            <w:tcW w:w="759" w:type="pct"/>
            <w:vAlign w:val="center"/>
          </w:tcPr>
          <w:p w14:paraId="359A9081">
            <w:pPr>
              <w:pStyle w:val="94"/>
              <w:rPr>
                <w:color w:val="auto"/>
              </w:rPr>
            </w:pPr>
            <w:r>
              <w:rPr>
                <w:color w:val="auto"/>
              </w:rPr>
              <w:t>谱段范围(um</w:t>
            </w:r>
          </w:p>
        </w:tc>
        <w:tc>
          <w:tcPr>
            <w:tcW w:w="813" w:type="pct"/>
            <w:vAlign w:val="center"/>
          </w:tcPr>
          <w:p w14:paraId="05A6660E">
            <w:pPr>
              <w:pStyle w:val="94"/>
              <w:rPr>
                <w:color w:val="auto"/>
              </w:rPr>
            </w:pPr>
            <w:r>
              <w:rPr>
                <w:color w:val="auto"/>
              </w:rPr>
              <w:t>空间分辨率(m</w:t>
            </w:r>
          </w:p>
        </w:tc>
        <w:tc>
          <w:tcPr>
            <w:tcW w:w="885" w:type="pct"/>
            <w:vAlign w:val="center"/>
          </w:tcPr>
          <w:p w14:paraId="5BA5DB9C">
            <w:pPr>
              <w:pStyle w:val="94"/>
              <w:rPr>
                <w:color w:val="auto"/>
              </w:rPr>
            </w:pPr>
            <w:r>
              <w:rPr>
                <w:color w:val="auto"/>
              </w:rPr>
              <w:t>幅宽(km</w:t>
            </w:r>
          </w:p>
        </w:tc>
        <w:tc>
          <w:tcPr>
            <w:tcW w:w="602" w:type="pct"/>
            <w:vAlign w:val="center"/>
          </w:tcPr>
          <w:p w14:paraId="04E6D62D">
            <w:pPr>
              <w:pStyle w:val="94"/>
              <w:rPr>
                <w:color w:val="auto"/>
              </w:rPr>
            </w:pPr>
            <w:r>
              <w:rPr>
                <w:color w:val="auto"/>
              </w:rPr>
              <w:t>侧摆能力</w:t>
            </w:r>
          </w:p>
        </w:tc>
        <w:tc>
          <w:tcPr>
            <w:tcW w:w="732" w:type="pct"/>
            <w:vAlign w:val="center"/>
          </w:tcPr>
          <w:p w14:paraId="26B34268">
            <w:pPr>
              <w:pStyle w:val="94"/>
              <w:rPr>
                <w:color w:val="auto"/>
              </w:rPr>
            </w:pPr>
            <w:r>
              <w:rPr>
                <w:color w:val="auto"/>
              </w:rPr>
              <w:t>重访时间(天)</w:t>
            </w:r>
          </w:p>
        </w:tc>
      </w:tr>
      <w:tr w14:paraId="0A8776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811" w:type="pct"/>
            <w:vMerge w:val="restart"/>
            <w:vAlign w:val="center"/>
          </w:tcPr>
          <w:p w14:paraId="2477756E">
            <w:pPr>
              <w:pStyle w:val="94"/>
              <w:rPr>
                <w:color w:val="auto"/>
              </w:rPr>
            </w:pPr>
            <w:r>
              <w:rPr>
                <w:color w:val="auto"/>
              </w:rPr>
              <w:t>全色多光谱相机</w:t>
            </w:r>
          </w:p>
        </w:tc>
        <w:tc>
          <w:tcPr>
            <w:tcW w:w="398" w:type="pct"/>
            <w:vAlign w:val="center"/>
          </w:tcPr>
          <w:p w14:paraId="15E0B503">
            <w:pPr>
              <w:pStyle w:val="94"/>
              <w:rPr>
                <w:color w:val="auto"/>
              </w:rPr>
            </w:pPr>
            <w:r>
              <w:rPr>
                <w:rFonts w:hint="eastAsia"/>
                <w:color w:val="auto"/>
              </w:rPr>
              <w:t>1</w:t>
            </w:r>
          </w:p>
        </w:tc>
        <w:tc>
          <w:tcPr>
            <w:tcW w:w="759" w:type="pct"/>
            <w:vAlign w:val="center"/>
          </w:tcPr>
          <w:p w14:paraId="688CE278">
            <w:pPr>
              <w:pStyle w:val="94"/>
              <w:rPr>
                <w:color w:val="auto"/>
              </w:rPr>
            </w:pPr>
            <w:r>
              <w:rPr>
                <w:color w:val="auto"/>
              </w:rPr>
              <w:t>0.45～0.90</w:t>
            </w:r>
          </w:p>
        </w:tc>
        <w:tc>
          <w:tcPr>
            <w:tcW w:w="813" w:type="pct"/>
            <w:vAlign w:val="center"/>
          </w:tcPr>
          <w:p w14:paraId="7FD90023">
            <w:pPr>
              <w:pStyle w:val="94"/>
              <w:rPr>
                <w:color w:val="auto"/>
              </w:rPr>
            </w:pPr>
            <w:r>
              <w:rPr>
                <w:rFonts w:hint="eastAsia"/>
                <w:color w:val="auto"/>
              </w:rPr>
              <w:t>1</w:t>
            </w:r>
          </w:p>
        </w:tc>
        <w:tc>
          <w:tcPr>
            <w:tcW w:w="885" w:type="pct"/>
            <w:vMerge w:val="restart"/>
            <w:vAlign w:val="center"/>
          </w:tcPr>
          <w:p w14:paraId="42E74A28">
            <w:pPr>
              <w:pStyle w:val="94"/>
              <w:rPr>
                <w:color w:val="auto"/>
              </w:rPr>
            </w:pPr>
            <w:r>
              <w:rPr>
                <w:color w:val="auto"/>
              </w:rPr>
              <w:t>45(2台相机组合</w:t>
            </w:r>
            <w:r>
              <w:rPr>
                <w:rFonts w:hint="eastAsia"/>
                <w:color w:val="auto"/>
              </w:rPr>
              <w:t>)</w:t>
            </w:r>
          </w:p>
        </w:tc>
        <w:tc>
          <w:tcPr>
            <w:tcW w:w="602" w:type="pct"/>
            <w:vMerge w:val="restart"/>
            <w:vAlign w:val="center"/>
          </w:tcPr>
          <w:p w14:paraId="3E14BBB8">
            <w:pPr>
              <w:pStyle w:val="94"/>
              <w:rPr>
                <w:color w:val="auto"/>
              </w:rPr>
            </w:pPr>
            <w:r>
              <w:rPr>
                <w:color w:val="auto"/>
              </w:rPr>
              <w:t>正负35°</w:t>
            </w:r>
          </w:p>
        </w:tc>
        <w:tc>
          <w:tcPr>
            <w:tcW w:w="732" w:type="pct"/>
            <w:vMerge w:val="restart"/>
            <w:vAlign w:val="center"/>
          </w:tcPr>
          <w:p w14:paraId="3C725DDB">
            <w:pPr>
              <w:pStyle w:val="94"/>
              <w:rPr>
                <w:color w:val="auto"/>
              </w:rPr>
            </w:pPr>
            <w:r>
              <w:rPr>
                <w:color w:val="auto"/>
              </w:rPr>
              <w:t>5</w:t>
            </w:r>
            <w:r>
              <w:rPr>
                <w:rFonts w:hint="eastAsia"/>
                <w:color w:val="auto"/>
              </w:rPr>
              <w:t>-</w:t>
            </w:r>
            <w:r>
              <w:rPr>
                <w:color w:val="auto"/>
              </w:rPr>
              <w:t>7</w:t>
            </w:r>
          </w:p>
        </w:tc>
      </w:tr>
      <w:tr w14:paraId="5244BA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0" w:type="auto"/>
            <w:vMerge w:val="continue"/>
            <w:vAlign w:val="center"/>
          </w:tcPr>
          <w:p w14:paraId="09D9BB1C">
            <w:pPr>
              <w:pStyle w:val="94"/>
              <w:rPr>
                <w:color w:val="auto"/>
              </w:rPr>
            </w:pPr>
          </w:p>
        </w:tc>
        <w:tc>
          <w:tcPr>
            <w:tcW w:w="398" w:type="pct"/>
            <w:vAlign w:val="center"/>
          </w:tcPr>
          <w:p w14:paraId="00EBD3E7">
            <w:pPr>
              <w:pStyle w:val="94"/>
              <w:rPr>
                <w:color w:val="auto"/>
              </w:rPr>
            </w:pPr>
            <w:r>
              <w:rPr>
                <w:rFonts w:hint="eastAsia"/>
                <w:color w:val="auto"/>
              </w:rPr>
              <w:t>2</w:t>
            </w:r>
          </w:p>
        </w:tc>
        <w:tc>
          <w:tcPr>
            <w:tcW w:w="759" w:type="pct"/>
            <w:vAlign w:val="center"/>
          </w:tcPr>
          <w:p w14:paraId="722CF744">
            <w:pPr>
              <w:pStyle w:val="94"/>
              <w:rPr>
                <w:color w:val="auto"/>
              </w:rPr>
            </w:pPr>
            <w:r>
              <w:rPr>
                <w:color w:val="auto"/>
              </w:rPr>
              <w:t>0.45~0.52</w:t>
            </w:r>
          </w:p>
        </w:tc>
        <w:tc>
          <w:tcPr>
            <w:tcW w:w="813" w:type="pct"/>
            <w:vMerge w:val="restart"/>
            <w:vAlign w:val="center"/>
          </w:tcPr>
          <w:p w14:paraId="4216EE4E">
            <w:pPr>
              <w:pStyle w:val="94"/>
              <w:rPr>
                <w:color w:val="auto"/>
              </w:rPr>
            </w:pPr>
            <w:r>
              <w:rPr>
                <w:rFonts w:hint="eastAsia"/>
                <w:color w:val="auto"/>
              </w:rPr>
              <w:t>4</w:t>
            </w:r>
          </w:p>
        </w:tc>
        <w:tc>
          <w:tcPr>
            <w:tcW w:w="0" w:type="auto"/>
            <w:vMerge w:val="continue"/>
            <w:vAlign w:val="center"/>
          </w:tcPr>
          <w:p w14:paraId="04C0FC6F">
            <w:pPr>
              <w:pStyle w:val="94"/>
              <w:rPr>
                <w:color w:val="auto"/>
              </w:rPr>
            </w:pPr>
          </w:p>
        </w:tc>
        <w:tc>
          <w:tcPr>
            <w:tcW w:w="0" w:type="auto"/>
            <w:vMerge w:val="continue"/>
            <w:vAlign w:val="center"/>
          </w:tcPr>
          <w:p w14:paraId="7AA0D67C">
            <w:pPr>
              <w:pStyle w:val="94"/>
              <w:rPr>
                <w:color w:val="auto"/>
              </w:rPr>
            </w:pPr>
          </w:p>
        </w:tc>
        <w:tc>
          <w:tcPr>
            <w:tcW w:w="0" w:type="auto"/>
            <w:vMerge w:val="continue"/>
            <w:vAlign w:val="center"/>
          </w:tcPr>
          <w:p w14:paraId="07513AAD">
            <w:pPr>
              <w:pStyle w:val="94"/>
              <w:rPr>
                <w:color w:val="auto"/>
              </w:rPr>
            </w:pPr>
          </w:p>
        </w:tc>
      </w:tr>
      <w:tr w14:paraId="514DB8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0" w:type="auto"/>
            <w:vMerge w:val="continue"/>
            <w:vAlign w:val="center"/>
          </w:tcPr>
          <w:p w14:paraId="31B05DDC">
            <w:pPr>
              <w:pStyle w:val="94"/>
              <w:rPr>
                <w:color w:val="auto"/>
              </w:rPr>
            </w:pPr>
          </w:p>
        </w:tc>
        <w:tc>
          <w:tcPr>
            <w:tcW w:w="398" w:type="pct"/>
            <w:vAlign w:val="center"/>
          </w:tcPr>
          <w:p w14:paraId="560D833B">
            <w:pPr>
              <w:pStyle w:val="94"/>
              <w:rPr>
                <w:color w:val="auto"/>
              </w:rPr>
            </w:pPr>
            <w:r>
              <w:rPr>
                <w:rFonts w:hint="eastAsia"/>
                <w:color w:val="auto"/>
              </w:rPr>
              <w:t>3</w:t>
            </w:r>
          </w:p>
        </w:tc>
        <w:tc>
          <w:tcPr>
            <w:tcW w:w="759" w:type="pct"/>
            <w:vAlign w:val="center"/>
          </w:tcPr>
          <w:p w14:paraId="5F70651E">
            <w:pPr>
              <w:pStyle w:val="94"/>
              <w:rPr>
                <w:color w:val="auto"/>
              </w:rPr>
            </w:pPr>
            <w:r>
              <w:rPr>
                <w:color w:val="auto"/>
              </w:rPr>
              <w:t>0.52～0.59</w:t>
            </w:r>
          </w:p>
        </w:tc>
        <w:tc>
          <w:tcPr>
            <w:tcW w:w="0" w:type="auto"/>
            <w:vMerge w:val="continue"/>
            <w:vAlign w:val="center"/>
          </w:tcPr>
          <w:p w14:paraId="75E4254F">
            <w:pPr>
              <w:pStyle w:val="94"/>
              <w:rPr>
                <w:color w:val="auto"/>
              </w:rPr>
            </w:pPr>
          </w:p>
        </w:tc>
        <w:tc>
          <w:tcPr>
            <w:tcW w:w="0" w:type="auto"/>
            <w:vMerge w:val="continue"/>
            <w:vAlign w:val="center"/>
          </w:tcPr>
          <w:p w14:paraId="4C7839BD">
            <w:pPr>
              <w:pStyle w:val="94"/>
              <w:rPr>
                <w:color w:val="auto"/>
              </w:rPr>
            </w:pPr>
          </w:p>
        </w:tc>
        <w:tc>
          <w:tcPr>
            <w:tcW w:w="0" w:type="auto"/>
            <w:vMerge w:val="continue"/>
            <w:vAlign w:val="center"/>
          </w:tcPr>
          <w:p w14:paraId="3B4BF32F">
            <w:pPr>
              <w:pStyle w:val="94"/>
              <w:rPr>
                <w:color w:val="auto"/>
              </w:rPr>
            </w:pPr>
          </w:p>
        </w:tc>
        <w:tc>
          <w:tcPr>
            <w:tcW w:w="0" w:type="auto"/>
            <w:vMerge w:val="continue"/>
            <w:vAlign w:val="center"/>
          </w:tcPr>
          <w:p w14:paraId="6BBD1EA6">
            <w:pPr>
              <w:pStyle w:val="94"/>
              <w:rPr>
                <w:color w:val="auto"/>
              </w:rPr>
            </w:pPr>
          </w:p>
        </w:tc>
      </w:tr>
      <w:tr w14:paraId="0ECDA3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0" w:type="auto"/>
            <w:vMerge w:val="continue"/>
            <w:vAlign w:val="center"/>
          </w:tcPr>
          <w:p w14:paraId="2DAE9308">
            <w:pPr>
              <w:pStyle w:val="94"/>
              <w:rPr>
                <w:color w:val="auto"/>
              </w:rPr>
            </w:pPr>
          </w:p>
        </w:tc>
        <w:tc>
          <w:tcPr>
            <w:tcW w:w="398" w:type="pct"/>
            <w:vAlign w:val="center"/>
          </w:tcPr>
          <w:p w14:paraId="1D4B5327">
            <w:pPr>
              <w:pStyle w:val="94"/>
              <w:rPr>
                <w:color w:val="auto"/>
              </w:rPr>
            </w:pPr>
            <w:r>
              <w:rPr>
                <w:rFonts w:hint="eastAsia"/>
                <w:color w:val="auto"/>
              </w:rPr>
              <w:t>4</w:t>
            </w:r>
          </w:p>
        </w:tc>
        <w:tc>
          <w:tcPr>
            <w:tcW w:w="759" w:type="pct"/>
            <w:vAlign w:val="center"/>
          </w:tcPr>
          <w:p w14:paraId="6DC1D050">
            <w:pPr>
              <w:pStyle w:val="94"/>
              <w:rPr>
                <w:color w:val="auto"/>
              </w:rPr>
            </w:pPr>
            <w:r>
              <w:rPr>
                <w:color w:val="auto"/>
              </w:rPr>
              <w:t>0.63～0.69</w:t>
            </w:r>
          </w:p>
        </w:tc>
        <w:tc>
          <w:tcPr>
            <w:tcW w:w="0" w:type="auto"/>
            <w:vMerge w:val="continue"/>
            <w:vAlign w:val="center"/>
          </w:tcPr>
          <w:p w14:paraId="3F618267">
            <w:pPr>
              <w:pStyle w:val="94"/>
              <w:rPr>
                <w:color w:val="auto"/>
              </w:rPr>
            </w:pPr>
          </w:p>
        </w:tc>
        <w:tc>
          <w:tcPr>
            <w:tcW w:w="0" w:type="auto"/>
            <w:vMerge w:val="continue"/>
            <w:vAlign w:val="center"/>
          </w:tcPr>
          <w:p w14:paraId="1AD46E48">
            <w:pPr>
              <w:pStyle w:val="94"/>
              <w:rPr>
                <w:color w:val="auto"/>
              </w:rPr>
            </w:pPr>
          </w:p>
        </w:tc>
        <w:tc>
          <w:tcPr>
            <w:tcW w:w="0" w:type="auto"/>
            <w:vMerge w:val="continue"/>
            <w:vAlign w:val="center"/>
          </w:tcPr>
          <w:p w14:paraId="629770DC">
            <w:pPr>
              <w:pStyle w:val="94"/>
              <w:rPr>
                <w:color w:val="auto"/>
              </w:rPr>
            </w:pPr>
          </w:p>
        </w:tc>
        <w:tc>
          <w:tcPr>
            <w:tcW w:w="0" w:type="auto"/>
            <w:vMerge w:val="continue"/>
            <w:vAlign w:val="center"/>
          </w:tcPr>
          <w:p w14:paraId="66D1844E">
            <w:pPr>
              <w:pStyle w:val="94"/>
              <w:rPr>
                <w:color w:val="auto"/>
              </w:rPr>
            </w:pPr>
          </w:p>
        </w:tc>
      </w:tr>
      <w:tr w14:paraId="4E2AE7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0" w:type="auto"/>
            <w:vMerge w:val="continue"/>
            <w:vAlign w:val="center"/>
          </w:tcPr>
          <w:p w14:paraId="01F77644">
            <w:pPr>
              <w:pStyle w:val="94"/>
              <w:rPr>
                <w:color w:val="auto"/>
              </w:rPr>
            </w:pPr>
          </w:p>
        </w:tc>
        <w:tc>
          <w:tcPr>
            <w:tcW w:w="398" w:type="pct"/>
            <w:vAlign w:val="center"/>
          </w:tcPr>
          <w:p w14:paraId="0D80C34E">
            <w:pPr>
              <w:pStyle w:val="94"/>
              <w:rPr>
                <w:color w:val="auto"/>
              </w:rPr>
            </w:pPr>
            <w:r>
              <w:rPr>
                <w:rFonts w:hint="eastAsia"/>
                <w:color w:val="auto"/>
              </w:rPr>
              <w:t>5</w:t>
            </w:r>
          </w:p>
        </w:tc>
        <w:tc>
          <w:tcPr>
            <w:tcW w:w="759" w:type="pct"/>
            <w:vAlign w:val="center"/>
          </w:tcPr>
          <w:p w14:paraId="1FD14E73">
            <w:pPr>
              <w:pStyle w:val="94"/>
              <w:rPr>
                <w:color w:val="auto"/>
              </w:rPr>
            </w:pPr>
            <w:r>
              <w:rPr>
                <w:color w:val="auto"/>
              </w:rPr>
              <w:t>0.77～0.89</w:t>
            </w:r>
          </w:p>
        </w:tc>
        <w:tc>
          <w:tcPr>
            <w:tcW w:w="0" w:type="auto"/>
            <w:vMerge w:val="continue"/>
            <w:vAlign w:val="center"/>
          </w:tcPr>
          <w:p w14:paraId="3BBB445B">
            <w:pPr>
              <w:pStyle w:val="94"/>
              <w:rPr>
                <w:color w:val="auto"/>
              </w:rPr>
            </w:pPr>
          </w:p>
        </w:tc>
        <w:tc>
          <w:tcPr>
            <w:tcW w:w="0" w:type="auto"/>
            <w:vMerge w:val="continue"/>
            <w:vAlign w:val="center"/>
          </w:tcPr>
          <w:p w14:paraId="1A3A21D7">
            <w:pPr>
              <w:pStyle w:val="94"/>
              <w:rPr>
                <w:color w:val="auto"/>
              </w:rPr>
            </w:pPr>
          </w:p>
        </w:tc>
        <w:tc>
          <w:tcPr>
            <w:tcW w:w="0" w:type="auto"/>
            <w:vMerge w:val="continue"/>
            <w:vAlign w:val="center"/>
          </w:tcPr>
          <w:p w14:paraId="4330F339">
            <w:pPr>
              <w:pStyle w:val="94"/>
              <w:rPr>
                <w:color w:val="auto"/>
              </w:rPr>
            </w:pPr>
          </w:p>
        </w:tc>
        <w:tc>
          <w:tcPr>
            <w:tcW w:w="0" w:type="auto"/>
            <w:vMerge w:val="continue"/>
            <w:vAlign w:val="center"/>
          </w:tcPr>
          <w:p w14:paraId="47EF9B70">
            <w:pPr>
              <w:pStyle w:val="94"/>
              <w:rPr>
                <w:color w:val="auto"/>
              </w:rPr>
            </w:pPr>
          </w:p>
        </w:tc>
      </w:tr>
    </w:tbl>
    <w:p w14:paraId="5EF9AB4D">
      <w:pPr>
        <w:pStyle w:val="96"/>
        <w:ind w:firstLine="480"/>
      </w:pPr>
      <w:r>
        <w:t>(2) 解译方式：监督分类，结合目视解译，直接判读以及专业知识综合推理。</w:t>
      </w:r>
    </w:p>
    <w:p w14:paraId="2B2D99BE">
      <w:pPr>
        <w:pStyle w:val="96"/>
        <w:ind w:firstLine="480"/>
      </w:pPr>
      <w:r>
        <w:t>(3) 基本过程：</w:t>
      </w:r>
    </w:p>
    <w:p w14:paraId="0F6FCFAA">
      <w:pPr>
        <w:pStyle w:val="96"/>
        <w:ind w:firstLine="480"/>
      </w:pPr>
      <w:r>
        <w:rPr>
          <w:rFonts w:hint="eastAsia"/>
        </w:rPr>
        <w:t>①购买遥感数据通过波段组合进行彩色增强，对评价区进行现场粗查，并对典型地物进行目标标记，为后期建立监督分类的感兴趣区和目标解译标志做准备；</w:t>
      </w:r>
    </w:p>
    <w:p w14:paraId="4F7E64BB">
      <w:pPr>
        <w:pStyle w:val="96"/>
        <w:ind w:firstLine="480"/>
      </w:pPr>
      <w:r>
        <w:rPr>
          <w:rFonts w:hint="eastAsia"/>
        </w:rPr>
        <w:t>②进行室内图像解译：图像目标的判读遵循先大后小，由易入难，先反差大后反差小；对判读的目标从光谱、空间和时间几个方面进行描述，并与标准的目标特征进行比较；首先利用现场调研的结果，建立监督分类样本，训练分类样本监督分类，获得初步图像目标分类结果。然后结合已有的资料结合目标特征，通过推理分析进行目标识别；识别过程中记录无法解译或把握不大的区域；</w:t>
      </w:r>
    </w:p>
    <w:p w14:paraId="3EEB27B6">
      <w:pPr>
        <w:pStyle w:val="96"/>
        <w:numPr>
          <w:ilvl w:val="0"/>
          <w:numId w:val="14"/>
        </w:numPr>
        <w:ind w:firstLineChars="0"/>
      </w:pPr>
      <w:r>
        <w:rPr>
          <w:rFonts w:hint="eastAsia"/>
        </w:rPr>
        <w:t>野外验证：随机抽取已经鉴定的目标以及室内解译时无法解译或把握不大的区域进行现场验证。</w:t>
      </w:r>
    </w:p>
    <w:p w14:paraId="5E5F396C">
      <w:pPr>
        <w:pStyle w:val="96"/>
        <w:ind w:firstLine="480"/>
      </w:pPr>
      <w:r>
        <w:rPr>
          <w:rFonts w:hint="eastAsia"/>
        </w:rPr>
        <w:t>⑤目标识别完毕后绘制各类专题图。</w:t>
      </w:r>
    </w:p>
    <w:p w14:paraId="062AC8F1">
      <w:pPr>
        <w:pStyle w:val="5"/>
      </w:pPr>
      <w:r>
        <w:t>现场调查</w:t>
      </w:r>
    </w:p>
    <w:p w14:paraId="326B7DD3">
      <w:pPr>
        <w:pStyle w:val="96"/>
        <w:ind w:firstLine="480"/>
      </w:pPr>
      <w:r>
        <w:rPr>
          <w:rFonts w:hint="eastAsia"/>
        </w:rPr>
        <w:t>通过对政府管理部门、当地居民的走访以及现场的实地调查，调查当地生态功能区划及建设规划、自然生态环境的基本情况，现场调查采用</w:t>
      </w:r>
      <w:r>
        <w:t>1:50000地形图和GPS定位相结合的方式。调查重点为区域内生态系统类型、植被组成、地表塌陷问题及分布等。在实地调查的基础上，利用卫星影像图绘制评价区相关生态图件，并随机抽取ArcGIS判读的目标再次进行现场验证。</w:t>
      </w:r>
      <w:r>
        <w:rPr>
          <w:rFonts w:hint="eastAsia"/>
        </w:rPr>
        <w:t>通过对政府管理部门、当地居民的走访以及现场的实地调查，调查当地生态功能区划及建设规划、自然生态环境的基本情况，现场调查采用</w:t>
      </w:r>
      <w:r>
        <w:t>1:50000地形图和GPS定位相结合的方式。调查重点为区域内生态系统类型、植被组成、生态环境问题及分布等。</w:t>
      </w:r>
    </w:p>
    <w:p w14:paraId="60C6CAF0">
      <w:pPr>
        <w:pStyle w:val="4"/>
      </w:pPr>
      <w:bookmarkStart w:id="138" w:name="_Toc171579820"/>
      <w:r>
        <w:t>生态系统调查</w:t>
      </w:r>
      <w:bookmarkEnd w:id="138"/>
    </w:p>
    <w:p w14:paraId="4564375F">
      <w:pPr>
        <w:pStyle w:val="5"/>
      </w:pPr>
      <w:r>
        <w:t>生态系统类型及面积</w:t>
      </w:r>
    </w:p>
    <w:p w14:paraId="30AD1DB7">
      <w:pPr>
        <w:pStyle w:val="96"/>
        <w:ind w:firstLine="480"/>
      </w:pPr>
      <w:r>
        <w:rPr>
          <w:rFonts w:hint="eastAsia"/>
        </w:rPr>
        <w:t>根据《全国生态状况调查评估技术规范——生态系统遥感解译与野外核查》（</w:t>
      </w:r>
      <w:r>
        <w:t>HJ1166-2021）的二级分类方法，采用遥感和地理信息系统的技术手段，可统计出评价区各生态系统类型的面积，详见下表。</w:t>
      </w:r>
    </w:p>
    <w:p w14:paraId="7C59C606">
      <w:pPr>
        <w:pStyle w:val="19"/>
        <w:keepNext/>
      </w:pPr>
      <w:r>
        <w:t xml:space="preserve">表 </w:t>
      </w:r>
      <w:r>
        <w:fldChar w:fldCharType="begin"/>
      </w:r>
      <w:r>
        <w:instrText xml:space="preserve"> SEQ 表 \* ARABIC </w:instrText>
      </w:r>
      <w:r>
        <w:fldChar w:fldCharType="separate"/>
      </w:r>
      <w:r>
        <w:t>43</w:t>
      </w:r>
      <w:r>
        <w:fldChar w:fldCharType="end"/>
      </w:r>
      <w:r>
        <w:rPr>
          <w:rFonts w:hint="eastAsia"/>
        </w:rPr>
        <w:t>评价区生态系统类型及面积（Ⅰ级分类）</w:t>
      </w:r>
    </w:p>
    <w:tbl>
      <w:tblPr>
        <w:tblStyle w:val="114"/>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352"/>
        <w:gridCol w:w="3194"/>
        <w:gridCol w:w="3158"/>
        <w:gridCol w:w="1978"/>
      </w:tblGrid>
      <w:tr w14:paraId="218D53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1101" w:type="pct"/>
            <w:noWrap/>
            <w:vAlign w:val="center"/>
          </w:tcPr>
          <w:p w14:paraId="1B0EDE80">
            <w:pPr>
              <w:pStyle w:val="94"/>
              <w:rPr>
                <w:color w:val="auto"/>
              </w:rPr>
            </w:pPr>
            <w:r>
              <w:rPr>
                <w:color w:val="auto"/>
              </w:rPr>
              <w:t>Ⅰ级代码</w:t>
            </w:r>
          </w:p>
        </w:tc>
        <w:tc>
          <w:tcPr>
            <w:tcW w:w="1494" w:type="pct"/>
            <w:noWrap/>
            <w:vAlign w:val="center"/>
          </w:tcPr>
          <w:p w14:paraId="247A93F7">
            <w:pPr>
              <w:pStyle w:val="94"/>
              <w:rPr>
                <w:color w:val="auto"/>
              </w:rPr>
            </w:pPr>
            <w:r>
              <w:rPr>
                <w:color w:val="auto"/>
              </w:rPr>
              <w:t>Ⅰ级分类</w:t>
            </w:r>
          </w:p>
        </w:tc>
        <w:tc>
          <w:tcPr>
            <w:tcW w:w="1478" w:type="pct"/>
            <w:noWrap/>
            <w:vAlign w:val="center"/>
          </w:tcPr>
          <w:p w14:paraId="0D8B3ECE">
            <w:pPr>
              <w:pStyle w:val="94"/>
              <w:rPr>
                <w:color w:val="auto"/>
              </w:rPr>
            </w:pPr>
            <w:r>
              <w:rPr>
                <w:color w:val="auto"/>
              </w:rPr>
              <w:t>面积ha</w:t>
            </w:r>
          </w:p>
        </w:tc>
        <w:tc>
          <w:tcPr>
            <w:tcW w:w="926" w:type="pct"/>
            <w:noWrap/>
            <w:vAlign w:val="center"/>
          </w:tcPr>
          <w:p w14:paraId="31F510AC">
            <w:pPr>
              <w:pStyle w:val="94"/>
              <w:rPr>
                <w:color w:val="auto"/>
              </w:rPr>
            </w:pPr>
            <w:r>
              <w:rPr>
                <w:rFonts w:hint="eastAsia"/>
                <w:color w:val="auto"/>
              </w:rPr>
              <w:t>占比%</w:t>
            </w:r>
          </w:p>
        </w:tc>
      </w:tr>
      <w:tr w14:paraId="07CED8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1101" w:type="pct"/>
            <w:noWrap/>
            <w:vAlign w:val="center"/>
          </w:tcPr>
          <w:p w14:paraId="45D982D7">
            <w:pPr>
              <w:pStyle w:val="94"/>
              <w:rPr>
                <w:color w:val="auto"/>
              </w:rPr>
            </w:pPr>
            <w:r>
              <w:rPr>
                <w:color w:val="auto"/>
              </w:rPr>
              <w:t>1</w:t>
            </w:r>
          </w:p>
        </w:tc>
        <w:tc>
          <w:tcPr>
            <w:tcW w:w="1494" w:type="pct"/>
            <w:noWrap/>
            <w:vAlign w:val="center"/>
          </w:tcPr>
          <w:p w14:paraId="447D407B">
            <w:pPr>
              <w:pStyle w:val="94"/>
              <w:rPr>
                <w:color w:val="auto"/>
              </w:rPr>
            </w:pPr>
            <w:r>
              <w:rPr>
                <w:color w:val="auto"/>
              </w:rPr>
              <w:t>森林生态系统</w:t>
            </w:r>
          </w:p>
        </w:tc>
        <w:tc>
          <w:tcPr>
            <w:tcW w:w="1478" w:type="pct"/>
            <w:noWrap/>
            <w:vAlign w:val="center"/>
          </w:tcPr>
          <w:p w14:paraId="141F8860">
            <w:pPr>
              <w:pStyle w:val="94"/>
              <w:rPr>
                <w:color w:val="auto"/>
              </w:rPr>
            </w:pPr>
            <w:r>
              <w:rPr>
                <w:color w:val="auto"/>
              </w:rPr>
              <w:t xml:space="preserve">74.48 </w:t>
            </w:r>
          </w:p>
        </w:tc>
        <w:tc>
          <w:tcPr>
            <w:tcW w:w="926" w:type="pct"/>
            <w:noWrap/>
            <w:vAlign w:val="center"/>
          </w:tcPr>
          <w:p w14:paraId="18BF8E9D">
            <w:pPr>
              <w:pStyle w:val="94"/>
              <w:rPr>
                <w:color w:val="auto"/>
              </w:rPr>
            </w:pPr>
            <w:r>
              <w:rPr>
                <w:color w:val="auto"/>
              </w:rPr>
              <w:t xml:space="preserve">14.17 </w:t>
            </w:r>
          </w:p>
        </w:tc>
      </w:tr>
      <w:tr w14:paraId="5E8860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1101" w:type="pct"/>
            <w:noWrap/>
            <w:vAlign w:val="center"/>
          </w:tcPr>
          <w:p w14:paraId="254CF5D0">
            <w:pPr>
              <w:pStyle w:val="94"/>
              <w:rPr>
                <w:color w:val="auto"/>
              </w:rPr>
            </w:pPr>
            <w:r>
              <w:rPr>
                <w:color w:val="auto"/>
              </w:rPr>
              <w:t>2</w:t>
            </w:r>
          </w:p>
        </w:tc>
        <w:tc>
          <w:tcPr>
            <w:tcW w:w="1494" w:type="pct"/>
            <w:noWrap/>
            <w:vAlign w:val="center"/>
          </w:tcPr>
          <w:p w14:paraId="147EFF5C">
            <w:pPr>
              <w:pStyle w:val="94"/>
              <w:rPr>
                <w:color w:val="auto"/>
              </w:rPr>
            </w:pPr>
            <w:r>
              <w:rPr>
                <w:color w:val="auto"/>
              </w:rPr>
              <w:t>灌丛生态系统</w:t>
            </w:r>
          </w:p>
        </w:tc>
        <w:tc>
          <w:tcPr>
            <w:tcW w:w="1478" w:type="pct"/>
            <w:noWrap/>
            <w:vAlign w:val="center"/>
          </w:tcPr>
          <w:p w14:paraId="67173B3F">
            <w:pPr>
              <w:pStyle w:val="94"/>
              <w:rPr>
                <w:color w:val="auto"/>
              </w:rPr>
            </w:pPr>
            <w:r>
              <w:rPr>
                <w:color w:val="auto"/>
              </w:rPr>
              <w:t xml:space="preserve">3.90 </w:t>
            </w:r>
          </w:p>
        </w:tc>
        <w:tc>
          <w:tcPr>
            <w:tcW w:w="926" w:type="pct"/>
            <w:noWrap/>
            <w:vAlign w:val="center"/>
          </w:tcPr>
          <w:p w14:paraId="0148BD07">
            <w:pPr>
              <w:pStyle w:val="94"/>
              <w:rPr>
                <w:color w:val="auto"/>
              </w:rPr>
            </w:pPr>
            <w:r>
              <w:rPr>
                <w:color w:val="auto"/>
              </w:rPr>
              <w:t xml:space="preserve">0.74 </w:t>
            </w:r>
          </w:p>
        </w:tc>
      </w:tr>
      <w:tr w14:paraId="38A341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1101" w:type="pct"/>
            <w:noWrap/>
            <w:vAlign w:val="center"/>
          </w:tcPr>
          <w:p w14:paraId="30ECE51B">
            <w:pPr>
              <w:pStyle w:val="94"/>
              <w:rPr>
                <w:color w:val="auto"/>
              </w:rPr>
            </w:pPr>
            <w:r>
              <w:rPr>
                <w:color w:val="auto"/>
              </w:rPr>
              <w:t>3</w:t>
            </w:r>
          </w:p>
        </w:tc>
        <w:tc>
          <w:tcPr>
            <w:tcW w:w="1494" w:type="pct"/>
            <w:noWrap/>
            <w:vAlign w:val="center"/>
          </w:tcPr>
          <w:p w14:paraId="0B1E009F">
            <w:pPr>
              <w:pStyle w:val="94"/>
              <w:rPr>
                <w:color w:val="auto"/>
              </w:rPr>
            </w:pPr>
            <w:r>
              <w:rPr>
                <w:color w:val="auto"/>
              </w:rPr>
              <w:t>草地生态系统</w:t>
            </w:r>
          </w:p>
        </w:tc>
        <w:tc>
          <w:tcPr>
            <w:tcW w:w="1478" w:type="pct"/>
            <w:noWrap/>
            <w:vAlign w:val="center"/>
          </w:tcPr>
          <w:p w14:paraId="190A9600">
            <w:pPr>
              <w:pStyle w:val="94"/>
              <w:rPr>
                <w:color w:val="auto"/>
              </w:rPr>
            </w:pPr>
            <w:r>
              <w:rPr>
                <w:color w:val="auto"/>
              </w:rPr>
              <w:t xml:space="preserve">211.31 </w:t>
            </w:r>
          </w:p>
        </w:tc>
        <w:tc>
          <w:tcPr>
            <w:tcW w:w="926" w:type="pct"/>
            <w:noWrap/>
            <w:vAlign w:val="center"/>
          </w:tcPr>
          <w:p w14:paraId="4629475B">
            <w:pPr>
              <w:pStyle w:val="94"/>
              <w:rPr>
                <w:color w:val="auto"/>
              </w:rPr>
            </w:pPr>
            <w:r>
              <w:rPr>
                <w:color w:val="auto"/>
              </w:rPr>
              <w:t xml:space="preserve">40.21 </w:t>
            </w:r>
          </w:p>
        </w:tc>
      </w:tr>
      <w:tr w14:paraId="4E192A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1101" w:type="pct"/>
            <w:noWrap/>
            <w:vAlign w:val="center"/>
          </w:tcPr>
          <w:p w14:paraId="6A0A3FBC">
            <w:pPr>
              <w:pStyle w:val="94"/>
              <w:rPr>
                <w:color w:val="auto"/>
              </w:rPr>
            </w:pPr>
            <w:r>
              <w:rPr>
                <w:color w:val="auto"/>
              </w:rPr>
              <w:t>4</w:t>
            </w:r>
          </w:p>
        </w:tc>
        <w:tc>
          <w:tcPr>
            <w:tcW w:w="1494" w:type="pct"/>
            <w:noWrap/>
            <w:vAlign w:val="center"/>
          </w:tcPr>
          <w:p w14:paraId="263BFE31">
            <w:pPr>
              <w:pStyle w:val="94"/>
              <w:rPr>
                <w:color w:val="auto"/>
              </w:rPr>
            </w:pPr>
            <w:r>
              <w:rPr>
                <w:color w:val="auto"/>
              </w:rPr>
              <w:t>湿地生态系统</w:t>
            </w:r>
          </w:p>
        </w:tc>
        <w:tc>
          <w:tcPr>
            <w:tcW w:w="1478" w:type="pct"/>
            <w:noWrap/>
            <w:vAlign w:val="center"/>
          </w:tcPr>
          <w:p w14:paraId="6693710B">
            <w:pPr>
              <w:pStyle w:val="94"/>
              <w:rPr>
                <w:color w:val="auto"/>
              </w:rPr>
            </w:pPr>
            <w:r>
              <w:rPr>
                <w:color w:val="auto"/>
              </w:rPr>
              <w:t xml:space="preserve">1.04 </w:t>
            </w:r>
          </w:p>
        </w:tc>
        <w:tc>
          <w:tcPr>
            <w:tcW w:w="926" w:type="pct"/>
            <w:noWrap/>
            <w:vAlign w:val="center"/>
          </w:tcPr>
          <w:p w14:paraId="4164ABA2">
            <w:pPr>
              <w:pStyle w:val="94"/>
              <w:rPr>
                <w:color w:val="auto"/>
              </w:rPr>
            </w:pPr>
            <w:r>
              <w:rPr>
                <w:color w:val="auto"/>
              </w:rPr>
              <w:t xml:space="preserve">0.20 </w:t>
            </w:r>
          </w:p>
        </w:tc>
      </w:tr>
      <w:tr w14:paraId="0E9128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1101" w:type="pct"/>
            <w:noWrap/>
            <w:vAlign w:val="center"/>
          </w:tcPr>
          <w:p w14:paraId="36771FF6">
            <w:pPr>
              <w:pStyle w:val="94"/>
              <w:rPr>
                <w:color w:val="auto"/>
              </w:rPr>
            </w:pPr>
            <w:r>
              <w:rPr>
                <w:color w:val="auto"/>
              </w:rPr>
              <w:t>5</w:t>
            </w:r>
          </w:p>
        </w:tc>
        <w:tc>
          <w:tcPr>
            <w:tcW w:w="1494" w:type="pct"/>
            <w:noWrap/>
            <w:vAlign w:val="center"/>
          </w:tcPr>
          <w:p w14:paraId="1311EF1F">
            <w:pPr>
              <w:pStyle w:val="94"/>
              <w:rPr>
                <w:color w:val="auto"/>
              </w:rPr>
            </w:pPr>
            <w:r>
              <w:rPr>
                <w:color w:val="auto"/>
              </w:rPr>
              <w:t>农田生态系统</w:t>
            </w:r>
          </w:p>
        </w:tc>
        <w:tc>
          <w:tcPr>
            <w:tcW w:w="1478" w:type="pct"/>
            <w:noWrap/>
            <w:vAlign w:val="center"/>
          </w:tcPr>
          <w:p w14:paraId="320F2811">
            <w:pPr>
              <w:pStyle w:val="94"/>
              <w:rPr>
                <w:color w:val="auto"/>
              </w:rPr>
            </w:pPr>
            <w:r>
              <w:rPr>
                <w:color w:val="auto"/>
              </w:rPr>
              <w:t xml:space="preserve">179.63 </w:t>
            </w:r>
          </w:p>
        </w:tc>
        <w:tc>
          <w:tcPr>
            <w:tcW w:w="926" w:type="pct"/>
            <w:noWrap/>
            <w:vAlign w:val="center"/>
          </w:tcPr>
          <w:p w14:paraId="0A80E9AC">
            <w:pPr>
              <w:pStyle w:val="94"/>
              <w:rPr>
                <w:color w:val="auto"/>
              </w:rPr>
            </w:pPr>
            <w:r>
              <w:rPr>
                <w:color w:val="auto"/>
              </w:rPr>
              <w:t xml:space="preserve">34.18 </w:t>
            </w:r>
          </w:p>
        </w:tc>
      </w:tr>
      <w:tr w14:paraId="45BAD1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1101" w:type="pct"/>
            <w:noWrap/>
            <w:vAlign w:val="center"/>
          </w:tcPr>
          <w:p w14:paraId="71D0645A">
            <w:pPr>
              <w:pStyle w:val="94"/>
              <w:rPr>
                <w:color w:val="auto"/>
              </w:rPr>
            </w:pPr>
            <w:r>
              <w:rPr>
                <w:color w:val="auto"/>
              </w:rPr>
              <w:t>6</w:t>
            </w:r>
          </w:p>
        </w:tc>
        <w:tc>
          <w:tcPr>
            <w:tcW w:w="1494" w:type="pct"/>
            <w:noWrap/>
            <w:vAlign w:val="center"/>
          </w:tcPr>
          <w:p w14:paraId="62A6D5EB">
            <w:pPr>
              <w:pStyle w:val="94"/>
              <w:rPr>
                <w:color w:val="auto"/>
              </w:rPr>
            </w:pPr>
            <w:r>
              <w:rPr>
                <w:color w:val="auto"/>
              </w:rPr>
              <w:t>城镇生态系统</w:t>
            </w:r>
          </w:p>
        </w:tc>
        <w:tc>
          <w:tcPr>
            <w:tcW w:w="1478" w:type="pct"/>
            <w:noWrap/>
            <w:vAlign w:val="center"/>
          </w:tcPr>
          <w:p w14:paraId="356970B6">
            <w:pPr>
              <w:pStyle w:val="94"/>
              <w:rPr>
                <w:color w:val="auto"/>
              </w:rPr>
            </w:pPr>
            <w:r>
              <w:rPr>
                <w:color w:val="auto"/>
              </w:rPr>
              <w:t xml:space="preserve">8.13 </w:t>
            </w:r>
          </w:p>
        </w:tc>
        <w:tc>
          <w:tcPr>
            <w:tcW w:w="926" w:type="pct"/>
            <w:noWrap/>
            <w:vAlign w:val="center"/>
          </w:tcPr>
          <w:p w14:paraId="2915D5E1">
            <w:pPr>
              <w:pStyle w:val="94"/>
              <w:rPr>
                <w:color w:val="auto"/>
              </w:rPr>
            </w:pPr>
            <w:r>
              <w:rPr>
                <w:color w:val="auto"/>
              </w:rPr>
              <w:t xml:space="preserve">1.55 </w:t>
            </w:r>
          </w:p>
        </w:tc>
      </w:tr>
      <w:tr w14:paraId="299BB3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1101" w:type="pct"/>
            <w:noWrap/>
            <w:vAlign w:val="center"/>
          </w:tcPr>
          <w:p w14:paraId="2B02629A">
            <w:pPr>
              <w:pStyle w:val="94"/>
              <w:rPr>
                <w:color w:val="auto"/>
              </w:rPr>
            </w:pPr>
            <w:r>
              <w:rPr>
                <w:color w:val="auto"/>
              </w:rPr>
              <w:t>8</w:t>
            </w:r>
          </w:p>
        </w:tc>
        <w:tc>
          <w:tcPr>
            <w:tcW w:w="1494" w:type="pct"/>
            <w:noWrap/>
            <w:vAlign w:val="center"/>
          </w:tcPr>
          <w:p w14:paraId="158D7368">
            <w:pPr>
              <w:pStyle w:val="94"/>
              <w:rPr>
                <w:color w:val="auto"/>
              </w:rPr>
            </w:pPr>
            <w:r>
              <w:rPr>
                <w:color w:val="auto"/>
              </w:rPr>
              <w:t>其他</w:t>
            </w:r>
          </w:p>
        </w:tc>
        <w:tc>
          <w:tcPr>
            <w:tcW w:w="1478" w:type="pct"/>
            <w:noWrap/>
            <w:vAlign w:val="center"/>
          </w:tcPr>
          <w:p w14:paraId="6E911EDE">
            <w:pPr>
              <w:pStyle w:val="94"/>
              <w:rPr>
                <w:color w:val="auto"/>
              </w:rPr>
            </w:pPr>
            <w:r>
              <w:rPr>
                <w:color w:val="auto"/>
              </w:rPr>
              <w:t xml:space="preserve">47.01 </w:t>
            </w:r>
          </w:p>
        </w:tc>
        <w:tc>
          <w:tcPr>
            <w:tcW w:w="926" w:type="pct"/>
            <w:noWrap/>
            <w:vAlign w:val="center"/>
          </w:tcPr>
          <w:p w14:paraId="505A0C6E">
            <w:pPr>
              <w:pStyle w:val="94"/>
              <w:rPr>
                <w:color w:val="auto"/>
              </w:rPr>
            </w:pPr>
            <w:r>
              <w:rPr>
                <w:color w:val="auto"/>
              </w:rPr>
              <w:t xml:space="preserve">8.95 </w:t>
            </w:r>
          </w:p>
        </w:tc>
      </w:tr>
      <w:tr w14:paraId="26EC74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2596" w:type="pct"/>
            <w:gridSpan w:val="2"/>
            <w:noWrap/>
            <w:vAlign w:val="center"/>
          </w:tcPr>
          <w:p w14:paraId="5540144C">
            <w:pPr>
              <w:pStyle w:val="94"/>
              <w:rPr>
                <w:color w:val="auto"/>
              </w:rPr>
            </w:pPr>
            <w:r>
              <w:rPr>
                <w:rFonts w:hint="eastAsia"/>
                <w:color w:val="auto"/>
              </w:rPr>
              <w:t>合计</w:t>
            </w:r>
          </w:p>
        </w:tc>
        <w:tc>
          <w:tcPr>
            <w:tcW w:w="1478" w:type="pct"/>
            <w:noWrap/>
            <w:vAlign w:val="center"/>
          </w:tcPr>
          <w:p w14:paraId="1657996E">
            <w:pPr>
              <w:pStyle w:val="94"/>
              <w:rPr>
                <w:color w:val="auto"/>
              </w:rPr>
            </w:pPr>
            <w:r>
              <w:rPr>
                <w:color w:val="auto"/>
              </w:rPr>
              <w:t xml:space="preserve">525.49 </w:t>
            </w:r>
          </w:p>
        </w:tc>
        <w:tc>
          <w:tcPr>
            <w:tcW w:w="926" w:type="pct"/>
            <w:noWrap/>
            <w:vAlign w:val="center"/>
          </w:tcPr>
          <w:p w14:paraId="39A5C111">
            <w:pPr>
              <w:pStyle w:val="94"/>
              <w:rPr>
                <w:color w:val="auto"/>
              </w:rPr>
            </w:pPr>
            <w:r>
              <w:rPr>
                <w:color w:val="auto"/>
              </w:rPr>
              <w:t xml:space="preserve">100.00 </w:t>
            </w:r>
          </w:p>
        </w:tc>
      </w:tr>
    </w:tbl>
    <w:p w14:paraId="5831DBBB">
      <w:pPr>
        <w:pStyle w:val="19"/>
        <w:keepNext/>
      </w:pPr>
      <w:r>
        <w:t xml:space="preserve">表 </w:t>
      </w:r>
      <w:r>
        <w:fldChar w:fldCharType="begin"/>
      </w:r>
      <w:r>
        <w:instrText xml:space="preserve"> SEQ 表 \* ARABIC </w:instrText>
      </w:r>
      <w:r>
        <w:fldChar w:fldCharType="separate"/>
      </w:r>
      <w:r>
        <w:t>44</w:t>
      </w:r>
      <w:r>
        <w:fldChar w:fldCharType="end"/>
      </w:r>
      <w:r>
        <w:rPr>
          <w:rFonts w:hint="eastAsia"/>
        </w:rPr>
        <w:t>评价区生态系统类型及面积（Ⅱ级分类）</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17"/>
        <w:gridCol w:w="2059"/>
        <w:gridCol w:w="1517"/>
        <w:gridCol w:w="1517"/>
        <w:gridCol w:w="2036"/>
        <w:gridCol w:w="2036"/>
      </w:tblGrid>
      <w:tr w14:paraId="2B2B1E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10" w:type="pct"/>
            <w:noWrap/>
            <w:vAlign w:val="center"/>
          </w:tcPr>
          <w:p w14:paraId="0BC778AB">
            <w:pPr>
              <w:pStyle w:val="94"/>
              <w:rPr>
                <w:color w:val="auto"/>
              </w:rPr>
            </w:pPr>
            <w:r>
              <w:rPr>
                <w:color w:val="auto"/>
              </w:rPr>
              <w:t>Ⅰ级代码</w:t>
            </w:r>
          </w:p>
        </w:tc>
        <w:tc>
          <w:tcPr>
            <w:tcW w:w="964" w:type="pct"/>
            <w:noWrap/>
            <w:vAlign w:val="center"/>
          </w:tcPr>
          <w:p w14:paraId="7E6CE287">
            <w:pPr>
              <w:pStyle w:val="94"/>
              <w:rPr>
                <w:color w:val="auto"/>
              </w:rPr>
            </w:pPr>
            <w:r>
              <w:rPr>
                <w:color w:val="auto"/>
              </w:rPr>
              <w:t>Ⅰ级分类</w:t>
            </w:r>
          </w:p>
        </w:tc>
        <w:tc>
          <w:tcPr>
            <w:tcW w:w="710" w:type="pct"/>
            <w:noWrap/>
            <w:vAlign w:val="center"/>
          </w:tcPr>
          <w:p w14:paraId="323B4DE7">
            <w:pPr>
              <w:pStyle w:val="94"/>
              <w:rPr>
                <w:color w:val="auto"/>
              </w:rPr>
            </w:pPr>
            <w:r>
              <w:rPr>
                <w:color w:val="auto"/>
              </w:rPr>
              <w:t>Ⅱ级代码</w:t>
            </w:r>
          </w:p>
        </w:tc>
        <w:tc>
          <w:tcPr>
            <w:tcW w:w="710" w:type="pct"/>
            <w:noWrap/>
            <w:vAlign w:val="center"/>
          </w:tcPr>
          <w:p w14:paraId="2828704F">
            <w:pPr>
              <w:pStyle w:val="94"/>
              <w:rPr>
                <w:color w:val="auto"/>
              </w:rPr>
            </w:pPr>
            <w:r>
              <w:rPr>
                <w:color w:val="auto"/>
              </w:rPr>
              <w:t>Ⅱ级分类</w:t>
            </w:r>
          </w:p>
        </w:tc>
        <w:tc>
          <w:tcPr>
            <w:tcW w:w="953" w:type="pct"/>
            <w:noWrap/>
            <w:vAlign w:val="center"/>
          </w:tcPr>
          <w:p w14:paraId="326954ED">
            <w:pPr>
              <w:pStyle w:val="94"/>
              <w:rPr>
                <w:color w:val="auto"/>
              </w:rPr>
            </w:pPr>
            <w:r>
              <w:rPr>
                <w:color w:val="auto"/>
              </w:rPr>
              <w:t>面积ha</w:t>
            </w:r>
          </w:p>
        </w:tc>
        <w:tc>
          <w:tcPr>
            <w:tcW w:w="953" w:type="pct"/>
            <w:noWrap/>
            <w:vAlign w:val="center"/>
          </w:tcPr>
          <w:p w14:paraId="0DEBD3DB">
            <w:pPr>
              <w:pStyle w:val="94"/>
              <w:rPr>
                <w:color w:val="auto"/>
              </w:rPr>
            </w:pPr>
            <w:r>
              <w:rPr>
                <w:rFonts w:hint="eastAsia"/>
                <w:color w:val="auto"/>
              </w:rPr>
              <w:t>占比%</w:t>
            </w:r>
          </w:p>
        </w:tc>
      </w:tr>
      <w:tr w14:paraId="7189EA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10" w:type="pct"/>
            <w:noWrap/>
            <w:vAlign w:val="center"/>
          </w:tcPr>
          <w:p w14:paraId="30315EDE">
            <w:pPr>
              <w:pStyle w:val="94"/>
              <w:rPr>
                <w:color w:val="auto"/>
              </w:rPr>
            </w:pPr>
            <w:r>
              <w:rPr>
                <w:color w:val="auto"/>
              </w:rPr>
              <w:t>1</w:t>
            </w:r>
          </w:p>
        </w:tc>
        <w:tc>
          <w:tcPr>
            <w:tcW w:w="964" w:type="pct"/>
            <w:noWrap/>
            <w:vAlign w:val="center"/>
          </w:tcPr>
          <w:p w14:paraId="71113F2A">
            <w:pPr>
              <w:pStyle w:val="94"/>
              <w:rPr>
                <w:color w:val="auto"/>
              </w:rPr>
            </w:pPr>
            <w:r>
              <w:rPr>
                <w:color w:val="auto"/>
              </w:rPr>
              <w:t>森林生态系统</w:t>
            </w:r>
          </w:p>
        </w:tc>
        <w:tc>
          <w:tcPr>
            <w:tcW w:w="710" w:type="pct"/>
            <w:noWrap/>
            <w:vAlign w:val="center"/>
          </w:tcPr>
          <w:p w14:paraId="3DB12A44">
            <w:pPr>
              <w:pStyle w:val="94"/>
              <w:rPr>
                <w:color w:val="auto"/>
              </w:rPr>
            </w:pPr>
            <w:r>
              <w:rPr>
                <w:color w:val="auto"/>
              </w:rPr>
              <w:t>11</w:t>
            </w:r>
          </w:p>
        </w:tc>
        <w:tc>
          <w:tcPr>
            <w:tcW w:w="710" w:type="pct"/>
            <w:noWrap/>
            <w:vAlign w:val="center"/>
          </w:tcPr>
          <w:p w14:paraId="50AF3DDB">
            <w:pPr>
              <w:pStyle w:val="94"/>
              <w:rPr>
                <w:color w:val="auto"/>
              </w:rPr>
            </w:pPr>
            <w:r>
              <w:rPr>
                <w:color w:val="auto"/>
              </w:rPr>
              <w:t>阔叶林</w:t>
            </w:r>
          </w:p>
        </w:tc>
        <w:tc>
          <w:tcPr>
            <w:tcW w:w="953" w:type="pct"/>
            <w:noWrap/>
            <w:vAlign w:val="center"/>
          </w:tcPr>
          <w:p w14:paraId="6DE4DB83">
            <w:pPr>
              <w:pStyle w:val="94"/>
              <w:rPr>
                <w:color w:val="auto"/>
              </w:rPr>
            </w:pPr>
            <w:r>
              <w:rPr>
                <w:color w:val="auto"/>
              </w:rPr>
              <w:t xml:space="preserve">74.48 </w:t>
            </w:r>
          </w:p>
        </w:tc>
        <w:tc>
          <w:tcPr>
            <w:tcW w:w="953" w:type="pct"/>
            <w:noWrap/>
            <w:vAlign w:val="center"/>
          </w:tcPr>
          <w:p w14:paraId="7FC63270">
            <w:pPr>
              <w:pStyle w:val="94"/>
              <w:rPr>
                <w:color w:val="auto"/>
              </w:rPr>
            </w:pPr>
            <w:r>
              <w:rPr>
                <w:color w:val="auto"/>
              </w:rPr>
              <w:t xml:space="preserve">14.17 </w:t>
            </w:r>
          </w:p>
        </w:tc>
      </w:tr>
      <w:tr w14:paraId="34F42B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10" w:type="pct"/>
            <w:noWrap/>
            <w:vAlign w:val="center"/>
          </w:tcPr>
          <w:p w14:paraId="52FBB4CD">
            <w:pPr>
              <w:pStyle w:val="94"/>
              <w:rPr>
                <w:color w:val="auto"/>
              </w:rPr>
            </w:pPr>
            <w:r>
              <w:rPr>
                <w:color w:val="auto"/>
              </w:rPr>
              <w:t>2</w:t>
            </w:r>
          </w:p>
        </w:tc>
        <w:tc>
          <w:tcPr>
            <w:tcW w:w="964" w:type="pct"/>
            <w:noWrap/>
            <w:vAlign w:val="center"/>
          </w:tcPr>
          <w:p w14:paraId="1D53F5DD">
            <w:pPr>
              <w:pStyle w:val="94"/>
              <w:rPr>
                <w:color w:val="auto"/>
              </w:rPr>
            </w:pPr>
            <w:r>
              <w:rPr>
                <w:color w:val="auto"/>
              </w:rPr>
              <w:t>灌丛生态系统</w:t>
            </w:r>
          </w:p>
        </w:tc>
        <w:tc>
          <w:tcPr>
            <w:tcW w:w="710" w:type="pct"/>
            <w:noWrap/>
            <w:vAlign w:val="center"/>
          </w:tcPr>
          <w:p w14:paraId="390BED83">
            <w:pPr>
              <w:pStyle w:val="94"/>
              <w:rPr>
                <w:color w:val="auto"/>
              </w:rPr>
            </w:pPr>
            <w:r>
              <w:rPr>
                <w:color w:val="auto"/>
              </w:rPr>
              <w:t>21</w:t>
            </w:r>
          </w:p>
        </w:tc>
        <w:tc>
          <w:tcPr>
            <w:tcW w:w="710" w:type="pct"/>
            <w:noWrap/>
            <w:vAlign w:val="center"/>
          </w:tcPr>
          <w:p w14:paraId="19A38658">
            <w:pPr>
              <w:pStyle w:val="94"/>
              <w:rPr>
                <w:color w:val="auto"/>
              </w:rPr>
            </w:pPr>
            <w:r>
              <w:rPr>
                <w:color w:val="auto"/>
              </w:rPr>
              <w:t>阔叶灌丛</w:t>
            </w:r>
          </w:p>
        </w:tc>
        <w:tc>
          <w:tcPr>
            <w:tcW w:w="953" w:type="pct"/>
            <w:noWrap/>
            <w:vAlign w:val="center"/>
          </w:tcPr>
          <w:p w14:paraId="3165A9F2">
            <w:pPr>
              <w:pStyle w:val="94"/>
              <w:rPr>
                <w:color w:val="auto"/>
              </w:rPr>
            </w:pPr>
            <w:r>
              <w:rPr>
                <w:color w:val="auto"/>
              </w:rPr>
              <w:t xml:space="preserve">3.90 </w:t>
            </w:r>
          </w:p>
        </w:tc>
        <w:tc>
          <w:tcPr>
            <w:tcW w:w="953" w:type="pct"/>
            <w:noWrap/>
            <w:vAlign w:val="center"/>
          </w:tcPr>
          <w:p w14:paraId="243589CC">
            <w:pPr>
              <w:pStyle w:val="94"/>
              <w:rPr>
                <w:color w:val="auto"/>
              </w:rPr>
            </w:pPr>
            <w:r>
              <w:rPr>
                <w:color w:val="auto"/>
              </w:rPr>
              <w:t xml:space="preserve">0.74 </w:t>
            </w:r>
          </w:p>
        </w:tc>
      </w:tr>
      <w:tr w14:paraId="203A38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10" w:type="pct"/>
            <w:noWrap/>
            <w:vAlign w:val="center"/>
          </w:tcPr>
          <w:p w14:paraId="163A9522">
            <w:pPr>
              <w:pStyle w:val="94"/>
              <w:rPr>
                <w:color w:val="auto"/>
              </w:rPr>
            </w:pPr>
            <w:r>
              <w:rPr>
                <w:color w:val="auto"/>
              </w:rPr>
              <w:t>3</w:t>
            </w:r>
          </w:p>
        </w:tc>
        <w:tc>
          <w:tcPr>
            <w:tcW w:w="964" w:type="pct"/>
            <w:noWrap/>
            <w:vAlign w:val="center"/>
          </w:tcPr>
          <w:p w14:paraId="6078046E">
            <w:pPr>
              <w:pStyle w:val="94"/>
              <w:rPr>
                <w:color w:val="auto"/>
              </w:rPr>
            </w:pPr>
            <w:r>
              <w:rPr>
                <w:color w:val="auto"/>
              </w:rPr>
              <w:t>草地生态系统</w:t>
            </w:r>
          </w:p>
        </w:tc>
        <w:tc>
          <w:tcPr>
            <w:tcW w:w="710" w:type="pct"/>
            <w:noWrap/>
            <w:vAlign w:val="center"/>
          </w:tcPr>
          <w:p w14:paraId="774EC9F2">
            <w:pPr>
              <w:pStyle w:val="94"/>
              <w:rPr>
                <w:color w:val="auto"/>
              </w:rPr>
            </w:pPr>
            <w:r>
              <w:rPr>
                <w:color w:val="auto"/>
              </w:rPr>
              <w:t>33</w:t>
            </w:r>
          </w:p>
        </w:tc>
        <w:tc>
          <w:tcPr>
            <w:tcW w:w="710" w:type="pct"/>
            <w:noWrap/>
            <w:vAlign w:val="center"/>
          </w:tcPr>
          <w:p w14:paraId="24A64EE3">
            <w:pPr>
              <w:pStyle w:val="94"/>
              <w:rPr>
                <w:color w:val="auto"/>
              </w:rPr>
            </w:pPr>
            <w:r>
              <w:rPr>
                <w:color w:val="auto"/>
              </w:rPr>
              <w:t>草丛</w:t>
            </w:r>
          </w:p>
        </w:tc>
        <w:tc>
          <w:tcPr>
            <w:tcW w:w="953" w:type="pct"/>
            <w:noWrap/>
            <w:vAlign w:val="center"/>
          </w:tcPr>
          <w:p w14:paraId="1B2D2B9D">
            <w:pPr>
              <w:pStyle w:val="94"/>
              <w:rPr>
                <w:color w:val="auto"/>
              </w:rPr>
            </w:pPr>
            <w:r>
              <w:rPr>
                <w:color w:val="auto"/>
              </w:rPr>
              <w:t xml:space="preserve">211.31 </w:t>
            </w:r>
          </w:p>
        </w:tc>
        <w:tc>
          <w:tcPr>
            <w:tcW w:w="953" w:type="pct"/>
            <w:noWrap/>
            <w:vAlign w:val="center"/>
          </w:tcPr>
          <w:p w14:paraId="2EEEF503">
            <w:pPr>
              <w:pStyle w:val="94"/>
              <w:rPr>
                <w:color w:val="auto"/>
              </w:rPr>
            </w:pPr>
            <w:r>
              <w:rPr>
                <w:color w:val="auto"/>
              </w:rPr>
              <w:t xml:space="preserve">40.21 </w:t>
            </w:r>
          </w:p>
        </w:tc>
      </w:tr>
      <w:tr w14:paraId="1DF0C9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10" w:type="pct"/>
            <w:noWrap/>
            <w:vAlign w:val="center"/>
          </w:tcPr>
          <w:p w14:paraId="74A1D99A">
            <w:pPr>
              <w:pStyle w:val="94"/>
              <w:rPr>
                <w:color w:val="auto"/>
              </w:rPr>
            </w:pPr>
            <w:r>
              <w:rPr>
                <w:color w:val="auto"/>
              </w:rPr>
              <w:t>4</w:t>
            </w:r>
          </w:p>
        </w:tc>
        <w:tc>
          <w:tcPr>
            <w:tcW w:w="964" w:type="pct"/>
            <w:noWrap/>
            <w:vAlign w:val="center"/>
          </w:tcPr>
          <w:p w14:paraId="0025CD94">
            <w:pPr>
              <w:pStyle w:val="94"/>
              <w:rPr>
                <w:color w:val="auto"/>
              </w:rPr>
            </w:pPr>
            <w:r>
              <w:rPr>
                <w:color w:val="auto"/>
              </w:rPr>
              <w:t>湿地生态系统</w:t>
            </w:r>
          </w:p>
        </w:tc>
        <w:tc>
          <w:tcPr>
            <w:tcW w:w="710" w:type="pct"/>
            <w:noWrap/>
            <w:vAlign w:val="center"/>
          </w:tcPr>
          <w:p w14:paraId="454C5825">
            <w:pPr>
              <w:pStyle w:val="94"/>
              <w:rPr>
                <w:color w:val="auto"/>
              </w:rPr>
            </w:pPr>
            <w:r>
              <w:rPr>
                <w:color w:val="auto"/>
              </w:rPr>
              <w:t>43</w:t>
            </w:r>
          </w:p>
        </w:tc>
        <w:tc>
          <w:tcPr>
            <w:tcW w:w="710" w:type="pct"/>
            <w:noWrap/>
            <w:vAlign w:val="center"/>
          </w:tcPr>
          <w:p w14:paraId="1CDE51D2">
            <w:pPr>
              <w:pStyle w:val="94"/>
              <w:rPr>
                <w:color w:val="auto"/>
              </w:rPr>
            </w:pPr>
            <w:r>
              <w:rPr>
                <w:color w:val="auto"/>
              </w:rPr>
              <w:t>河流</w:t>
            </w:r>
          </w:p>
        </w:tc>
        <w:tc>
          <w:tcPr>
            <w:tcW w:w="953" w:type="pct"/>
            <w:noWrap/>
            <w:vAlign w:val="center"/>
          </w:tcPr>
          <w:p w14:paraId="17F5A701">
            <w:pPr>
              <w:pStyle w:val="94"/>
              <w:rPr>
                <w:color w:val="auto"/>
              </w:rPr>
            </w:pPr>
            <w:r>
              <w:rPr>
                <w:color w:val="auto"/>
              </w:rPr>
              <w:t xml:space="preserve">1.04 </w:t>
            </w:r>
          </w:p>
        </w:tc>
        <w:tc>
          <w:tcPr>
            <w:tcW w:w="953" w:type="pct"/>
            <w:noWrap/>
            <w:vAlign w:val="center"/>
          </w:tcPr>
          <w:p w14:paraId="4614904E">
            <w:pPr>
              <w:pStyle w:val="94"/>
              <w:rPr>
                <w:color w:val="auto"/>
              </w:rPr>
            </w:pPr>
            <w:r>
              <w:rPr>
                <w:color w:val="auto"/>
              </w:rPr>
              <w:t xml:space="preserve">0.20 </w:t>
            </w:r>
          </w:p>
        </w:tc>
      </w:tr>
      <w:tr w14:paraId="1851CE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10" w:type="pct"/>
            <w:noWrap/>
            <w:vAlign w:val="center"/>
          </w:tcPr>
          <w:p w14:paraId="3981DDF4">
            <w:pPr>
              <w:pStyle w:val="94"/>
              <w:rPr>
                <w:color w:val="auto"/>
              </w:rPr>
            </w:pPr>
            <w:r>
              <w:rPr>
                <w:color w:val="auto"/>
              </w:rPr>
              <w:t>5</w:t>
            </w:r>
          </w:p>
        </w:tc>
        <w:tc>
          <w:tcPr>
            <w:tcW w:w="964" w:type="pct"/>
            <w:noWrap/>
            <w:vAlign w:val="center"/>
          </w:tcPr>
          <w:p w14:paraId="462CBAD3">
            <w:pPr>
              <w:pStyle w:val="94"/>
              <w:rPr>
                <w:color w:val="auto"/>
              </w:rPr>
            </w:pPr>
            <w:r>
              <w:rPr>
                <w:color w:val="auto"/>
              </w:rPr>
              <w:t>农田生态系统</w:t>
            </w:r>
          </w:p>
        </w:tc>
        <w:tc>
          <w:tcPr>
            <w:tcW w:w="710" w:type="pct"/>
            <w:noWrap/>
            <w:vAlign w:val="center"/>
          </w:tcPr>
          <w:p w14:paraId="3D07FAAF">
            <w:pPr>
              <w:pStyle w:val="94"/>
              <w:rPr>
                <w:color w:val="auto"/>
              </w:rPr>
            </w:pPr>
            <w:r>
              <w:rPr>
                <w:color w:val="auto"/>
              </w:rPr>
              <w:t>51</w:t>
            </w:r>
          </w:p>
        </w:tc>
        <w:tc>
          <w:tcPr>
            <w:tcW w:w="710" w:type="pct"/>
            <w:noWrap/>
            <w:vAlign w:val="center"/>
          </w:tcPr>
          <w:p w14:paraId="7628D0BB">
            <w:pPr>
              <w:pStyle w:val="94"/>
              <w:rPr>
                <w:color w:val="auto"/>
              </w:rPr>
            </w:pPr>
            <w:r>
              <w:rPr>
                <w:color w:val="auto"/>
              </w:rPr>
              <w:t>耕地</w:t>
            </w:r>
          </w:p>
        </w:tc>
        <w:tc>
          <w:tcPr>
            <w:tcW w:w="953" w:type="pct"/>
            <w:noWrap/>
            <w:vAlign w:val="center"/>
          </w:tcPr>
          <w:p w14:paraId="16DC88E0">
            <w:pPr>
              <w:pStyle w:val="94"/>
              <w:rPr>
                <w:color w:val="auto"/>
              </w:rPr>
            </w:pPr>
            <w:r>
              <w:rPr>
                <w:color w:val="auto"/>
              </w:rPr>
              <w:t xml:space="preserve">131.11 </w:t>
            </w:r>
          </w:p>
        </w:tc>
        <w:tc>
          <w:tcPr>
            <w:tcW w:w="953" w:type="pct"/>
            <w:noWrap/>
            <w:vAlign w:val="center"/>
          </w:tcPr>
          <w:p w14:paraId="257BC56E">
            <w:pPr>
              <w:pStyle w:val="94"/>
              <w:rPr>
                <w:color w:val="auto"/>
              </w:rPr>
            </w:pPr>
            <w:r>
              <w:rPr>
                <w:color w:val="auto"/>
              </w:rPr>
              <w:t xml:space="preserve">24.95 </w:t>
            </w:r>
          </w:p>
        </w:tc>
      </w:tr>
      <w:tr w14:paraId="6C0A8A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10" w:type="pct"/>
            <w:noWrap/>
            <w:vAlign w:val="center"/>
          </w:tcPr>
          <w:p w14:paraId="1569E22E">
            <w:pPr>
              <w:pStyle w:val="94"/>
              <w:rPr>
                <w:color w:val="auto"/>
              </w:rPr>
            </w:pPr>
            <w:r>
              <w:rPr>
                <w:color w:val="auto"/>
              </w:rPr>
              <w:t>5</w:t>
            </w:r>
          </w:p>
        </w:tc>
        <w:tc>
          <w:tcPr>
            <w:tcW w:w="964" w:type="pct"/>
            <w:noWrap/>
            <w:vAlign w:val="center"/>
          </w:tcPr>
          <w:p w14:paraId="1A16AE5E">
            <w:pPr>
              <w:pStyle w:val="94"/>
              <w:rPr>
                <w:color w:val="auto"/>
              </w:rPr>
            </w:pPr>
            <w:r>
              <w:rPr>
                <w:color w:val="auto"/>
              </w:rPr>
              <w:t>农田生态系统</w:t>
            </w:r>
          </w:p>
        </w:tc>
        <w:tc>
          <w:tcPr>
            <w:tcW w:w="710" w:type="pct"/>
            <w:noWrap/>
            <w:vAlign w:val="center"/>
          </w:tcPr>
          <w:p w14:paraId="732C13B4">
            <w:pPr>
              <w:pStyle w:val="94"/>
              <w:rPr>
                <w:color w:val="auto"/>
              </w:rPr>
            </w:pPr>
            <w:r>
              <w:rPr>
                <w:color w:val="auto"/>
              </w:rPr>
              <w:t>52</w:t>
            </w:r>
          </w:p>
        </w:tc>
        <w:tc>
          <w:tcPr>
            <w:tcW w:w="710" w:type="pct"/>
            <w:noWrap/>
            <w:vAlign w:val="center"/>
          </w:tcPr>
          <w:p w14:paraId="7CFCCC22">
            <w:pPr>
              <w:pStyle w:val="94"/>
              <w:rPr>
                <w:color w:val="auto"/>
              </w:rPr>
            </w:pPr>
            <w:r>
              <w:rPr>
                <w:color w:val="auto"/>
              </w:rPr>
              <w:t>园地</w:t>
            </w:r>
          </w:p>
        </w:tc>
        <w:tc>
          <w:tcPr>
            <w:tcW w:w="953" w:type="pct"/>
            <w:noWrap/>
            <w:vAlign w:val="center"/>
          </w:tcPr>
          <w:p w14:paraId="09303C5A">
            <w:pPr>
              <w:pStyle w:val="94"/>
              <w:rPr>
                <w:color w:val="auto"/>
              </w:rPr>
            </w:pPr>
            <w:r>
              <w:rPr>
                <w:color w:val="auto"/>
              </w:rPr>
              <w:t xml:space="preserve">48.52 </w:t>
            </w:r>
          </w:p>
        </w:tc>
        <w:tc>
          <w:tcPr>
            <w:tcW w:w="953" w:type="pct"/>
            <w:noWrap/>
            <w:vAlign w:val="center"/>
          </w:tcPr>
          <w:p w14:paraId="1A87EFE3">
            <w:pPr>
              <w:pStyle w:val="94"/>
              <w:rPr>
                <w:color w:val="auto"/>
              </w:rPr>
            </w:pPr>
            <w:r>
              <w:rPr>
                <w:color w:val="auto"/>
              </w:rPr>
              <w:t xml:space="preserve">9.23 </w:t>
            </w:r>
          </w:p>
        </w:tc>
      </w:tr>
      <w:tr w14:paraId="0D255F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10" w:type="pct"/>
            <w:noWrap/>
            <w:vAlign w:val="center"/>
          </w:tcPr>
          <w:p w14:paraId="6B7E315A">
            <w:pPr>
              <w:pStyle w:val="94"/>
              <w:rPr>
                <w:color w:val="auto"/>
              </w:rPr>
            </w:pPr>
            <w:r>
              <w:rPr>
                <w:color w:val="auto"/>
              </w:rPr>
              <w:t>6</w:t>
            </w:r>
          </w:p>
        </w:tc>
        <w:tc>
          <w:tcPr>
            <w:tcW w:w="964" w:type="pct"/>
            <w:noWrap/>
            <w:vAlign w:val="center"/>
          </w:tcPr>
          <w:p w14:paraId="63382747">
            <w:pPr>
              <w:pStyle w:val="94"/>
              <w:rPr>
                <w:color w:val="auto"/>
              </w:rPr>
            </w:pPr>
            <w:r>
              <w:rPr>
                <w:color w:val="auto"/>
              </w:rPr>
              <w:t>城镇生态系统</w:t>
            </w:r>
          </w:p>
        </w:tc>
        <w:tc>
          <w:tcPr>
            <w:tcW w:w="710" w:type="pct"/>
            <w:noWrap/>
            <w:vAlign w:val="center"/>
          </w:tcPr>
          <w:p w14:paraId="7C47CA0C">
            <w:pPr>
              <w:pStyle w:val="94"/>
              <w:rPr>
                <w:color w:val="auto"/>
              </w:rPr>
            </w:pPr>
            <w:r>
              <w:rPr>
                <w:color w:val="auto"/>
              </w:rPr>
              <w:t>63</w:t>
            </w:r>
          </w:p>
        </w:tc>
        <w:tc>
          <w:tcPr>
            <w:tcW w:w="710" w:type="pct"/>
            <w:noWrap/>
            <w:vAlign w:val="center"/>
          </w:tcPr>
          <w:p w14:paraId="691F26D8">
            <w:pPr>
              <w:pStyle w:val="94"/>
              <w:rPr>
                <w:color w:val="auto"/>
              </w:rPr>
            </w:pPr>
            <w:r>
              <w:rPr>
                <w:color w:val="auto"/>
              </w:rPr>
              <w:t>工矿交通</w:t>
            </w:r>
          </w:p>
        </w:tc>
        <w:tc>
          <w:tcPr>
            <w:tcW w:w="953" w:type="pct"/>
            <w:noWrap/>
            <w:vAlign w:val="center"/>
          </w:tcPr>
          <w:p w14:paraId="6B22094D">
            <w:pPr>
              <w:pStyle w:val="94"/>
              <w:rPr>
                <w:color w:val="auto"/>
              </w:rPr>
            </w:pPr>
            <w:r>
              <w:rPr>
                <w:color w:val="auto"/>
              </w:rPr>
              <w:t xml:space="preserve">3.57 </w:t>
            </w:r>
          </w:p>
        </w:tc>
        <w:tc>
          <w:tcPr>
            <w:tcW w:w="953" w:type="pct"/>
            <w:noWrap/>
            <w:vAlign w:val="center"/>
          </w:tcPr>
          <w:p w14:paraId="13CBD133">
            <w:pPr>
              <w:pStyle w:val="94"/>
              <w:rPr>
                <w:color w:val="auto"/>
              </w:rPr>
            </w:pPr>
            <w:r>
              <w:rPr>
                <w:color w:val="auto"/>
              </w:rPr>
              <w:t xml:space="preserve">0.68 </w:t>
            </w:r>
          </w:p>
        </w:tc>
      </w:tr>
      <w:tr w14:paraId="003775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10" w:type="pct"/>
            <w:noWrap/>
            <w:vAlign w:val="center"/>
          </w:tcPr>
          <w:p w14:paraId="6DD45AFE">
            <w:pPr>
              <w:pStyle w:val="94"/>
              <w:rPr>
                <w:color w:val="auto"/>
              </w:rPr>
            </w:pPr>
            <w:r>
              <w:rPr>
                <w:color w:val="auto"/>
              </w:rPr>
              <w:t>6</w:t>
            </w:r>
          </w:p>
        </w:tc>
        <w:tc>
          <w:tcPr>
            <w:tcW w:w="964" w:type="pct"/>
            <w:noWrap/>
            <w:vAlign w:val="center"/>
          </w:tcPr>
          <w:p w14:paraId="06B3B8BD">
            <w:pPr>
              <w:pStyle w:val="94"/>
              <w:rPr>
                <w:color w:val="auto"/>
              </w:rPr>
            </w:pPr>
            <w:r>
              <w:rPr>
                <w:color w:val="auto"/>
              </w:rPr>
              <w:t>城镇生态系统</w:t>
            </w:r>
          </w:p>
        </w:tc>
        <w:tc>
          <w:tcPr>
            <w:tcW w:w="710" w:type="pct"/>
            <w:noWrap/>
            <w:vAlign w:val="center"/>
          </w:tcPr>
          <w:p w14:paraId="37C2E4E1">
            <w:pPr>
              <w:pStyle w:val="94"/>
              <w:rPr>
                <w:color w:val="auto"/>
              </w:rPr>
            </w:pPr>
            <w:r>
              <w:rPr>
                <w:color w:val="auto"/>
              </w:rPr>
              <w:t>61</w:t>
            </w:r>
          </w:p>
        </w:tc>
        <w:tc>
          <w:tcPr>
            <w:tcW w:w="710" w:type="pct"/>
            <w:noWrap/>
            <w:vAlign w:val="center"/>
          </w:tcPr>
          <w:p w14:paraId="4AD36ABF">
            <w:pPr>
              <w:pStyle w:val="94"/>
              <w:rPr>
                <w:color w:val="auto"/>
              </w:rPr>
            </w:pPr>
            <w:r>
              <w:rPr>
                <w:color w:val="auto"/>
              </w:rPr>
              <w:t>居住地</w:t>
            </w:r>
          </w:p>
        </w:tc>
        <w:tc>
          <w:tcPr>
            <w:tcW w:w="953" w:type="pct"/>
            <w:noWrap/>
            <w:vAlign w:val="center"/>
          </w:tcPr>
          <w:p w14:paraId="2BB30784">
            <w:pPr>
              <w:pStyle w:val="94"/>
              <w:rPr>
                <w:color w:val="auto"/>
              </w:rPr>
            </w:pPr>
            <w:r>
              <w:rPr>
                <w:color w:val="auto"/>
              </w:rPr>
              <w:t xml:space="preserve">4.56 </w:t>
            </w:r>
          </w:p>
        </w:tc>
        <w:tc>
          <w:tcPr>
            <w:tcW w:w="953" w:type="pct"/>
            <w:noWrap/>
            <w:vAlign w:val="center"/>
          </w:tcPr>
          <w:p w14:paraId="0E341C89">
            <w:pPr>
              <w:pStyle w:val="94"/>
              <w:rPr>
                <w:color w:val="auto"/>
              </w:rPr>
            </w:pPr>
            <w:r>
              <w:rPr>
                <w:color w:val="auto"/>
              </w:rPr>
              <w:t xml:space="preserve">0.87 </w:t>
            </w:r>
          </w:p>
        </w:tc>
      </w:tr>
      <w:tr w14:paraId="5C1BF4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10" w:type="pct"/>
            <w:noWrap/>
            <w:vAlign w:val="center"/>
          </w:tcPr>
          <w:p w14:paraId="6AA2D4FC">
            <w:pPr>
              <w:pStyle w:val="94"/>
              <w:rPr>
                <w:color w:val="auto"/>
              </w:rPr>
            </w:pPr>
            <w:r>
              <w:rPr>
                <w:color w:val="auto"/>
              </w:rPr>
              <w:t>8</w:t>
            </w:r>
          </w:p>
        </w:tc>
        <w:tc>
          <w:tcPr>
            <w:tcW w:w="964" w:type="pct"/>
            <w:noWrap/>
            <w:vAlign w:val="center"/>
          </w:tcPr>
          <w:p w14:paraId="03D1B792">
            <w:pPr>
              <w:pStyle w:val="94"/>
              <w:rPr>
                <w:color w:val="auto"/>
              </w:rPr>
            </w:pPr>
            <w:r>
              <w:rPr>
                <w:color w:val="auto"/>
              </w:rPr>
              <w:t>其他</w:t>
            </w:r>
          </w:p>
        </w:tc>
        <w:tc>
          <w:tcPr>
            <w:tcW w:w="710" w:type="pct"/>
            <w:noWrap/>
            <w:vAlign w:val="center"/>
          </w:tcPr>
          <w:p w14:paraId="1F7C0CBF">
            <w:pPr>
              <w:pStyle w:val="94"/>
              <w:rPr>
                <w:color w:val="auto"/>
              </w:rPr>
            </w:pPr>
            <w:r>
              <w:rPr>
                <w:color w:val="auto"/>
              </w:rPr>
              <w:t>82</w:t>
            </w:r>
          </w:p>
        </w:tc>
        <w:tc>
          <w:tcPr>
            <w:tcW w:w="710" w:type="pct"/>
            <w:noWrap/>
            <w:vAlign w:val="center"/>
          </w:tcPr>
          <w:p w14:paraId="7501B168">
            <w:pPr>
              <w:pStyle w:val="94"/>
              <w:rPr>
                <w:color w:val="auto"/>
              </w:rPr>
            </w:pPr>
            <w:r>
              <w:rPr>
                <w:color w:val="auto"/>
              </w:rPr>
              <w:t>裸地</w:t>
            </w:r>
          </w:p>
        </w:tc>
        <w:tc>
          <w:tcPr>
            <w:tcW w:w="953" w:type="pct"/>
            <w:noWrap/>
            <w:vAlign w:val="center"/>
          </w:tcPr>
          <w:p w14:paraId="5CFFE18F">
            <w:pPr>
              <w:pStyle w:val="94"/>
              <w:rPr>
                <w:color w:val="auto"/>
              </w:rPr>
            </w:pPr>
            <w:r>
              <w:rPr>
                <w:color w:val="auto"/>
              </w:rPr>
              <w:t xml:space="preserve">47.01 </w:t>
            </w:r>
          </w:p>
        </w:tc>
        <w:tc>
          <w:tcPr>
            <w:tcW w:w="953" w:type="pct"/>
            <w:noWrap/>
            <w:vAlign w:val="center"/>
          </w:tcPr>
          <w:p w14:paraId="5F7D11AD">
            <w:pPr>
              <w:pStyle w:val="94"/>
              <w:rPr>
                <w:color w:val="auto"/>
              </w:rPr>
            </w:pPr>
            <w:r>
              <w:rPr>
                <w:color w:val="auto"/>
              </w:rPr>
              <w:t xml:space="preserve">8.95 </w:t>
            </w:r>
          </w:p>
        </w:tc>
      </w:tr>
      <w:tr w14:paraId="439EAF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093" w:type="pct"/>
            <w:gridSpan w:val="4"/>
            <w:noWrap/>
            <w:vAlign w:val="center"/>
          </w:tcPr>
          <w:p w14:paraId="378B96AC">
            <w:pPr>
              <w:pStyle w:val="94"/>
              <w:rPr>
                <w:color w:val="auto"/>
              </w:rPr>
            </w:pPr>
            <w:r>
              <w:rPr>
                <w:rFonts w:hint="eastAsia"/>
                <w:color w:val="auto"/>
              </w:rPr>
              <w:t>合计</w:t>
            </w:r>
          </w:p>
        </w:tc>
        <w:tc>
          <w:tcPr>
            <w:tcW w:w="953" w:type="pct"/>
            <w:noWrap/>
            <w:vAlign w:val="center"/>
          </w:tcPr>
          <w:p w14:paraId="0120066D">
            <w:pPr>
              <w:pStyle w:val="94"/>
              <w:rPr>
                <w:color w:val="auto"/>
              </w:rPr>
            </w:pPr>
            <w:r>
              <w:rPr>
                <w:color w:val="auto"/>
              </w:rPr>
              <w:t xml:space="preserve">525.49 </w:t>
            </w:r>
          </w:p>
        </w:tc>
        <w:tc>
          <w:tcPr>
            <w:tcW w:w="953" w:type="pct"/>
            <w:noWrap/>
            <w:vAlign w:val="center"/>
          </w:tcPr>
          <w:p w14:paraId="44A33114">
            <w:pPr>
              <w:pStyle w:val="94"/>
              <w:rPr>
                <w:color w:val="auto"/>
              </w:rPr>
            </w:pPr>
            <w:r>
              <w:rPr>
                <w:color w:val="auto"/>
              </w:rPr>
              <w:t xml:space="preserve">100.00 </w:t>
            </w:r>
          </w:p>
        </w:tc>
      </w:tr>
    </w:tbl>
    <w:p w14:paraId="39CFC601">
      <w:pPr>
        <w:pStyle w:val="96"/>
        <w:ind w:firstLine="480"/>
        <w:rPr>
          <w:rFonts w:cs="Arial"/>
        </w:rPr>
      </w:pPr>
      <w:r>
        <w:rPr>
          <w:rFonts w:hint="eastAsia"/>
        </w:rPr>
        <w:t>以上分析结果可知，评价区草地生态系统面积最大，面积</w:t>
      </w:r>
      <w:r>
        <w:t>211.31</w:t>
      </w:r>
      <w:r>
        <w:rPr>
          <w:rFonts w:hint="eastAsia"/>
        </w:rPr>
        <w:t>ha，占总面积的</w:t>
      </w:r>
      <w:r>
        <w:t>40.21</w:t>
      </w:r>
      <w:r>
        <w:rPr>
          <w:rFonts w:hint="eastAsia"/>
        </w:rPr>
        <w:t>%；农田生态系统次之，面积</w:t>
      </w:r>
      <w:r>
        <w:t>179.63</w:t>
      </w:r>
      <w:r>
        <w:rPr>
          <w:rFonts w:hint="eastAsia"/>
        </w:rPr>
        <w:t>ha，占总面积的</w:t>
      </w:r>
      <w:r>
        <w:t>34.18</w:t>
      </w:r>
      <w:r>
        <w:rPr>
          <w:rFonts w:hint="eastAsia"/>
        </w:rPr>
        <w:t>%；森林生态系统第三位，面积</w:t>
      </w:r>
      <w:r>
        <w:t>74.48</w:t>
      </w:r>
      <w:r>
        <w:rPr>
          <w:rFonts w:hint="eastAsia"/>
        </w:rPr>
        <w:t>ha，占总面积的</w:t>
      </w:r>
      <w:r>
        <w:t>14.17</w:t>
      </w:r>
      <w:r>
        <w:rPr>
          <w:rFonts w:hint="eastAsia"/>
        </w:rPr>
        <w:t>%；其余生态系统面积均较小。</w:t>
      </w:r>
    </w:p>
    <w:p w14:paraId="72EBE2F6">
      <w:pPr>
        <w:pStyle w:val="96"/>
        <w:ind w:firstLine="480"/>
      </w:pPr>
      <w:r>
        <w:rPr>
          <w:rFonts w:hint="eastAsia"/>
        </w:rPr>
        <w:t>评价区生态系统类型图见附图。</w:t>
      </w:r>
    </w:p>
    <w:p w14:paraId="5E6EE5F6">
      <w:pPr>
        <w:pStyle w:val="5"/>
      </w:pPr>
      <w:r>
        <w:t>生态系特征</w:t>
      </w:r>
    </w:p>
    <w:p w14:paraId="5F78EC1A">
      <w:pPr>
        <w:pStyle w:val="96"/>
        <w:ind w:firstLine="480"/>
      </w:pPr>
      <w:r>
        <w:rPr>
          <w:rFonts w:hint="eastAsia"/>
        </w:rPr>
        <w:t>根据实地调查，评价区共有</w:t>
      </w:r>
      <w:r>
        <w:t>7种生态系统类型，具体类型及特征见下表。</w:t>
      </w:r>
    </w:p>
    <w:p w14:paraId="3D068434">
      <w:pPr>
        <w:pStyle w:val="96"/>
        <w:ind w:firstLine="480"/>
      </w:pPr>
      <w:r>
        <w:t>1.城镇生态系统</w:t>
      </w:r>
    </w:p>
    <w:p w14:paraId="3E0A81CD">
      <w:pPr>
        <w:pStyle w:val="96"/>
        <w:ind w:firstLine="480"/>
      </w:pPr>
      <w:r>
        <w:rPr>
          <w:rFonts w:hint="eastAsia"/>
        </w:rPr>
        <w:t>主要为分布于评价区各区域均有分布，面积较小，主要村庄、工矿、道路等。该生态系统属于人类干扰最强烈的区域，植被覆盖率较低，生物多样性差，生态环境脆弱。</w:t>
      </w:r>
    </w:p>
    <w:p w14:paraId="3422772E">
      <w:pPr>
        <w:pStyle w:val="96"/>
        <w:ind w:firstLine="480"/>
      </w:pPr>
      <w:r>
        <w:t>2.农田生态系统</w:t>
      </w:r>
    </w:p>
    <w:p w14:paraId="2942F428">
      <w:pPr>
        <w:pStyle w:val="96"/>
        <w:ind w:firstLine="480"/>
      </w:pPr>
      <w:r>
        <w:rPr>
          <w:rFonts w:hint="eastAsia"/>
        </w:rPr>
        <w:t>农田生态系统是评价区主要生态系统，面积第二位，主要分布于沟谷等较为平坦的区域，农作物以耐寒的高粱、薯类、玉米为主，耕作制度为一年一熟。由于人类干扰频繁，野生动物稀少，主要为树麻雀、灰喜鹊、欧亚喜鹊、褐家鼠、普通田鼠等较为习惯人类活动的野生动物。</w:t>
      </w:r>
    </w:p>
    <w:p w14:paraId="089D7136">
      <w:pPr>
        <w:pStyle w:val="96"/>
        <w:ind w:firstLine="480"/>
      </w:pPr>
      <w:r>
        <w:t>3.草地生态系统</w:t>
      </w:r>
    </w:p>
    <w:p w14:paraId="1B0CCD75">
      <w:pPr>
        <w:pStyle w:val="96"/>
        <w:ind w:firstLine="480"/>
      </w:pPr>
      <w:r>
        <w:rPr>
          <w:rFonts w:hint="eastAsia"/>
        </w:rPr>
        <w:t>草地生态系统面积排名第一位，零星分布在田间、路边等地，植物以禾本科、菊科、百合科为主，主要为蒿草、白羊草、狗牙根、狗尾草、苍耳等。栖息的野生动物很少，主要有雉鸡、山斑鸠、褐家鼠、小家鼠等。</w:t>
      </w:r>
    </w:p>
    <w:p w14:paraId="5532B4C1">
      <w:pPr>
        <w:pStyle w:val="96"/>
        <w:ind w:firstLine="480"/>
      </w:pPr>
      <w:r>
        <w:t>4.森林生态系统</w:t>
      </w:r>
    </w:p>
    <w:p w14:paraId="154D333F">
      <w:pPr>
        <w:pStyle w:val="96"/>
        <w:ind w:firstLine="480"/>
      </w:pPr>
      <w:r>
        <w:rPr>
          <w:rFonts w:hint="eastAsia"/>
        </w:rPr>
        <w:t>森林生态系统主要分布较少。绝大部分为人工林，少部分为天然次生林，属于高稳定性的环境资源型斑块，可为野生动物提供良好的栖息环境，具有较强的生态功能，对维持该区域优良的生态环境质量具有非常重要的作用。主要包括毛白杨林。野生动物以林鸟和小型兽类为主，主要包括树麻雀、大嘴乌鸦、喜鹊、雉鸡、山斑鸠、松鼠等。</w:t>
      </w:r>
    </w:p>
    <w:p w14:paraId="4DB3B747">
      <w:pPr>
        <w:pStyle w:val="96"/>
        <w:ind w:firstLine="480"/>
      </w:pPr>
      <w:r>
        <w:t>5.灌丛生态系统</w:t>
      </w:r>
    </w:p>
    <w:p w14:paraId="028AEBE6">
      <w:pPr>
        <w:pStyle w:val="96"/>
        <w:ind w:firstLine="480"/>
      </w:pPr>
      <w:r>
        <w:rPr>
          <w:rFonts w:hint="eastAsia"/>
        </w:rPr>
        <w:t>灌丛生态系统面积较小，主要为人工种植的柠条锦鸡儿灌丛，由落叶灌木和多年生中生禾草类植物成，对维持区域的生态环境质量也具有比较重要的作用。野生动物与森林生态系统类似。</w:t>
      </w:r>
    </w:p>
    <w:p w14:paraId="26888683">
      <w:pPr>
        <w:pStyle w:val="96"/>
        <w:ind w:firstLine="480"/>
      </w:pPr>
      <w:r>
        <w:t>6.湿地生态系统</w:t>
      </w:r>
    </w:p>
    <w:p w14:paraId="5E9D0CA8">
      <w:pPr>
        <w:pStyle w:val="96"/>
        <w:ind w:firstLine="480"/>
      </w:pPr>
      <w:r>
        <w:rPr>
          <w:rFonts w:hint="eastAsia"/>
        </w:rPr>
        <w:t>评价区水域湿地生态系统指蔚汾河、孟家坪沟、南川河面积较小，为野生动物提供饮用水，因此生态功能非常重要。主要植物种类包括为芦苇、白茅、野黍、稗、葎草等。</w:t>
      </w:r>
    </w:p>
    <w:p w14:paraId="6E21EAB2">
      <w:pPr>
        <w:pStyle w:val="96"/>
        <w:ind w:firstLine="480"/>
      </w:pPr>
      <w:r>
        <w:rPr>
          <w:rFonts w:hint="eastAsia"/>
        </w:rPr>
        <w:t>7、其他</w:t>
      </w:r>
    </w:p>
    <w:p w14:paraId="3E5A0B68">
      <w:pPr>
        <w:pStyle w:val="96"/>
        <w:ind w:firstLine="480"/>
      </w:pPr>
      <w:r>
        <w:rPr>
          <w:rFonts w:hint="eastAsia"/>
        </w:rPr>
        <w:t>主要为评价区裸地、裸岩等。</w:t>
      </w:r>
    </w:p>
    <w:p w14:paraId="49FB7B4C">
      <w:pPr>
        <w:pStyle w:val="5"/>
        <w:rPr>
          <w:rFonts w:cs="Arial"/>
        </w:rPr>
      </w:pPr>
      <w:r>
        <w:rPr>
          <w:rFonts w:hint="eastAsia"/>
        </w:rPr>
        <w:t>生态景观格局指数</w:t>
      </w:r>
    </w:p>
    <w:p w14:paraId="4FB5EC86">
      <w:pPr>
        <w:pStyle w:val="96"/>
        <w:ind w:firstLine="480"/>
      </w:pPr>
      <w:r>
        <w:rPr>
          <w:rFonts w:hint="eastAsia"/>
        </w:rPr>
        <w:t>1.景观斑块级别指数</w:t>
      </w:r>
    </w:p>
    <w:p w14:paraId="113FA953">
      <w:pPr>
        <w:pStyle w:val="96"/>
        <w:ind w:firstLine="480"/>
      </w:pPr>
      <w:r>
        <w:rPr>
          <w:rFonts w:hint="eastAsia"/>
        </w:rPr>
        <w:t>（1）斑块类型面积（CA），单位：ha，范围：CA&gt;0</w:t>
      </w:r>
    </w:p>
    <w:p w14:paraId="524F840F">
      <w:pPr>
        <w:pStyle w:val="96"/>
        <w:ind w:firstLine="480"/>
      </w:pPr>
      <w:r>
        <w:rPr>
          <w:rFonts w:hint="eastAsia"/>
        </w:rPr>
        <w:t>公式描述：CA等于某一斑块类型中所有斑块的面积之和（m</w:t>
      </w:r>
      <w:r>
        <w:rPr>
          <w:rFonts w:hint="eastAsia"/>
          <w:vertAlign w:val="superscript"/>
        </w:rPr>
        <w:t>2</w:t>
      </w:r>
      <w:r>
        <w:rPr>
          <w:rFonts w:hint="eastAsia"/>
        </w:rPr>
        <w:t>），除以10000后转化为公顷（ha）；即某斑块类型的总面积。</w:t>
      </w:r>
    </w:p>
    <w:p w14:paraId="4F8A020C">
      <w:pPr>
        <w:pStyle w:val="96"/>
        <w:ind w:firstLine="480"/>
      </w:pPr>
      <w:r>
        <w:rPr>
          <w:rFonts w:hint="eastAsia"/>
        </w:rPr>
        <w:t>生态意义：CA度量的是景观的组分，也是计算其它指标的基础。它有很重要的生态意义，其值的大小制约着以此类型拼块作为聚居地（Habitation）的物种的丰度、数量、食物链及其次生种的繁殖等，如许多生物对其聚居地最小面积的需求是其生存的条件之一；不同类型面积的大小能够反映出其间物种、能量和养分等信息流的差异，一般来说，一个拼块中能量和矿物养分的总量与其面积成正比；</w:t>
      </w:r>
    </w:p>
    <w:p w14:paraId="7C7D74F3">
      <w:pPr>
        <w:pStyle w:val="96"/>
        <w:ind w:firstLine="480"/>
      </w:pPr>
      <w:r>
        <w:rPr>
          <w:rFonts w:hint="eastAsia"/>
        </w:rPr>
        <w:t>（2）拼块所占景观面积的比例（PLAND），单位：百分比，范围：0&lt;PLAND≤100</w:t>
      </w:r>
    </w:p>
    <w:p w14:paraId="73FC9260">
      <w:pPr>
        <w:pStyle w:val="96"/>
        <w:ind w:firstLine="480"/>
      </w:pPr>
      <w:r>
        <w:rPr>
          <w:rFonts w:hint="eastAsia"/>
        </w:rPr>
        <w:t>公式描述：</w:t>
      </w:r>
      <w:r>
        <w:t>P</w:t>
      </w:r>
      <w:r>
        <w:rPr>
          <w:rFonts w:hint="eastAsia"/>
        </w:rPr>
        <w:t>LAND等于某一拼块类型的总面积占整个景观面积的百分比。其值趋于0时，说明景观中此拼块类型变得十分稀少；其值等于100时，说明整个景观只由一类拼块组成。</w:t>
      </w:r>
    </w:p>
    <w:p w14:paraId="3B884FB5">
      <w:pPr>
        <w:pStyle w:val="96"/>
        <w:ind w:firstLine="480"/>
      </w:pPr>
      <w:r>
        <w:rPr>
          <w:rFonts w:hint="eastAsia"/>
        </w:rPr>
        <w:t>生态意义：PLAND度量的是景观的组分，其在斑块级别上与斑块相似度指标（LSIM）的意义相同。由于它计算的是某一拼块类型占整个景观的面积的相对比例，因而是帮助我们确定景观中模地（Matrix）或优势景观元素的依据之一；也是决定景观中的生物多样性、优势种和数量等生态系统指标的重要因素。</w:t>
      </w:r>
    </w:p>
    <w:p w14:paraId="77669CB4">
      <w:pPr>
        <w:pStyle w:val="96"/>
        <w:ind w:firstLine="480"/>
      </w:pPr>
      <w:r>
        <w:rPr>
          <w:rFonts w:hint="eastAsia"/>
        </w:rPr>
        <w:t>（3）最大斑块所占景观面积的比例（LPI），单位：百分比，范围：0&lt;LPI≤100</w:t>
      </w:r>
    </w:p>
    <w:p w14:paraId="3696B04F">
      <w:pPr>
        <w:pStyle w:val="96"/>
        <w:ind w:firstLine="480"/>
      </w:pPr>
      <w:r>
        <w:rPr>
          <w:rFonts w:hint="eastAsia"/>
        </w:rPr>
        <w:t>公式描述：LPI等于某一斑块类型中的最大斑块占据整个景观面积的比例。</w:t>
      </w:r>
    </w:p>
    <w:p w14:paraId="4DF6978C">
      <w:pPr>
        <w:pStyle w:val="96"/>
        <w:ind w:firstLine="480"/>
      </w:pPr>
      <w:r>
        <w:rPr>
          <w:rFonts w:hint="eastAsia"/>
        </w:rPr>
        <w:t>生态意义：有助于确定景观的模地或优势类型等。其值的大小决定着景观中的优势种、内部种的丰度等生态特征；其值的变化可以改变干扰的强度和频率，反映人类活动的方向和强弱。</w:t>
      </w:r>
    </w:p>
    <w:p w14:paraId="0820AF54">
      <w:pPr>
        <w:pStyle w:val="96"/>
        <w:ind w:firstLine="480"/>
      </w:pPr>
      <w:r>
        <w:rPr>
          <w:rFonts w:hint="eastAsia"/>
        </w:rPr>
        <w:t>评价区内各类生态系统/斑块景观斑块级别指数见下表。</w:t>
      </w:r>
    </w:p>
    <w:p w14:paraId="68F2D858">
      <w:pPr>
        <w:pStyle w:val="19"/>
        <w:keepNext/>
      </w:pPr>
      <w:r>
        <w:t xml:space="preserve">表 </w:t>
      </w:r>
      <w:r>
        <w:fldChar w:fldCharType="begin"/>
      </w:r>
      <w:r>
        <w:instrText xml:space="preserve"> SEQ 表 \* ARABIC </w:instrText>
      </w:r>
      <w:r>
        <w:fldChar w:fldCharType="separate"/>
      </w:r>
      <w:r>
        <w:t>45</w:t>
      </w:r>
      <w:r>
        <w:fldChar w:fldCharType="end"/>
      </w:r>
      <w:r>
        <w:rPr>
          <w:rFonts w:hint="eastAsia"/>
        </w:rPr>
        <w:t>评价区各类生态系统</w:t>
      </w:r>
      <w:r>
        <w:t>/斑块景观斑块级别指数</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31"/>
        <w:gridCol w:w="2611"/>
        <w:gridCol w:w="4102"/>
        <w:gridCol w:w="2638"/>
      </w:tblGrid>
      <w:tr w14:paraId="0A5CDF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23" w:type="pct"/>
            <w:vMerge w:val="restart"/>
            <w:noWrap/>
            <w:vAlign w:val="center"/>
          </w:tcPr>
          <w:p w14:paraId="476295F7">
            <w:pPr>
              <w:pStyle w:val="94"/>
              <w:rPr>
                <w:color w:val="auto"/>
              </w:rPr>
            </w:pPr>
            <w:r>
              <w:rPr>
                <w:rFonts w:hint="eastAsia"/>
                <w:color w:val="auto"/>
              </w:rPr>
              <w:t>景观类型</w:t>
            </w:r>
          </w:p>
        </w:tc>
        <w:tc>
          <w:tcPr>
            <w:tcW w:w="1222" w:type="pct"/>
            <w:noWrap/>
            <w:vAlign w:val="center"/>
          </w:tcPr>
          <w:p w14:paraId="2C1FF115">
            <w:pPr>
              <w:pStyle w:val="94"/>
              <w:rPr>
                <w:color w:val="auto"/>
              </w:rPr>
            </w:pPr>
            <w:r>
              <w:rPr>
                <w:rFonts w:hint="eastAsia"/>
                <w:color w:val="auto"/>
              </w:rPr>
              <w:t>斑块类型面积（CA）</w:t>
            </w:r>
          </w:p>
        </w:tc>
        <w:tc>
          <w:tcPr>
            <w:tcW w:w="1920" w:type="pct"/>
            <w:noWrap/>
            <w:vAlign w:val="center"/>
          </w:tcPr>
          <w:p w14:paraId="60708FFD">
            <w:pPr>
              <w:pStyle w:val="94"/>
              <w:rPr>
                <w:color w:val="auto"/>
              </w:rPr>
            </w:pPr>
            <w:r>
              <w:rPr>
                <w:rFonts w:hint="eastAsia"/>
                <w:color w:val="auto"/>
              </w:rPr>
              <w:t>斑块所占景观面积比例（PLAND）</w:t>
            </w:r>
          </w:p>
        </w:tc>
        <w:tc>
          <w:tcPr>
            <w:tcW w:w="1235" w:type="pct"/>
            <w:noWrap/>
            <w:vAlign w:val="center"/>
          </w:tcPr>
          <w:p w14:paraId="5950C330">
            <w:pPr>
              <w:pStyle w:val="94"/>
              <w:rPr>
                <w:color w:val="auto"/>
              </w:rPr>
            </w:pPr>
            <w:r>
              <w:rPr>
                <w:rFonts w:hint="eastAsia"/>
                <w:color w:val="auto"/>
              </w:rPr>
              <w:t>最大斑块指数（LPI）</w:t>
            </w:r>
          </w:p>
        </w:tc>
      </w:tr>
      <w:tr w14:paraId="3A657A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23" w:type="pct"/>
            <w:vMerge w:val="continue"/>
            <w:vAlign w:val="center"/>
          </w:tcPr>
          <w:p w14:paraId="2808737A">
            <w:pPr>
              <w:pStyle w:val="94"/>
              <w:rPr>
                <w:color w:val="auto"/>
              </w:rPr>
            </w:pPr>
          </w:p>
        </w:tc>
        <w:tc>
          <w:tcPr>
            <w:tcW w:w="1222" w:type="pct"/>
            <w:noWrap/>
            <w:vAlign w:val="center"/>
          </w:tcPr>
          <w:p w14:paraId="6742CF02">
            <w:pPr>
              <w:pStyle w:val="94"/>
              <w:rPr>
                <w:color w:val="auto"/>
              </w:rPr>
            </w:pPr>
            <w:r>
              <w:rPr>
                <w:rFonts w:hint="eastAsia"/>
                <w:color w:val="auto"/>
              </w:rPr>
              <w:t>ha</w:t>
            </w:r>
          </w:p>
        </w:tc>
        <w:tc>
          <w:tcPr>
            <w:tcW w:w="1920" w:type="pct"/>
            <w:noWrap/>
            <w:vAlign w:val="center"/>
          </w:tcPr>
          <w:p w14:paraId="090C68B4">
            <w:pPr>
              <w:pStyle w:val="94"/>
              <w:rPr>
                <w:color w:val="auto"/>
              </w:rPr>
            </w:pPr>
            <w:r>
              <w:rPr>
                <w:rFonts w:hint="eastAsia"/>
                <w:color w:val="auto"/>
              </w:rPr>
              <w:t>%</w:t>
            </w:r>
          </w:p>
        </w:tc>
        <w:tc>
          <w:tcPr>
            <w:tcW w:w="1235" w:type="pct"/>
            <w:noWrap/>
            <w:vAlign w:val="center"/>
          </w:tcPr>
          <w:p w14:paraId="3C198739">
            <w:pPr>
              <w:pStyle w:val="94"/>
              <w:rPr>
                <w:color w:val="auto"/>
              </w:rPr>
            </w:pPr>
            <w:r>
              <w:rPr>
                <w:rFonts w:hint="eastAsia"/>
                <w:color w:val="auto"/>
              </w:rPr>
              <w:t>%</w:t>
            </w:r>
          </w:p>
        </w:tc>
      </w:tr>
      <w:tr w14:paraId="2375B7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23" w:type="pct"/>
            <w:noWrap/>
            <w:vAlign w:val="center"/>
          </w:tcPr>
          <w:p w14:paraId="621E8C64">
            <w:pPr>
              <w:pStyle w:val="94"/>
              <w:rPr>
                <w:color w:val="auto"/>
              </w:rPr>
            </w:pPr>
            <w:r>
              <w:rPr>
                <w:rFonts w:hint="eastAsia"/>
                <w:color w:val="auto"/>
                <w:sz w:val="22"/>
                <w:szCs w:val="22"/>
              </w:rPr>
              <w:t>耕地</w:t>
            </w:r>
          </w:p>
        </w:tc>
        <w:tc>
          <w:tcPr>
            <w:tcW w:w="1222" w:type="pct"/>
            <w:noWrap/>
            <w:vAlign w:val="center"/>
          </w:tcPr>
          <w:p w14:paraId="48FCB59D">
            <w:pPr>
              <w:pStyle w:val="94"/>
              <w:rPr>
                <w:color w:val="auto"/>
              </w:rPr>
            </w:pPr>
            <w:r>
              <w:rPr>
                <w:rFonts w:hint="eastAsia"/>
                <w:color w:val="auto"/>
                <w:sz w:val="22"/>
                <w:szCs w:val="22"/>
              </w:rPr>
              <w:t>131.72</w:t>
            </w:r>
          </w:p>
        </w:tc>
        <w:tc>
          <w:tcPr>
            <w:tcW w:w="1920" w:type="pct"/>
            <w:noWrap/>
            <w:vAlign w:val="center"/>
          </w:tcPr>
          <w:p w14:paraId="21D02759">
            <w:pPr>
              <w:pStyle w:val="94"/>
              <w:rPr>
                <w:color w:val="auto"/>
              </w:rPr>
            </w:pPr>
            <w:r>
              <w:rPr>
                <w:rFonts w:hint="eastAsia"/>
                <w:color w:val="auto"/>
                <w:sz w:val="22"/>
                <w:szCs w:val="22"/>
              </w:rPr>
              <w:t>25.0776</w:t>
            </w:r>
          </w:p>
        </w:tc>
        <w:tc>
          <w:tcPr>
            <w:tcW w:w="1235" w:type="pct"/>
            <w:noWrap/>
            <w:vAlign w:val="center"/>
          </w:tcPr>
          <w:p w14:paraId="4982369B">
            <w:pPr>
              <w:pStyle w:val="94"/>
              <w:rPr>
                <w:color w:val="auto"/>
              </w:rPr>
            </w:pPr>
            <w:r>
              <w:rPr>
                <w:rFonts w:hint="eastAsia"/>
                <w:color w:val="auto"/>
                <w:sz w:val="22"/>
                <w:szCs w:val="22"/>
              </w:rPr>
              <w:t>3.4574</w:t>
            </w:r>
          </w:p>
        </w:tc>
      </w:tr>
      <w:tr w14:paraId="11EF64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23" w:type="pct"/>
            <w:noWrap/>
            <w:vAlign w:val="center"/>
          </w:tcPr>
          <w:p w14:paraId="7617C3C6">
            <w:pPr>
              <w:pStyle w:val="94"/>
              <w:rPr>
                <w:color w:val="auto"/>
              </w:rPr>
            </w:pPr>
            <w:r>
              <w:rPr>
                <w:rFonts w:hint="eastAsia"/>
                <w:color w:val="auto"/>
                <w:sz w:val="22"/>
                <w:szCs w:val="22"/>
              </w:rPr>
              <w:t>阔叶林</w:t>
            </w:r>
          </w:p>
        </w:tc>
        <w:tc>
          <w:tcPr>
            <w:tcW w:w="1222" w:type="pct"/>
            <w:noWrap/>
            <w:vAlign w:val="center"/>
          </w:tcPr>
          <w:p w14:paraId="08BE8083">
            <w:pPr>
              <w:pStyle w:val="94"/>
              <w:rPr>
                <w:color w:val="auto"/>
              </w:rPr>
            </w:pPr>
            <w:r>
              <w:rPr>
                <w:rFonts w:hint="eastAsia"/>
                <w:color w:val="auto"/>
                <w:sz w:val="22"/>
                <w:szCs w:val="22"/>
              </w:rPr>
              <w:t>74.01</w:t>
            </w:r>
          </w:p>
        </w:tc>
        <w:tc>
          <w:tcPr>
            <w:tcW w:w="1920" w:type="pct"/>
            <w:noWrap/>
            <w:vAlign w:val="center"/>
          </w:tcPr>
          <w:p w14:paraId="0F54E58E">
            <w:pPr>
              <w:pStyle w:val="94"/>
              <w:rPr>
                <w:color w:val="auto"/>
              </w:rPr>
            </w:pPr>
            <w:r>
              <w:rPr>
                <w:rFonts w:hint="eastAsia"/>
                <w:color w:val="auto"/>
                <w:sz w:val="22"/>
                <w:szCs w:val="22"/>
              </w:rPr>
              <w:t>14.0904</w:t>
            </w:r>
          </w:p>
        </w:tc>
        <w:tc>
          <w:tcPr>
            <w:tcW w:w="1235" w:type="pct"/>
            <w:noWrap/>
            <w:vAlign w:val="center"/>
          </w:tcPr>
          <w:p w14:paraId="46F72265">
            <w:pPr>
              <w:pStyle w:val="94"/>
              <w:rPr>
                <w:color w:val="auto"/>
              </w:rPr>
            </w:pPr>
            <w:r>
              <w:rPr>
                <w:rFonts w:hint="eastAsia"/>
                <w:color w:val="auto"/>
                <w:sz w:val="22"/>
                <w:szCs w:val="22"/>
              </w:rPr>
              <w:t>1.9686</w:t>
            </w:r>
          </w:p>
        </w:tc>
      </w:tr>
      <w:tr w14:paraId="0C9E81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23" w:type="pct"/>
            <w:noWrap/>
            <w:vAlign w:val="center"/>
          </w:tcPr>
          <w:p w14:paraId="27E2998B">
            <w:pPr>
              <w:pStyle w:val="94"/>
              <w:rPr>
                <w:color w:val="auto"/>
              </w:rPr>
            </w:pPr>
            <w:r>
              <w:rPr>
                <w:rFonts w:hint="eastAsia"/>
                <w:color w:val="auto"/>
                <w:sz w:val="22"/>
                <w:szCs w:val="22"/>
              </w:rPr>
              <w:t>草丛</w:t>
            </w:r>
          </w:p>
        </w:tc>
        <w:tc>
          <w:tcPr>
            <w:tcW w:w="1222" w:type="pct"/>
            <w:noWrap/>
            <w:vAlign w:val="center"/>
          </w:tcPr>
          <w:p w14:paraId="3B292DC2">
            <w:pPr>
              <w:pStyle w:val="94"/>
              <w:rPr>
                <w:color w:val="auto"/>
              </w:rPr>
            </w:pPr>
            <w:r>
              <w:rPr>
                <w:rFonts w:hint="eastAsia"/>
                <w:color w:val="auto"/>
                <w:sz w:val="22"/>
                <w:szCs w:val="22"/>
              </w:rPr>
              <w:t>210.95</w:t>
            </w:r>
          </w:p>
        </w:tc>
        <w:tc>
          <w:tcPr>
            <w:tcW w:w="1920" w:type="pct"/>
            <w:noWrap/>
            <w:vAlign w:val="center"/>
          </w:tcPr>
          <w:p w14:paraId="35CD3129">
            <w:pPr>
              <w:pStyle w:val="94"/>
              <w:rPr>
                <w:color w:val="auto"/>
              </w:rPr>
            </w:pPr>
            <w:r>
              <w:rPr>
                <w:rFonts w:hint="eastAsia"/>
                <w:color w:val="auto"/>
                <w:sz w:val="22"/>
                <w:szCs w:val="22"/>
              </w:rPr>
              <w:t>40.1618</w:t>
            </w:r>
          </w:p>
        </w:tc>
        <w:tc>
          <w:tcPr>
            <w:tcW w:w="1235" w:type="pct"/>
            <w:noWrap/>
            <w:vAlign w:val="center"/>
          </w:tcPr>
          <w:p w14:paraId="1BE3C8E4">
            <w:pPr>
              <w:pStyle w:val="94"/>
              <w:rPr>
                <w:color w:val="auto"/>
              </w:rPr>
            </w:pPr>
            <w:r>
              <w:rPr>
                <w:rFonts w:hint="eastAsia"/>
                <w:color w:val="auto"/>
                <w:sz w:val="22"/>
                <w:szCs w:val="22"/>
              </w:rPr>
              <w:t>14.5207</w:t>
            </w:r>
          </w:p>
        </w:tc>
      </w:tr>
      <w:tr w14:paraId="5E3227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23" w:type="pct"/>
            <w:noWrap/>
            <w:vAlign w:val="center"/>
          </w:tcPr>
          <w:p w14:paraId="37E997A4">
            <w:pPr>
              <w:pStyle w:val="94"/>
              <w:rPr>
                <w:color w:val="auto"/>
              </w:rPr>
            </w:pPr>
            <w:r>
              <w:rPr>
                <w:rFonts w:hint="eastAsia"/>
                <w:color w:val="auto"/>
                <w:sz w:val="22"/>
                <w:szCs w:val="22"/>
              </w:rPr>
              <w:t>工矿交通</w:t>
            </w:r>
          </w:p>
        </w:tc>
        <w:tc>
          <w:tcPr>
            <w:tcW w:w="1222" w:type="pct"/>
            <w:noWrap/>
            <w:vAlign w:val="center"/>
          </w:tcPr>
          <w:p w14:paraId="176B2E92">
            <w:pPr>
              <w:pStyle w:val="94"/>
              <w:rPr>
                <w:color w:val="auto"/>
              </w:rPr>
            </w:pPr>
            <w:r>
              <w:rPr>
                <w:rFonts w:hint="eastAsia"/>
                <w:color w:val="auto"/>
                <w:sz w:val="22"/>
                <w:szCs w:val="22"/>
              </w:rPr>
              <w:t>3.55</w:t>
            </w:r>
          </w:p>
        </w:tc>
        <w:tc>
          <w:tcPr>
            <w:tcW w:w="1920" w:type="pct"/>
            <w:noWrap/>
            <w:vAlign w:val="center"/>
          </w:tcPr>
          <w:p w14:paraId="05E64F2A">
            <w:pPr>
              <w:pStyle w:val="94"/>
              <w:rPr>
                <w:color w:val="auto"/>
              </w:rPr>
            </w:pPr>
            <w:r>
              <w:rPr>
                <w:rFonts w:hint="eastAsia"/>
                <w:color w:val="auto"/>
                <w:sz w:val="22"/>
                <w:szCs w:val="22"/>
              </w:rPr>
              <w:t>0.6759</w:t>
            </w:r>
          </w:p>
        </w:tc>
        <w:tc>
          <w:tcPr>
            <w:tcW w:w="1235" w:type="pct"/>
            <w:noWrap/>
            <w:vAlign w:val="center"/>
          </w:tcPr>
          <w:p w14:paraId="6F77B39B">
            <w:pPr>
              <w:pStyle w:val="94"/>
              <w:rPr>
                <w:color w:val="auto"/>
              </w:rPr>
            </w:pPr>
            <w:r>
              <w:rPr>
                <w:rFonts w:hint="eastAsia"/>
                <w:color w:val="auto"/>
                <w:sz w:val="22"/>
                <w:szCs w:val="22"/>
              </w:rPr>
              <w:t>0.0152</w:t>
            </w:r>
          </w:p>
        </w:tc>
      </w:tr>
      <w:tr w14:paraId="013FBE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23" w:type="pct"/>
            <w:noWrap/>
            <w:vAlign w:val="center"/>
          </w:tcPr>
          <w:p w14:paraId="452B3CD3">
            <w:pPr>
              <w:pStyle w:val="94"/>
              <w:rPr>
                <w:color w:val="auto"/>
              </w:rPr>
            </w:pPr>
            <w:r>
              <w:rPr>
                <w:rFonts w:hint="eastAsia"/>
                <w:color w:val="auto"/>
                <w:sz w:val="22"/>
                <w:szCs w:val="22"/>
              </w:rPr>
              <w:t>园地</w:t>
            </w:r>
          </w:p>
        </w:tc>
        <w:tc>
          <w:tcPr>
            <w:tcW w:w="1222" w:type="pct"/>
            <w:noWrap/>
            <w:vAlign w:val="center"/>
          </w:tcPr>
          <w:p w14:paraId="26C94937">
            <w:pPr>
              <w:pStyle w:val="94"/>
              <w:rPr>
                <w:color w:val="auto"/>
              </w:rPr>
            </w:pPr>
            <w:r>
              <w:rPr>
                <w:rFonts w:hint="eastAsia"/>
                <w:color w:val="auto"/>
                <w:sz w:val="22"/>
                <w:szCs w:val="22"/>
              </w:rPr>
              <w:t>48.55</w:t>
            </w:r>
          </w:p>
        </w:tc>
        <w:tc>
          <w:tcPr>
            <w:tcW w:w="1920" w:type="pct"/>
            <w:noWrap/>
            <w:vAlign w:val="center"/>
          </w:tcPr>
          <w:p w14:paraId="130A7F4D">
            <w:pPr>
              <w:pStyle w:val="94"/>
              <w:rPr>
                <w:color w:val="auto"/>
              </w:rPr>
            </w:pPr>
            <w:r>
              <w:rPr>
                <w:rFonts w:hint="eastAsia"/>
                <w:color w:val="auto"/>
                <w:sz w:val="22"/>
                <w:szCs w:val="22"/>
              </w:rPr>
              <w:t>9.2432</w:t>
            </w:r>
          </w:p>
        </w:tc>
        <w:tc>
          <w:tcPr>
            <w:tcW w:w="1235" w:type="pct"/>
            <w:noWrap/>
            <w:vAlign w:val="center"/>
          </w:tcPr>
          <w:p w14:paraId="14C268EB">
            <w:pPr>
              <w:pStyle w:val="94"/>
              <w:rPr>
                <w:color w:val="auto"/>
              </w:rPr>
            </w:pPr>
            <w:r>
              <w:rPr>
                <w:rFonts w:hint="eastAsia"/>
                <w:color w:val="auto"/>
                <w:sz w:val="22"/>
                <w:szCs w:val="22"/>
              </w:rPr>
              <w:t>2.4807</w:t>
            </w:r>
          </w:p>
        </w:tc>
      </w:tr>
      <w:tr w14:paraId="4D68B2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23" w:type="pct"/>
            <w:noWrap/>
            <w:vAlign w:val="center"/>
          </w:tcPr>
          <w:p w14:paraId="0588EBD1">
            <w:pPr>
              <w:pStyle w:val="94"/>
              <w:rPr>
                <w:color w:val="auto"/>
              </w:rPr>
            </w:pPr>
            <w:r>
              <w:rPr>
                <w:rFonts w:hint="eastAsia"/>
                <w:color w:val="auto"/>
                <w:sz w:val="22"/>
                <w:szCs w:val="22"/>
              </w:rPr>
              <w:t>裸地</w:t>
            </w:r>
          </w:p>
        </w:tc>
        <w:tc>
          <w:tcPr>
            <w:tcW w:w="1222" w:type="pct"/>
            <w:noWrap/>
            <w:vAlign w:val="center"/>
          </w:tcPr>
          <w:p w14:paraId="70CB5CC2">
            <w:pPr>
              <w:pStyle w:val="94"/>
              <w:rPr>
                <w:color w:val="auto"/>
              </w:rPr>
            </w:pPr>
            <w:r>
              <w:rPr>
                <w:rFonts w:hint="eastAsia"/>
                <w:color w:val="auto"/>
                <w:sz w:val="22"/>
                <w:szCs w:val="22"/>
              </w:rPr>
              <w:t>47.02</w:t>
            </w:r>
          </w:p>
        </w:tc>
        <w:tc>
          <w:tcPr>
            <w:tcW w:w="1920" w:type="pct"/>
            <w:noWrap/>
            <w:vAlign w:val="center"/>
          </w:tcPr>
          <w:p w14:paraId="44B26DC7">
            <w:pPr>
              <w:pStyle w:val="94"/>
              <w:rPr>
                <w:color w:val="auto"/>
              </w:rPr>
            </w:pPr>
            <w:r>
              <w:rPr>
                <w:rFonts w:hint="eastAsia"/>
                <w:color w:val="auto"/>
                <w:sz w:val="22"/>
                <w:szCs w:val="22"/>
              </w:rPr>
              <w:t>8.9519</w:t>
            </w:r>
          </w:p>
        </w:tc>
        <w:tc>
          <w:tcPr>
            <w:tcW w:w="1235" w:type="pct"/>
            <w:noWrap/>
            <w:vAlign w:val="center"/>
          </w:tcPr>
          <w:p w14:paraId="0C2A4A15">
            <w:pPr>
              <w:pStyle w:val="94"/>
              <w:rPr>
                <w:color w:val="auto"/>
              </w:rPr>
            </w:pPr>
            <w:r>
              <w:rPr>
                <w:rFonts w:hint="eastAsia"/>
                <w:color w:val="auto"/>
                <w:sz w:val="22"/>
                <w:szCs w:val="22"/>
              </w:rPr>
              <w:t>4.0819</w:t>
            </w:r>
          </w:p>
        </w:tc>
      </w:tr>
      <w:tr w14:paraId="7222F2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23" w:type="pct"/>
            <w:noWrap/>
            <w:vAlign w:val="center"/>
          </w:tcPr>
          <w:p w14:paraId="44943B5A">
            <w:pPr>
              <w:pStyle w:val="94"/>
              <w:rPr>
                <w:color w:val="auto"/>
              </w:rPr>
            </w:pPr>
            <w:r>
              <w:rPr>
                <w:rFonts w:hint="eastAsia"/>
                <w:color w:val="auto"/>
                <w:sz w:val="22"/>
                <w:szCs w:val="22"/>
              </w:rPr>
              <w:t>居住地</w:t>
            </w:r>
          </w:p>
        </w:tc>
        <w:tc>
          <w:tcPr>
            <w:tcW w:w="1222" w:type="pct"/>
            <w:noWrap/>
            <w:vAlign w:val="center"/>
          </w:tcPr>
          <w:p w14:paraId="05B5D2A7">
            <w:pPr>
              <w:pStyle w:val="94"/>
              <w:rPr>
                <w:color w:val="auto"/>
              </w:rPr>
            </w:pPr>
            <w:r>
              <w:rPr>
                <w:rFonts w:hint="eastAsia"/>
                <w:color w:val="auto"/>
                <w:sz w:val="22"/>
                <w:szCs w:val="22"/>
              </w:rPr>
              <w:t>4.54</w:t>
            </w:r>
          </w:p>
        </w:tc>
        <w:tc>
          <w:tcPr>
            <w:tcW w:w="1920" w:type="pct"/>
            <w:noWrap/>
            <w:vAlign w:val="center"/>
          </w:tcPr>
          <w:p w14:paraId="2B5EF3D0">
            <w:pPr>
              <w:pStyle w:val="94"/>
              <w:rPr>
                <w:color w:val="auto"/>
              </w:rPr>
            </w:pPr>
            <w:r>
              <w:rPr>
                <w:rFonts w:hint="eastAsia"/>
                <w:color w:val="auto"/>
                <w:sz w:val="22"/>
                <w:szCs w:val="22"/>
              </w:rPr>
              <w:t>0.8644</w:t>
            </w:r>
          </w:p>
        </w:tc>
        <w:tc>
          <w:tcPr>
            <w:tcW w:w="1235" w:type="pct"/>
            <w:noWrap/>
            <w:vAlign w:val="center"/>
          </w:tcPr>
          <w:p w14:paraId="74BC2D4E">
            <w:pPr>
              <w:pStyle w:val="94"/>
              <w:rPr>
                <w:color w:val="auto"/>
              </w:rPr>
            </w:pPr>
            <w:r>
              <w:rPr>
                <w:rFonts w:hint="eastAsia"/>
                <w:color w:val="auto"/>
                <w:sz w:val="22"/>
                <w:szCs w:val="22"/>
              </w:rPr>
              <w:t>0.2475</w:t>
            </w:r>
          </w:p>
        </w:tc>
      </w:tr>
      <w:tr w14:paraId="5916D5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23" w:type="pct"/>
            <w:noWrap/>
            <w:vAlign w:val="center"/>
          </w:tcPr>
          <w:p w14:paraId="41C7EC32">
            <w:pPr>
              <w:pStyle w:val="94"/>
              <w:rPr>
                <w:color w:val="auto"/>
              </w:rPr>
            </w:pPr>
            <w:r>
              <w:rPr>
                <w:rFonts w:hint="eastAsia"/>
                <w:color w:val="auto"/>
                <w:sz w:val="22"/>
                <w:szCs w:val="22"/>
              </w:rPr>
              <w:t>阔叶灌丛</w:t>
            </w:r>
          </w:p>
        </w:tc>
        <w:tc>
          <w:tcPr>
            <w:tcW w:w="1222" w:type="pct"/>
            <w:noWrap/>
            <w:vAlign w:val="center"/>
          </w:tcPr>
          <w:p w14:paraId="2DBD0D69">
            <w:pPr>
              <w:pStyle w:val="94"/>
              <w:rPr>
                <w:color w:val="auto"/>
              </w:rPr>
            </w:pPr>
            <w:r>
              <w:rPr>
                <w:rFonts w:hint="eastAsia"/>
                <w:color w:val="auto"/>
                <w:sz w:val="22"/>
                <w:szCs w:val="22"/>
              </w:rPr>
              <w:t>3.88</w:t>
            </w:r>
          </w:p>
        </w:tc>
        <w:tc>
          <w:tcPr>
            <w:tcW w:w="1920" w:type="pct"/>
            <w:noWrap/>
            <w:vAlign w:val="center"/>
          </w:tcPr>
          <w:p w14:paraId="48B8476A">
            <w:pPr>
              <w:pStyle w:val="94"/>
              <w:rPr>
                <w:color w:val="auto"/>
              </w:rPr>
            </w:pPr>
            <w:r>
              <w:rPr>
                <w:rFonts w:hint="eastAsia"/>
                <w:color w:val="auto"/>
                <w:sz w:val="22"/>
                <w:szCs w:val="22"/>
              </w:rPr>
              <w:t>0.7387</w:t>
            </w:r>
          </w:p>
        </w:tc>
        <w:tc>
          <w:tcPr>
            <w:tcW w:w="1235" w:type="pct"/>
            <w:noWrap/>
            <w:vAlign w:val="center"/>
          </w:tcPr>
          <w:p w14:paraId="60989847">
            <w:pPr>
              <w:pStyle w:val="94"/>
              <w:rPr>
                <w:color w:val="auto"/>
              </w:rPr>
            </w:pPr>
            <w:r>
              <w:rPr>
                <w:rFonts w:hint="eastAsia"/>
                <w:color w:val="auto"/>
                <w:sz w:val="22"/>
                <w:szCs w:val="22"/>
              </w:rPr>
              <w:t>0.4531</w:t>
            </w:r>
          </w:p>
        </w:tc>
      </w:tr>
      <w:tr w14:paraId="6E3F32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623" w:type="pct"/>
            <w:noWrap/>
            <w:vAlign w:val="center"/>
          </w:tcPr>
          <w:p w14:paraId="5C14020B">
            <w:pPr>
              <w:pStyle w:val="94"/>
              <w:rPr>
                <w:color w:val="auto"/>
              </w:rPr>
            </w:pPr>
            <w:r>
              <w:rPr>
                <w:rFonts w:hint="eastAsia"/>
                <w:color w:val="auto"/>
                <w:sz w:val="22"/>
                <w:szCs w:val="22"/>
              </w:rPr>
              <w:t>河流</w:t>
            </w:r>
          </w:p>
        </w:tc>
        <w:tc>
          <w:tcPr>
            <w:tcW w:w="1222" w:type="pct"/>
            <w:noWrap/>
            <w:vAlign w:val="center"/>
          </w:tcPr>
          <w:p w14:paraId="069F362B">
            <w:pPr>
              <w:pStyle w:val="94"/>
              <w:rPr>
                <w:color w:val="auto"/>
              </w:rPr>
            </w:pPr>
            <w:r>
              <w:rPr>
                <w:rFonts w:hint="eastAsia"/>
                <w:color w:val="auto"/>
                <w:sz w:val="22"/>
                <w:szCs w:val="22"/>
              </w:rPr>
              <w:t>1.03</w:t>
            </w:r>
          </w:p>
        </w:tc>
        <w:tc>
          <w:tcPr>
            <w:tcW w:w="1920" w:type="pct"/>
            <w:noWrap/>
            <w:vAlign w:val="center"/>
          </w:tcPr>
          <w:p w14:paraId="24EDBEC1">
            <w:pPr>
              <w:pStyle w:val="94"/>
              <w:rPr>
                <w:color w:val="auto"/>
              </w:rPr>
            </w:pPr>
            <w:r>
              <w:rPr>
                <w:rFonts w:hint="eastAsia"/>
                <w:color w:val="auto"/>
                <w:sz w:val="22"/>
                <w:szCs w:val="22"/>
              </w:rPr>
              <w:t>0.1961</w:t>
            </w:r>
          </w:p>
        </w:tc>
        <w:tc>
          <w:tcPr>
            <w:tcW w:w="1235" w:type="pct"/>
            <w:noWrap/>
            <w:vAlign w:val="center"/>
          </w:tcPr>
          <w:p w14:paraId="4FBBAF41">
            <w:pPr>
              <w:pStyle w:val="94"/>
              <w:rPr>
                <w:color w:val="auto"/>
              </w:rPr>
            </w:pPr>
            <w:r>
              <w:rPr>
                <w:rFonts w:hint="eastAsia"/>
                <w:color w:val="auto"/>
                <w:sz w:val="22"/>
                <w:szCs w:val="22"/>
              </w:rPr>
              <w:t>0.1961</w:t>
            </w:r>
          </w:p>
        </w:tc>
      </w:tr>
    </w:tbl>
    <w:p w14:paraId="098E6755">
      <w:pPr>
        <w:pStyle w:val="96"/>
        <w:ind w:firstLine="480"/>
        <w:rPr>
          <w:rFonts w:cs="Arial"/>
        </w:rPr>
      </w:pPr>
      <w:r>
        <w:rPr>
          <w:rFonts w:hint="eastAsia"/>
        </w:rPr>
        <w:t>从上表可以看出，评价区内草丛、耕地、阔叶林的斑块所占景观面积比例较高，分别为</w:t>
      </w:r>
      <w:r>
        <w:t>40.1618</w:t>
      </w:r>
      <w:r>
        <w:rPr>
          <w:rFonts w:hint="eastAsia"/>
        </w:rPr>
        <w:t>%、</w:t>
      </w:r>
      <w:r>
        <w:t>25.0776</w:t>
      </w:r>
      <w:r>
        <w:rPr>
          <w:rFonts w:hint="eastAsia"/>
        </w:rPr>
        <w:t>%、</w:t>
      </w:r>
      <w:r>
        <w:t>14.0904</w:t>
      </w:r>
      <w:r>
        <w:rPr>
          <w:rFonts w:hint="eastAsia"/>
        </w:rPr>
        <w:t>%；其余园地、居住地、河流、工矿交通、裸地、阔叶灌丛的景观面积比例较低。从各个斑块的数据和生态系统/景观分布图来看，草丛斑块分布最广，面积最大，贯通整个评价区域，连通程度高。</w:t>
      </w:r>
    </w:p>
    <w:p w14:paraId="371ED9DB">
      <w:pPr>
        <w:pStyle w:val="5"/>
      </w:pPr>
      <w:r>
        <w:rPr>
          <w:rFonts w:hint="eastAsia"/>
        </w:rPr>
        <w:t>生态系统质量现状</w:t>
      </w:r>
    </w:p>
    <w:p w14:paraId="35988651">
      <w:pPr>
        <w:pStyle w:val="96"/>
        <w:ind w:firstLine="480"/>
      </w:pPr>
      <w:r>
        <w:rPr>
          <w:rFonts w:hint="eastAsia"/>
        </w:rPr>
        <w:t>植被类型在地带性植被演替阶段中的位置，以及在演替过程中的顺序。一般说来，这决定了植被类型的生态潜力高低，地带性植被类型的生态潜力最大，原生性植被类型的生态潜力比次生性的高等。</w:t>
      </w:r>
    </w:p>
    <w:p w14:paraId="3765B083">
      <w:pPr>
        <w:pStyle w:val="96"/>
        <w:ind w:firstLine="480"/>
      </w:pPr>
      <w:r>
        <w:rPr>
          <w:rFonts w:hint="eastAsia"/>
        </w:rPr>
        <w:t>植被类型单位面积的生产潜力大小。生产力越高的植被，在植被恢复和生态重建中的作用也越大，当然这是在第一点的基础上进行的排序。一般而言，乔木群落的生产力要高于草本。</w:t>
      </w:r>
    </w:p>
    <w:p w14:paraId="53315852">
      <w:pPr>
        <w:pStyle w:val="96"/>
        <w:ind w:firstLine="480"/>
      </w:pPr>
      <w:r>
        <w:rPr>
          <w:rFonts w:hint="eastAsia"/>
        </w:rPr>
        <w:t>以上述两点为依据，分析各成图植被类型的性质和群落特征，对其生态潜力按</w:t>
      </w:r>
      <w:r>
        <w:t>5</w:t>
      </w:r>
      <w:r>
        <w:rPr>
          <w:rFonts w:hint="eastAsia"/>
        </w:rPr>
        <w:t>级进行排序，Ⅰ至Ⅲ级表示由优变劣。以反映评价区生态环境的综合质量。</w:t>
      </w:r>
    </w:p>
    <w:p w14:paraId="27162D9D">
      <w:pPr>
        <w:pStyle w:val="19"/>
        <w:keepNext/>
      </w:pPr>
      <w:r>
        <w:t xml:space="preserve">表 </w:t>
      </w:r>
      <w:r>
        <w:fldChar w:fldCharType="begin"/>
      </w:r>
      <w:r>
        <w:instrText xml:space="preserve"> SEQ 表 \* ARABIC </w:instrText>
      </w:r>
      <w:r>
        <w:fldChar w:fldCharType="separate"/>
      </w:r>
      <w:r>
        <w:t>46</w:t>
      </w:r>
      <w:r>
        <w:fldChar w:fldCharType="end"/>
      </w:r>
      <w:r>
        <w:rPr>
          <w:rFonts w:hint="eastAsia"/>
        </w:rPr>
        <w:t>评价区生态系统生态质量等级现状统计表</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615"/>
        <w:gridCol w:w="2834"/>
        <w:gridCol w:w="2616"/>
        <w:gridCol w:w="2617"/>
      </w:tblGrid>
      <w:tr w14:paraId="516A7E9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0" w:hRule="atLeast"/>
        </w:trPr>
        <w:tc>
          <w:tcPr>
            <w:tcW w:w="2555" w:type="dxa"/>
            <w:noWrap/>
            <w:vAlign w:val="center"/>
          </w:tcPr>
          <w:p w14:paraId="18E0A220">
            <w:pPr>
              <w:pStyle w:val="94"/>
              <w:rPr>
                <w:color w:val="auto"/>
              </w:rPr>
            </w:pPr>
            <w:r>
              <w:rPr>
                <w:rFonts w:hint="eastAsia"/>
                <w:color w:val="auto"/>
              </w:rPr>
              <w:t>景观质量等级</w:t>
            </w:r>
          </w:p>
        </w:tc>
        <w:tc>
          <w:tcPr>
            <w:tcW w:w="2769" w:type="dxa"/>
            <w:noWrap/>
            <w:vAlign w:val="center"/>
          </w:tcPr>
          <w:p w14:paraId="7CB8610A">
            <w:pPr>
              <w:pStyle w:val="94"/>
              <w:rPr>
                <w:color w:val="auto"/>
              </w:rPr>
            </w:pPr>
            <w:r>
              <w:rPr>
                <w:rFonts w:hint="eastAsia"/>
                <w:color w:val="auto"/>
              </w:rPr>
              <w:t>生态系统类型</w:t>
            </w:r>
          </w:p>
        </w:tc>
        <w:tc>
          <w:tcPr>
            <w:tcW w:w="2556" w:type="dxa"/>
            <w:noWrap/>
            <w:vAlign w:val="center"/>
          </w:tcPr>
          <w:p w14:paraId="486FBE69">
            <w:pPr>
              <w:pStyle w:val="94"/>
              <w:rPr>
                <w:color w:val="auto"/>
              </w:rPr>
            </w:pPr>
            <w:r>
              <w:rPr>
                <w:rFonts w:hint="eastAsia"/>
                <w:color w:val="auto"/>
              </w:rPr>
              <w:t>面积(hm²)</w:t>
            </w:r>
          </w:p>
        </w:tc>
        <w:tc>
          <w:tcPr>
            <w:tcW w:w="2556" w:type="dxa"/>
            <w:noWrap/>
            <w:vAlign w:val="center"/>
          </w:tcPr>
          <w:p w14:paraId="01E88CB4">
            <w:pPr>
              <w:pStyle w:val="94"/>
              <w:rPr>
                <w:color w:val="auto"/>
              </w:rPr>
            </w:pPr>
            <w:r>
              <w:rPr>
                <w:rFonts w:hint="eastAsia"/>
                <w:color w:val="auto"/>
              </w:rPr>
              <w:t>等级比(%)</w:t>
            </w:r>
          </w:p>
        </w:tc>
      </w:tr>
      <w:tr w14:paraId="02747C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2555" w:type="dxa"/>
            <w:noWrap/>
            <w:vAlign w:val="center"/>
          </w:tcPr>
          <w:p w14:paraId="7D87B009">
            <w:pPr>
              <w:pStyle w:val="94"/>
              <w:rPr>
                <w:color w:val="auto"/>
              </w:rPr>
            </w:pPr>
            <w:r>
              <w:rPr>
                <w:rFonts w:hint="eastAsia"/>
                <w:color w:val="auto"/>
              </w:rPr>
              <w:t>I</w:t>
            </w:r>
          </w:p>
        </w:tc>
        <w:tc>
          <w:tcPr>
            <w:tcW w:w="2769" w:type="dxa"/>
            <w:noWrap/>
            <w:vAlign w:val="bottom"/>
          </w:tcPr>
          <w:p w14:paraId="59795529">
            <w:pPr>
              <w:pStyle w:val="94"/>
              <w:rPr>
                <w:color w:val="auto"/>
              </w:rPr>
            </w:pPr>
            <w:r>
              <w:rPr>
                <w:color w:val="auto"/>
              </w:rPr>
              <w:t>阔叶林</w:t>
            </w:r>
          </w:p>
        </w:tc>
        <w:tc>
          <w:tcPr>
            <w:tcW w:w="2556" w:type="dxa"/>
            <w:noWrap/>
            <w:vAlign w:val="bottom"/>
          </w:tcPr>
          <w:p w14:paraId="1EC4E488">
            <w:pPr>
              <w:pStyle w:val="94"/>
              <w:rPr>
                <w:color w:val="auto"/>
              </w:rPr>
            </w:pPr>
            <w:r>
              <w:rPr>
                <w:color w:val="auto"/>
              </w:rPr>
              <w:t xml:space="preserve">74.48 </w:t>
            </w:r>
          </w:p>
        </w:tc>
        <w:tc>
          <w:tcPr>
            <w:tcW w:w="2556" w:type="dxa"/>
            <w:noWrap/>
            <w:vAlign w:val="bottom"/>
          </w:tcPr>
          <w:p w14:paraId="027FF8B2">
            <w:pPr>
              <w:pStyle w:val="94"/>
              <w:rPr>
                <w:color w:val="auto"/>
              </w:rPr>
            </w:pPr>
            <w:r>
              <w:rPr>
                <w:color w:val="auto"/>
              </w:rPr>
              <w:t xml:space="preserve">14.17 </w:t>
            </w:r>
          </w:p>
        </w:tc>
      </w:tr>
      <w:tr w14:paraId="56AEFC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55" w:type="dxa"/>
            <w:noWrap/>
            <w:vAlign w:val="center"/>
          </w:tcPr>
          <w:p w14:paraId="49D88740">
            <w:pPr>
              <w:pStyle w:val="94"/>
              <w:rPr>
                <w:color w:val="auto"/>
              </w:rPr>
            </w:pPr>
            <w:r>
              <w:rPr>
                <w:rFonts w:hint="eastAsia"/>
                <w:color w:val="auto"/>
              </w:rPr>
              <w:t>Ⅱ</w:t>
            </w:r>
          </w:p>
        </w:tc>
        <w:tc>
          <w:tcPr>
            <w:tcW w:w="2769" w:type="dxa"/>
            <w:noWrap/>
            <w:vAlign w:val="bottom"/>
          </w:tcPr>
          <w:p w14:paraId="12C989CD">
            <w:pPr>
              <w:pStyle w:val="94"/>
              <w:rPr>
                <w:color w:val="auto"/>
              </w:rPr>
            </w:pPr>
            <w:r>
              <w:rPr>
                <w:color w:val="auto"/>
              </w:rPr>
              <w:t>阔叶灌丛</w:t>
            </w:r>
          </w:p>
        </w:tc>
        <w:tc>
          <w:tcPr>
            <w:tcW w:w="2556" w:type="dxa"/>
            <w:noWrap/>
            <w:vAlign w:val="bottom"/>
          </w:tcPr>
          <w:p w14:paraId="58B82A5B">
            <w:pPr>
              <w:pStyle w:val="94"/>
              <w:rPr>
                <w:color w:val="auto"/>
              </w:rPr>
            </w:pPr>
            <w:r>
              <w:rPr>
                <w:color w:val="auto"/>
              </w:rPr>
              <w:t xml:space="preserve">3.90 </w:t>
            </w:r>
          </w:p>
        </w:tc>
        <w:tc>
          <w:tcPr>
            <w:tcW w:w="2556" w:type="dxa"/>
            <w:noWrap/>
            <w:vAlign w:val="bottom"/>
          </w:tcPr>
          <w:p w14:paraId="2C3DB755">
            <w:pPr>
              <w:pStyle w:val="94"/>
              <w:rPr>
                <w:color w:val="auto"/>
              </w:rPr>
            </w:pPr>
            <w:r>
              <w:rPr>
                <w:color w:val="auto"/>
              </w:rPr>
              <w:t xml:space="preserve">0.74 </w:t>
            </w:r>
          </w:p>
        </w:tc>
      </w:tr>
      <w:tr w14:paraId="0F43BD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55" w:type="dxa"/>
            <w:vMerge w:val="restart"/>
            <w:noWrap/>
            <w:vAlign w:val="center"/>
          </w:tcPr>
          <w:p w14:paraId="12117682">
            <w:pPr>
              <w:pStyle w:val="94"/>
              <w:rPr>
                <w:color w:val="auto"/>
              </w:rPr>
            </w:pPr>
            <w:r>
              <w:rPr>
                <w:rFonts w:hint="eastAsia"/>
                <w:color w:val="auto"/>
              </w:rPr>
              <w:t>Ⅲ</w:t>
            </w:r>
          </w:p>
        </w:tc>
        <w:tc>
          <w:tcPr>
            <w:tcW w:w="2769" w:type="dxa"/>
            <w:noWrap/>
            <w:vAlign w:val="bottom"/>
          </w:tcPr>
          <w:p w14:paraId="42FC019D">
            <w:pPr>
              <w:pStyle w:val="94"/>
              <w:rPr>
                <w:color w:val="auto"/>
              </w:rPr>
            </w:pPr>
            <w:r>
              <w:rPr>
                <w:color w:val="auto"/>
              </w:rPr>
              <w:t>草丛</w:t>
            </w:r>
          </w:p>
        </w:tc>
        <w:tc>
          <w:tcPr>
            <w:tcW w:w="2556" w:type="dxa"/>
            <w:noWrap/>
            <w:vAlign w:val="bottom"/>
          </w:tcPr>
          <w:p w14:paraId="58D6BA34">
            <w:pPr>
              <w:pStyle w:val="94"/>
              <w:rPr>
                <w:color w:val="auto"/>
              </w:rPr>
            </w:pPr>
            <w:r>
              <w:rPr>
                <w:color w:val="auto"/>
              </w:rPr>
              <w:t xml:space="preserve">211.31 </w:t>
            </w:r>
          </w:p>
        </w:tc>
        <w:tc>
          <w:tcPr>
            <w:tcW w:w="2556" w:type="dxa"/>
            <w:noWrap/>
            <w:vAlign w:val="bottom"/>
          </w:tcPr>
          <w:p w14:paraId="40B23262">
            <w:pPr>
              <w:pStyle w:val="94"/>
              <w:rPr>
                <w:color w:val="auto"/>
              </w:rPr>
            </w:pPr>
            <w:r>
              <w:rPr>
                <w:color w:val="auto"/>
              </w:rPr>
              <w:t xml:space="preserve">40.21 </w:t>
            </w:r>
          </w:p>
        </w:tc>
      </w:tr>
      <w:tr w14:paraId="5A28A7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55" w:type="dxa"/>
            <w:vMerge w:val="continue"/>
            <w:noWrap/>
            <w:vAlign w:val="center"/>
          </w:tcPr>
          <w:p w14:paraId="34BA970A">
            <w:pPr>
              <w:pStyle w:val="94"/>
              <w:rPr>
                <w:color w:val="auto"/>
              </w:rPr>
            </w:pPr>
          </w:p>
        </w:tc>
        <w:tc>
          <w:tcPr>
            <w:tcW w:w="2769" w:type="dxa"/>
            <w:noWrap/>
            <w:vAlign w:val="bottom"/>
          </w:tcPr>
          <w:p w14:paraId="7541397D">
            <w:pPr>
              <w:pStyle w:val="94"/>
              <w:rPr>
                <w:color w:val="auto"/>
              </w:rPr>
            </w:pPr>
            <w:r>
              <w:rPr>
                <w:color w:val="auto"/>
              </w:rPr>
              <w:t>耕地</w:t>
            </w:r>
          </w:p>
        </w:tc>
        <w:tc>
          <w:tcPr>
            <w:tcW w:w="2556" w:type="dxa"/>
            <w:noWrap/>
            <w:vAlign w:val="bottom"/>
          </w:tcPr>
          <w:p w14:paraId="62476EF6">
            <w:pPr>
              <w:pStyle w:val="94"/>
              <w:rPr>
                <w:color w:val="auto"/>
              </w:rPr>
            </w:pPr>
            <w:r>
              <w:rPr>
                <w:color w:val="auto"/>
              </w:rPr>
              <w:t xml:space="preserve">131.11 </w:t>
            </w:r>
          </w:p>
        </w:tc>
        <w:tc>
          <w:tcPr>
            <w:tcW w:w="2556" w:type="dxa"/>
            <w:noWrap/>
            <w:vAlign w:val="bottom"/>
          </w:tcPr>
          <w:p w14:paraId="6978CBA0">
            <w:pPr>
              <w:pStyle w:val="94"/>
              <w:rPr>
                <w:color w:val="auto"/>
              </w:rPr>
            </w:pPr>
            <w:r>
              <w:rPr>
                <w:color w:val="auto"/>
              </w:rPr>
              <w:t xml:space="preserve">24.95 </w:t>
            </w:r>
          </w:p>
        </w:tc>
      </w:tr>
      <w:tr w14:paraId="70C8C1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55" w:type="dxa"/>
            <w:vMerge w:val="continue"/>
            <w:noWrap/>
            <w:vAlign w:val="center"/>
          </w:tcPr>
          <w:p w14:paraId="64AB9C18">
            <w:pPr>
              <w:pStyle w:val="94"/>
              <w:rPr>
                <w:color w:val="auto"/>
              </w:rPr>
            </w:pPr>
          </w:p>
        </w:tc>
        <w:tc>
          <w:tcPr>
            <w:tcW w:w="2769" w:type="dxa"/>
            <w:noWrap/>
            <w:vAlign w:val="bottom"/>
          </w:tcPr>
          <w:p w14:paraId="269037F6">
            <w:pPr>
              <w:pStyle w:val="94"/>
              <w:rPr>
                <w:color w:val="auto"/>
              </w:rPr>
            </w:pPr>
            <w:r>
              <w:rPr>
                <w:color w:val="auto"/>
              </w:rPr>
              <w:t>园地</w:t>
            </w:r>
          </w:p>
        </w:tc>
        <w:tc>
          <w:tcPr>
            <w:tcW w:w="2556" w:type="dxa"/>
            <w:noWrap/>
            <w:vAlign w:val="bottom"/>
          </w:tcPr>
          <w:p w14:paraId="05BF99C9">
            <w:pPr>
              <w:pStyle w:val="94"/>
              <w:rPr>
                <w:color w:val="auto"/>
              </w:rPr>
            </w:pPr>
            <w:r>
              <w:rPr>
                <w:color w:val="auto"/>
              </w:rPr>
              <w:t xml:space="preserve">48.52 </w:t>
            </w:r>
          </w:p>
        </w:tc>
        <w:tc>
          <w:tcPr>
            <w:tcW w:w="2556" w:type="dxa"/>
            <w:noWrap/>
            <w:vAlign w:val="bottom"/>
          </w:tcPr>
          <w:p w14:paraId="227B5717">
            <w:pPr>
              <w:pStyle w:val="94"/>
              <w:rPr>
                <w:color w:val="auto"/>
              </w:rPr>
            </w:pPr>
            <w:r>
              <w:rPr>
                <w:color w:val="auto"/>
              </w:rPr>
              <w:t xml:space="preserve">9.23 </w:t>
            </w:r>
          </w:p>
        </w:tc>
      </w:tr>
      <w:tr w14:paraId="02CA92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55" w:type="dxa"/>
            <w:vMerge w:val="restart"/>
            <w:noWrap/>
            <w:vAlign w:val="center"/>
          </w:tcPr>
          <w:p w14:paraId="60A5FC88">
            <w:pPr>
              <w:pStyle w:val="94"/>
              <w:rPr>
                <w:color w:val="auto"/>
              </w:rPr>
            </w:pPr>
            <w:r>
              <w:rPr>
                <w:rFonts w:hint="eastAsia"/>
                <w:color w:val="auto"/>
              </w:rPr>
              <w:t>Ⅳ</w:t>
            </w:r>
          </w:p>
        </w:tc>
        <w:tc>
          <w:tcPr>
            <w:tcW w:w="2769" w:type="dxa"/>
            <w:noWrap/>
            <w:vAlign w:val="bottom"/>
          </w:tcPr>
          <w:p w14:paraId="5AD5DCD3">
            <w:pPr>
              <w:pStyle w:val="94"/>
              <w:rPr>
                <w:color w:val="auto"/>
              </w:rPr>
            </w:pPr>
            <w:r>
              <w:rPr>
                <w:color w:val="auto"/>
              </w:rPr>
              <w:t>工矿交通</w:t>
            </w:r>
          </w:p>
        </w:tc>
        <w:tc>
          <w:tcPr>
            <w:tcW w:w="2556" w:type="dxa"/>
            <w:noWrap/>
            <w:vAlign w:val="bottom"/>
          </w:tcPr>
          <w:p w14:paraId="59856850">
            <w:pPr>
              <w:pStyle w:val="94"/>
              <w:rPr>
                <w:color w:val="auto"/>
              </w:rPr>
            </w:pPr>
            <w:r>
              <w:rPr>
                <w:color w:val="auto"/>
              </w:rPr>
              <w:t xml:space="preserve">3.57 </w:t>
            </w:r>
          </w:p>
        </w:tc>
        <w:tc>
          <w:tcPr>
            <w:tcW w:w="2556" w:type="dxa"/>
            <w:noWrap/>
            <w:vAlign w:val="bottom"/>
          </w:tcPr>
          <w:p w14:paraId="6DFFA0D9">
            <w:pPr>
              <w:pStyle w:val="94"/>
              <w:rPr>
                <w:color w:val="auto"/>
              </w:rPr>
            </w:pPr>
            <w:r>
              <w:rPr>
                <w:color w:val="auto"/>
              </w:rPr>
              <w:t xml:space="preserve">0.68 </w:t>
            </w:r>
          </w:p>
        </w:tc>
      </w:tr>
      <w:tr w14:paraId="7B74BD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55" w:type="dxa"/>
            <w:vMerge w:val="continue"/>
            <w:vAlign w:val="center"/>
          </w:tcPr>
          <w:p w14:paraId="30589C67">
            <w:pPr>
              <w:pStyle w:val="94"/>
              <w:rPr>
                <w:color w:val="auto"/>
              </w:rPr>
            </w:pPr>
          </w:p>
        </w:tc>
        <w:tc>
          <w:tcPr>
            <w:tcW w:w="2769" w:type="dxa"/>
            <w:noWrap/>
            <w:vAlign w:val="bottom"/>
          </w:tcPr>
          <w:p w14:paraId="5274F363">
            <w:pPr>
              <w:pStyle w:val="94"/>
              <w:rPr>
                <w:color w:val="auto"/>
              </w:rPr>
            </w:pPr>
            <w:r>
              <w:rPr>
                <w:color w:val="auto"/>
              </w:rPr>
              <w:t>居住地</w:t>
            </w:r>
          </w:p>
        </w:tc>
        <w:tc>
          <w:tcPr>
            <w:tcW w:w="2556" w:type="dxa"/>
            <w:noWrap/>
            <w:vAlign w:val="bottom"/>
          </w:tcPr>
          <w:p w14:paraId="6BA9F0E2">
            <w:pPr>
              <w:pStyle w:val="94"/>
              <w:rPr>
                <w:color w:val="auto"/>
              </w:rPr>
            </w:pPr>
            <w:r>
              <w:rPr>
                <w:color w:val="auto"/>
              </w:rPr>
              <w:t xml:space="preserve">4.56 </w:t>
            </w:r>
          </w:p>
        </w:tc>
        <w:tc>
          <w:tcPr>
            <w:tcW w:w="2556" w:type="dxa"/>
            <w:noWrap/>
            <w:vAlign w:val="bottom"/>
          </w:tcPr>
          <w:p w14:paraId="718AF8B9">
            <w:pPr>
              <w:pStyle w:val="94"/>
              <w:rPr>
                <w:color w:val="auto"/>
              </w:rPr>
            </w:pPr>
            <w:r>
              <w:rPr>
                <w:color w:val="auto"/>
              </w:rPr>
              <w:t xml:space="preserve">0.87 </w:t>
            </w:r>
          </w:p>
        </w:tc>
      </w:tr>
      <w:tr w14:paraId="2F880B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55" w:type="dxa"/>
            <w:vMerge w:val="continue"/>
            <w:vAlign w:val="center"/>
          </w:tcPr>
          <w:p w14:paraId="48901D8D">
            <w:pPr>
              <w:pStyle w:val="94"/>
              <w:rPr>
                <w:color w:val="auto"/>
              </w:rPr>
            </w:pPr>
          </w:p>
        </w:tc>
        <w:tc>
          <w:tcPr>
            <w:tcW w:w="2769" w:type="dxa"/>
            <w:noWrap/>
            <w:vAlign w:val="bottom"/>
          </w:tcPr>
          <w:p w14:paraId="5BCA8290">
            <w:pPr>
              <w:pStyle w:val="94"/>
              <w:rPr>
                <w:color w:val="auto"/>
              </w:rPr>
            </w:pPr>
            <w:r>
              <w:rPr>
                <w:color w:val="auto"/>
              </w:rPr>
              <w:t>河流</w:t>
            </w:r>
          </w:p>
        </w:tc>
        <w:tc>
          <w:tcPr>
            <w:tcW w:w="2556" w:type="dxa"/>
            <w:noWrap/>
            <w:vAlign w:val="bottom"/>
          </w:tcPr>
          <w:p w14:paraId="02FFAE13">
            <w:pPr>
              <w:pStyle w:val="94"/>
              <w:rPr>
                <w:color w:val="auto"/>
              </w:rPr>
            </w:pPr>
            <w:r>
              <w:rPr>
                <w:color w:val="auto"/>
              </w:rPr>
              <w:t xml:space="preserve">1.04 </w:t>
            </w:r>
          </w:p>
        </w:tc>
        <w:tc>
          <w:tcPr>
            <w:tcW w:w="2556" w:type="dxa"/>
            <w:noWrap/>
            <w:vAlign w:val="bottom"/>
          </w:tcPr>
          <w:p w14:paraId="25C5C7A0">
            <w:pPr>
              <w:pStyle w:val="94"/>
              <w:rPr>
                <w:color w:val="auto"/>
              </w:rPr>
            </w:pPr>
            <w:r>
              <w:rPr>
                <w:color w:val="auto"/>
              </w:rPr>
              <w:t xml:space="preserve">0.20 </w:t>
            </w:r>
          </w:p>
        </w:tc>
      </w:tr>
      <w:tr w14:paraId="6D05A4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555" w:type="dxa"/>
            <w:vMerge w:val="continue"/>
            <w:vAlign w:val="center"/>
          </w:tcPr>
          <w:p w14:paraId="113BD363">
            <w:pPr>
              <w:pStyle w:val="94"/>
              <w:rPr>
                <w:color w:val="auto"/>
              </w:rPr>
            </w:pPr>
          </w:p>
        </w:tc>
        <w:tc>
          <w:tcPr>
            <w:tcW w:w="2769" w:type="dxa"/>
            <w:noWrap/>
            <w:vAlign w:val="bottom"/>
          </w:tcPr>
          <w:p w14:paraId="3F2935FC">
            <w:pPr>
              <w:pStyle w:val="94"/>
              <w:rPr>
                <w:color w:val="auto"/>
              </w:rPr>
            </w:pPr>
            <w:r>
              <w:rPr>
                <w:color w:val="auto"/>
              </w:rPr>
              <w:t>裸地</w:t>
            </w:r>
          </w:p>
        </w:tc>
        <w:tc>
          <w:tcPr>
            <w:tcW w:w="2556" w:type="dxa"/>
            <w:noWrap/>
            <w:vAlign w:val="bottom"/>
          </w:tcPr>
          <w:p w14:paraId="2B08E727">
            <w:pPr>
              <w:pStyle w:val="94"/>
              <w:rPr>
                <w:color w:val="auto"/>
              </w:rPr>
            </w:pPr>
            <w:r>
              <w:rPr>
                <w:color w:val="auto"/>
              </w:rPr>
              <w:t xml:space="preserve">47.01 </w:t>
            </w:r>
          </w:p>
        </w:tc>
        <w:tc>
          <w:tcPr>
            <w:tcW w:w="2556" w:type="dxa"/>
            <w:noWrap/>
            <w:vAlign w:val="bottom"/>
          </w:tcPr>
          <w:p w14:paraId="0F989E82">
            <w:pPr>
              <w:pStyle w:val="94"/>
              <w:rPr>
                <w:color w:val="auto"/>
              </w:rPr>
            </w:pPr>
            <w:r>
              <w:rPr>
                <w:color w:val="auto"/>
              </w:rPr>
              <w:t xml:space="preserve">8.95 </w:t>
            </w:r>
          </w:p>
        </w:tc>
      </w:tr>
      <w:tr w14:paraId="30926B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324" w:type="dxa"/>
            <w:gridSpan w:val="2"/>
            <w:noWrap/>
            <w:vAlign w:val="center"/>
          </w:tcPr>
          <w:p w14:paraId="0C909343">
            <w:pPr>
              <w:pStyle w:val="94"/>
              <w:rPr>
                <w:color w:val="auto"/>
              </w:rPr>
            </w:pPr>
            <w:r>
              <w:rPr>
                <w:rFonts w:hint="eastAsia"/>
                <w:color w:val="auto"/>
              </w:rPr>
              <w:t>总计</w:t>
            </w:r>
          </w:p>
        </w:tc>
        <w:tc>
          <w:tcPr>
            <w:tcW w:w="2556" w:type="dxa"/>
            <w:noWrap/>
            <w:vAlign w:val="center"/>
          </w:tcPr>
          <w:p w14:paraId="216E20C6">
            <w:pPr>
              <w:pStyle w:val="94"/>
              <w:rPr>
                <w:color w:val="auto"/>
              </w:rPr>
            </w:pPr>
            <w:r>
              <w:rPr>
                <w:color w:val="auto"/>
              </w:rPr>
              <w:t>525.49</w:t>
            </w:r>
          </w:p>
        </w:tc>
        <w:tc>
          <w:tcPr>
            <w:tcW w:w="2556" w:type="dxa"/>
            <w:noWrap/>
            <w:vAlign w:val="center"/>
          </w:tcPr>
          <w:p w14:paraId="18EBFE95">
            <w:pPr>
              <w:pStyle w:val="94"/>
              <w:rPr>
                <w:color w:val="auto"/>
              </w:rPr>
            </w:pPr>
            <w:r>
              <w:rPr>
                <w:rFonts w:hint="eastAsia"/>
                <w:color w:val="auto"/>
              </w:rPr>
              <w:t>100.00</w:t>
            </w:r>
          </w:p>
        </w:tc>
      </w:tr>
    </w:tbl>
    <w:p w14:paraId="7C4150BB">
      <w:pPr>
        <w:pStyle w:val="96"/>
        <w:ind w:firstLine="480"/>
      </w:pPr>
      <w:r>
        <w:rPr>
          <w:rFonts w:hint="eastAsia"/>
        </w:rPr>
        <w:t>由上表</w:t>
      </w:r>
      <w:r>
        <w:t>可看出评价区的景观生态质量</w:t>
      </w:r>
      <w:r>
        <w:rPr>
          <w:rFonts w:hint="eastAsia"/>
        </w:rPr>
        <w:t>等级</w:t>
      </w:r>
      <w:r>
        <w:t>以</w:t>
      </w:r>
      <w:r>
        <w:rPr>
          <w:rFonts w:hint="eastAsia"/>
        </w:rPr>
        <w:t>Ⅲ</w:t>
      </w:r>
      <w:r>
        <w:t>级占优势，其比例</w:t>
      </w:r>
      <w:r>
        <w:rPr>
          <w:rFonts w:hint="eastAsia"/>
        </w:rPr>
        <w:t>为</w:t>
      </w:r>
      <w:r>
        <w:t>74.40%，其</w:t>
      </w:r>
      <w:r>
        <w:rPr>
          <w:rFonts w:hint="eastAsia"/>
        </w:rPr>
        <w:t>次是Ⅰ</w:t>
      </w:r>
      <w:r>
        <w:t>级，比例为14.91%。评价区生态系统质量等级为</w:t>
      </w:r>
      <w:r>
        <w:rPr>
          <w:rFonts w:hint="eastAsia"/>
        </w:rPr>
        <w:t>Ⅲ</w:t>
      </w:r>
      <w:r>
        <w:t>级及以上的面积比例达89.31%，评价区整体景观生态质量</w:t>
      </w:r>
      <w:r>
        <w:rPr>
          <w:rFonts w:hint="eastAsia"/>
        </w:rPr>
        <w:t>较好</w:t>
      </w:r>
      <w:r>
        <w:t>。</w:t>
      </w:r>
    </w:p>
    <w:p w14:paraId="70C30666">
      <w:pPr>
        <w:pStyle w:val="5"/>
      </w:pPr>
      <w:r>
        <w:rPr>
          <w:rFonts w:hint="eastAsia"/>
        </w:rPr>
        <w:t>生态系统服务功能</w:t>
      </w:r>
    </w:p>
    <w:p w14:paraId="04D969A0">
      <w:pPr>
        <w:pStyle w:val="96"/>
        <w:ind w:firstLine="480"/>
      </w:pPr>
      <w:r>
        <w:rPr>
          <w:rFonts w:hint="eastAsia"/>
        </w:rPr>
        <w:t>生产力和生物量两个指标能综合反映生态系统的生产和服务功能，其变化可在影响评价中结合生态系统类型与格局的变化对生态系统的完整性与稳定性进行评价。</w:t>
      </w:r>
    </w:p>
    <w:p w14:paraId="23B5C843">
      <w:pPr>
        <w:pStyle w:val="96"/>
        <w:ind w:firstLine="480"/>
        <w:rPr>
          <w:rFonts w:cs="Arial"/>
        </w:rPr>
      </w:pPr>
      <w:r>
        <w:rPr>
          <w:rFonts w:hint="eastAsia"/>
        </w:rPr>
        <w:t>1、生态系统生产力</w:t>
      </w:r>
    </w:p>
    <w:p w14:paraId="0FD08178">
      <w:pPr>
        <w:pStyle w:val="96"/>
        <w:ind w:firstLine="480"/>
        <w:rPr>
          <w:rFonts w:ascii="Times New Roman" w:hAnsi="Times New Roman" w:cs="Times New Roman"/>
        </w:rPr>
      </w:pPr>
      <w:r>
        <w:rPr>
          <w:rFonts w:cs="Times New Roman"/>
        </w:rPr>
        <w:t>通过类比和资料查阅（《非污染生态影响技术导则培训教材》，原环保总局自然生态司，</w:t>
      </w:r>
      <w:r>
        <w:rPr>
          <w:rFonts w:ascii="Times New Roman" w:hAnsi="Times New Roman" w:cs="Times New Roman"/>
        </w:rPr>
        <w:t xml:space="preserve">1999 </w:t>
      </w:r>
      <w:r>
        <w:rPr>
          <w:rFonts w:cs="Times New Roman"/>
        </w:rPr>
        <w:t>年）中的地球上生态系统的净生产力和植物生物量（见</w:t>
      </w:r>
      <w:r>
        <w:rPr>
          <w:rFonts w:hint="eastAsia" w:cs="Times New Roman"/>
        </w:rPr>
        <w:t>下表</w:t>
      </w:r>
      <w:r>
        <w:rPr>
          <w:rFonts w:cs="Times New Roman"/>
        </w:rPr>
        <w:t>），并结合评价区植被生长状况，可以得出评价区单位面积的平均第一性生产力，详见下表。</w:t>
      </w:r>
    </w:p>
    <w:p w14:paraId="4D0384E0">
      <w:pPr>
        <w:pStyle w:val="19"/>
        <w:keepNext/>
      </w:pPr>
      <w:r>
        <w:t xml:space="preserve">表 </w:t>
      </w:r>
      <w:r>
        <w:fldChar w:fldCharType="begin"/>
      </w:r>
      <w:r>
        <w:instrText xml:space="preserve"> SEQ 表 \* ARABIC </w:instrText>
      </w:r>
      <w:r>
        <w:fldChar w:fldCharType="separate"/>
      </w:r>
      <w:r>
        <w:t>47</w:t>
      </w:r>
      <w:r>
        <w:fldChar w:fldCharType="end"/>
      </w:r>
      <w:r>
        <w:rPr>
          <w:rFonts w:hint="eastAsia"/>
        </w:rPr>
        <w:t>评价区单位面积的平均第一性生产力一览表</w:t>
      </w:r>
    </w:p>
    <w:tbl>
      <w:tblPr>
        <w:tblStyle w:val="72"/>
        <w:tblW w:w="5000" w:type="pct"/>
        <w:tblInd w:w="0" w:type="dxa"/>
        <w:tblLayout w:type="autofit"/>
        <w:tblCellMar>
          <w:top w:w="0" w:type="dxa"/>
          <w:left w:w="108" w:type="dxa"/>
          <w:bottom w:w="0" w:type="dxa"/>
          <w:right w:w="108" w:type="dxa"/>
        </w:tblCellMar>
      </w:tblPr>
      <w:tblGrid>
        <w:gridCol w:w="3345"/>
        <w:gridCol w:w="3553"/>
        <w:gridCol w:w="3784"/>
      </w:tblGrid>
      <w:tr w14:paraId="2C8423F9">
        <w:tblPrEx>
          <w:tblCellMar>
            <w:top w:w="0" w:type="dxa"/>
            <w:left w:w="108" w:type="dxa"/>
            <w:bottom w:w="0" w:type="dxa"/>
            <w:right w:w="108" w:type="dxa"/>
          </w:tblCellMar>
        </w:tblPrEx>
        <w:trPr>
          <w:trHeight w:val="300" w:hRule="atLeast"/>
        </w:trPr>
        <w:tc>
          <w:tcPr>
            <w:tcW w:w="1566" w:type="pct"/>
            <w:tcBorders>
              <w:top w:val="single" w:color="000000" w:sz="12" w:space="0"/>
              <w:left w:val="single" w:color="000000" w:sz="12" w:space="0"/>
              <w:bottom w:val="single" w:color="000000" w:sz="8" w:space="0"/>
              <w:right w:val="single" w:color="000000" w:sz="8" w:space="0"/>
            </w:tcBorders>
            <w:shd w:val="clear" w:color="auto" w:fill="auto"/>
            <w:noWrap/>
            <w:vAlign w:val="bottom"/>
          </w:tcPr>
          <w:p w14:paraId="1B0D6CA1">
            <w:pPr>
              <w:pStyle w:val="94"/>
              <w:rPr>
                <w:rFonts w:cs="Arial"/>
                <w:color w:val="auto"/>
              </w:rPr>
            </w:pPr>
            <w:r>
              <w:rPr>
                <w:rFonts w:hint="eastAsia"/>
                <w:color w:val="auto"/>
              </w:rPr>
              <w:t>生态系统</w:t>
            </w:r>
            <w:r>
              <w:rPr>
                <w:color w:val="auto"/>
              </w:rPr>
              <w:t>类型</w:t>
            </w:r>
          </w:p>
        </w:tc>
        <w:tc>
          <w:tcPr>
            <w:tcW w:w="1663" w:type="pct"/>
            <w:tcBorders>
              <w:top w:val="single" w:color="000000" w:sz="12" w:space="0"/>
              <w:left w:val="nil"/>
              <w:bottom w:val="single" w:color="000000" w:sz="8" w:space="0"/>
              <w:right w:val="single" w:color="000000" w:sz="8" w:space="0"/>
            </w:tcBorders>
            <w:shd w:val="clear" w:color="auto" w:fill="auto"/>
            <w:noWrap/>
            <w:vAlign w:val="bottom"/>
          </w:tcPr>
          <w:p w14:paraId="6D0D1B80">
            <w:pPr>
              <w:pStyle w:val="94"/>
              <w:rPr>
                <w:rFonts w:cs="Arial"/>
                <w:color w:val="auto"/>
              </w:rPr>
            </w:pPr>
            <w:r>
              <w:rPr>
                <w:rFonts w:cs="Arial"/>
                <w:color w:val="auto"/>
              </w:rPr>
              <w:t>面积（</w:t>
            </w:r>
            <w:r>
              <w:rPr>
                <w:rFonts w:ascii="Times New Roman" w:hAnsi="Times New Roman" w:cs="Times New Roman"/>
                <w:color w:val="auto"/>
              </w:rPr>
              <w:t>hm</w:t>
            </w:r>
            <w:r>
              <w:rPr>
                <w:rFonts w:ascii="Times New Roman" w:hAnsi="Times New Roman" w:cs="Times New Roman"/>
                <w:color w:val="auto"/>
                <w:vertAlign w:val="superscript"/>
              </w:rPr>
              <w:t>2</w:t>
            </w:r>
            <w:r>
              <w:rPr>
                <w:rFonts w:cs="Arial"/>
                <w:color w:val="auto"/>
              </w:rPr>
              <w:t>）</w:t>
            </w:r>
          </w:p>
        </w:tc>
        <w:tc>
          <w:tcPr>
            <w:tcW w:w="1771" w:type="pct"/>
            <w:tcBorders>
              <w:top w:val="single" w:color="000000" w:sz="12" w:space="0"/>
              <w:left w:val="nil"/>
              <w:bottom w:val="single" w:color="000000" w:sz="8" w:space="0"/>
              <w:right w:val="single" w:color="000000" w:sz="12" w:space="0"/>
            </w:tcBorders>
            <w:shd w:val="clear" w:color="auto" w:fill="auto"/>
            <w:noWrap/>
            <w:vAlign w:val="bottom"/>
          </w:tcPr>
          <w:p w14:paraId="2AE4F47D">
            <w:pPr>
              <w:pStyle w:val="94"/>
              <w:rPr>
                <w:rFonts w:cs="Arial"/>
                <w:color w:val="auto"/>
              </w:rPr>
            </w:pPr>
            <w:r>
              <w:rPr>
                <w:rFonts w:cs="Arial"/>
                <w:color w:val="auto"/>
              </w:rPr>
              <w:t>平均净第一性生产力（</w:t>
            </w:r>
            <w:r>
              <w:rPr>
                <w:rFonts w:ascii="Times New Roman" w:hAnsi="Times New Roman" w:cs="Times New Roman"/>
                <w:color w:val="auto"/>
              </w:rPr>
              <w:t>t/hm</w:t>
            </w:r>
            <w:r>
              <w:rPr>
                <w:rFonts w:ascii="Times New Roman" w:hAnsi="Times New Roman" w:cs="Times New Roman"/>
                <w:color w:val="auto"/>
                <w:vertAlign w:val="superscript"/>
              </w:rPr>
              <w:t>2</w:t>
            </w:r>
            <w:r>
              <w:rPr>
                <w:rFonts w:ascii="Times New Roman" w:hAnsi="Times New Roman" w:cs="Times New Roman"/>
                <w:color w:val="auto"/>
              </w:rPr>
              <w:t>.a</w:t>
            </w:r>
            <w:r>
              <w:rPr>
                <w:rFonts w:cs="Arial"/>
                <w:color w:val="auto"/>
              </w:rPr>
              <w:t>）</w:t>
            </w:r>
          </w:p>
        </w:tc>
      </w:tr>
      <w:tr w14:paraId="18E0DF28">
        <w:tblPrEx>
          <w:tblCellMar>
            <w:top w:w="0" w:type="dxa"/>
            <w:left w:w="108" w:type="dxa"/>
            <w:bottom w:w="0" w:type="dxa"/>
            <w:right w:w="108" w:type="dxa"/>
          </w:tblCellMar>
        </w:tblPrEx>
        <w:trPr>
          <w:trHeight w:val="285" w:hRule="atLeast"/>
        </w:trPr>
        <w:tc>
          <w:tcPr>
            <w:tcW w:w="1566" w:type="pct"/>
            <w:tcBorders>
              <w:top w:val="nil"/>
              <w:left w:val="single" w:color="000000" w:sz="12" w:space="0"/>
              <w:bottom w:val="single" w:color="000000" w:sz="8" w:space="0"/>
              <w:right w:val="single" w:color="000000" w:sz="8" w:space="0"/>
            </w:tcBorders>
            <w:shd w:val="clear" w:color="auto" w:fill="auto"/>
            <w:noWrap/>
            <w:vAlign w:val="bottom"/>
          </w:tcPr>
          <w:p w14:paraId="6464C2A6">
            <w:pPr>
              <w:pStyle w:val="94"/>
              <w:rPr>
                <w:rFonts w:cs="Arial"/>
                <w:color w:val="auto"/>
              </w:rPr>
            </w:pPr>
            <w:r>
              <w:rPr>
                <w:rStyle w:val="98"/>
                <w:rFonts w:hint="default" w:cs="Arial"/>
                <w:color w:val="auto"/>
              </w:rPr>
              <w:t>农田生态系统</w:t>
            </w:r>
          </w:p>
        </w:tc>
        <w:tc>
          <w:tcPr>
            <w:tcW w:w="1663" w:type="pct"/>
            <w:tcBorders>
              <w:top w:val="nil"/>
              <w:left w:val="nil"/>
              <w:bottom w:val="single" w:color="000000" w:sz="8" w:space="0"/>
              <w:right w:val="single" w:color="000000" w:sz="8" w:space="0"/>
            </w:tcBorders>
            <w:shd w:val="clear" w:color="auto" w:fill="auto"/>
            <w:noWrap/>
          </w:tcPr>
          <w:p w14:paraId="088C472E">
            <w:pPr>
              <w:pStyle w:val="94"/>
              <w:rPr>
                <w:rFonts w:ascii="Times New Roman" w:hAnsi="Times New Roman" w:cs="Times New Roman"/>
                <w:color w:val="auto"/>
              </w:rPr>
            </w:pPr>
            <w:r>
              <w:rPr>
                <w:color w:val="auto"/>
              </w:rPr>
              <w:t xml:space="preserve">179.63 </w:t>
            </w:r>
          </w:p>
        </w:tc>
        <w:tc>
          <w:tcPr>
            <w:tcW w:w="1771" w:type="pct"/>
            <w:tcBorders>
              <w:top w:val="nil"/>
              <w:left w:val="nil"/>
              <w:bottom w:val="single" w:color="000000" w:sz="8" w:space="0"/>
              <w:right w:val="single" w:color="000000" w:sz="12" w:space="0"/>
            </w:tcBorders>
            <w:shd w:val="clear" w:color="auto" w:fill="auto"/>
            <w:noWrap/>
          </w:tcPr>
          <w:p w14:paraId="08936045">
            <w:pPr>
              <w:pStyle w:val="94"/>
              <w:rPr>
                <w:rFonts w:ascii="Times New Roman" w:hAnsi="Times New Roman" w:cs="Times New Roman"/>
                <w:color w:val="auto"/>
              </w:rPr>
            </w:pPr>
            <w:r>
              <w:rPr>
                <w:color w:val="auto"/>
              </w:rPr>
              <w:t>6.44</w:t>
            </w:r>
          </w:p>
        </w:tc>
      </w:tr>
      <w:tr w14:paraId="1DB1D718">
        <w:tblPrEx>
          <w:tblCellMar>
            <w:top w:w="0" w:type="dxa"/>
            <w:left w:w="108" w:type="dxa"/>
            <w:bottom w:w="0" w:type="dxa"/>
            <w:right w:w="108" w:type="dxa"/>
          </w:tblCellMar>
        </w:tblPrEx>
        <w:trPr>
          <w:trHeight w:val="285" w:hRule="atLeast"/>
        </w:trPr>
        <w:tc>
          <w:tcPr>
            <w:tcW w:w="1566" w:type="pct"/>
            <w:tcBorders>
              <w:top w:val="nil"/>
              <w:left w:val="single" w:color="000000" w:sz="12" w:space="0"/>
              <w:bottom w:val="single" w:color="000000" w:sz="8" w:space="0"/>
              <w:right w:val="single" w:color="000000" w:sz="8" w:space="0"/>
            </w:tcBorders>
            <w:shd w:val="clear" w:color="auto" w:fill="auto"/>
            <w:noWrap/>
            <w:vAlign w:val="bottom"/>
          </w:tcPr>
          <w:p w14:paraId="05DDBBD4">
            <w:pPr>
              <w:pStyle w:val="94"/>
              <w:rPr>
                <w:rFonts w:cs="Arial"/>
                <w:color w:val="auto"/>
              </w:rPr>
            </w:pPr>
            <w:r>
              <w:rPr>
                <w:rStyle w:val="98"/>
                <w:rFonts w:hint="default" w:cs="Arial"/>
                <w:color w:val="auto"/>
              </w:rPr>
              <w:t>森林生态系统</w:t>
            </w:r>
          </w:p>
        </w:tc>
        <w:tc>
          <w:tcPr>
            <w:tcW w:w="1663" w:type="pct"/>
            <w:tcBorders>
              <w:top w:val="nil"/>
              <w:left w:val="nil"/>
              <w:bottom w:val="single" w:color="000000" w:sz="8" w:space="0"/>
              <w:right w:val="single" w:color="000000" w:sz="8" w:space="0"/>
            </w:tcBorders>
            <w:shd w:val="clear" w:color="auto" w:fill="auto"/>
            <w:noWrap/>
          </w:tcPr>
          <w:p w14:paraId="267B73A2">
            <w:pPr>
              <w:pStyle w:val="94"/>
              <w:rPr>
                <w:rFonts w:ascii="Times New Roman" w:hAnsi="Times New Roman" w:cs="Times New Roman"/>
                <w:color w:val="auto"/>
              </w:rPr>
            </w:pPr>
            <w:r>
              <w:rPr>
                <w:color w:val="auto"/>
              </w:rPr>
              <w:t xml:space="preserve">74.48 </w:t>
            </w:r>
          </w:p>
        </w:tc>
        <w:tc>
          <w:tcPr>
            <w:tcW w:w="1771" w:type="pct"/>
            <w:tcBorders>
              <w:top w:val="nil"/>
              <w:left w:val="nil"/>
              <w:bottom w:val="single" w:color="000000" w:sz="8" w:space="0"/>
              <w:right w:val="single" w:color="000000" w:sz="12" w:space="0"/>
            </w:tcBorders>
            <w:shd w:val="clear" w:color="auto" w:fill="auto"/>
            <w:noWrap/>
          </w:tcPr>
          <w:p w14:paraId="690FC97E">
            <w:pPr>
              <w:pStyle w:val="94"/>
              <w:rPr>
                <w:rFonts w:ascii="Times New Roman" w:hAnsi="Times New Roman" w:cs="Times New Roman"/>
                <w:color w:val="auto"/>
              </w:rPr>
            </w:pPr>
            <w:r>
              <w:rPr>
                <w:color w:val="auto"/>
              </w:rPr>
              <w:t>12</w:t>
            </w:r>
          </w:p>
        </w:tc>
      </w:tr>
      <w:tr w14:paraId="418E1C93">
        <w:tblPrEx>
          <w:tblCellMar>
            <w:top w:w="0" w:type="dxa"/>
            <w:left w:w="108" w:type="dxa"/>
            <w:bottom w:w="0" w:type="dxa"/>
            <w:right w:w="108" w:type="dxa"/>
          </w:tblCellMar>
        </w:tblPrEx>
        <w:trPr>
          <w:trHeight w:val="285" w:hRule="atLeast"/>
        </w:trPr>
        <w:tc>
          <w:tcPr>
            <w:tcW w:w="1566" w:type="pct"/>
            <w:tcBorders>
              <w:top w:val="nil"/>
              <w:left w:val="single" w:color="000000" w:sz="12" w:space="0"/>
              <w:bottom w:val="single" w:color="000000" w:sz="8" w:space="0"/>
              <w:right w:val="single" w:color="000000" w:sz="8" w:space="0"/>
            </w:tcBorders>
            <w:shd w:val="clear" w:color="auto" w:fill="auto"/>
            <w:noWrap/>
            <w:vAlign w:val="bottom"/>
          </w:tcPr>
          <w:p w14:paraId="4A9571E9">
            <w:pPr>
              <w:pStyle w:val="94"/>
              <w:rPr>
                <w:rFonts w:cs="Arial"/>
                <w:color w:val="auto"/>
              </w:rPr>
            </w:pPr>
            <w:r>
              <w:rPr>
                <w:rStyle w:val="98"/>
                <w:rFonts w:hint="default" w:cs="Arial"/>
                <w:color w:val="auto"/>
              </w:rPr>
              <w:t>灌丛生态系统</w:t>
            </w:r>
          </w:p>
        </w:tc>
        <w:tc>
          <w:tcPr>
            <w:tcW w:w="1663" w:type="pct"/>
            <w:tcBorders>
              <w:top w:val="nil"/>
              <w:left w:val="nil"/>
              <w:bottom w:val="single" w:color="000000" w:sz="8" w:space="0"/>
              <w:right w:val="single" w:color="000000" w:sz="8" w:space="0"/>
            </w:tcBorders>
            <w:shd w:val="clear" w:color="auto" w:fill="auto"/>
            <w:noWrap/>
          </w:tcPr>
          <w:p w14:paraId="623FC857">
            <w:pPr>
              <w:pStyle w:val="94"/>
              <w:rPr>
                <w:rFonts w:ascii="Times New Roman" w:hAnsi="Times New Roman" w:cs="Times New Roman"/>
                <w:color w:val="auto"/>
              </w:rPr>
            </w:pPr>
            <w:r>
              <w:rPr>
                <w:color w:val="auto"/>
              </w:rPr>
              <w:t xml:space="preserve">3.90 </w:t>
            </w:r>
          </w:p>
        </w:tc>
        <w:tc>
          <w:tcPr>
            <w:tcW w:w="1771" w:type="pct"/>
            <w:tcBorders>
              <w:top w:val="nil"/>
              <w:left w:val="nil"/>
              <w:bottom w:val="single" w:color="000000" w:sz="8" w:space="0"/>
              <w:right w:val="single" w:color="000000" w:sz="12" w:space="0"/>
            </w:tcBorders>
            <w:shd w:val="clear" w:color="auto" w:fill="auto"/>
            <w:noWrap/>
          </w:tcPr>
          <w:p w14:paraId="43F5A37F">
            <w:pPr>
              <w:pStyle w:val="94"/>
              <w:rPr>
                <w:rFonts w:ascii="Times New Roman" w:hAnsi="Times New Roman" w:cs="Times New Roman"/>
                <w:color w:val="auto"/>
              </w:rPr>
            </w:pPr>
            <w:r>
              <w:rPr>
                <w:color w:val="auto"/>
              </w:rPr>
              <w:t>6</w:t>
            </w:r>
          </w:p>
        </w:tc>
      </w:tr>
      <w:tr w14:paraId="1BCBAA84">
        <w:tblPrEx>
          <w:tblCellMar>
            <w:top w:w="0" w:type="dxa"/>
            <w:left w:w="108" w:type="dxa"/>
            <w:bottom w:w="0" w:type="dxa"/>
            <w:right w:w="108" w:type="dxa"/>
          </w:tblCellMar>
        </w:tblPrEx>
        <w:trPr>
          <w:trHeight w:val="285" w:hRule="atLeast"/>
        </w:trPr>
        <w:tc>
          <w:tcPr>
            <w:tcW w:w="1566" w:type="pct"/>
            <w:tcBorders>
              <w:top w:val="nil"/>
              <w:left w:val="single" w:color="000000" w:sz="12" w:space="0"/>
              <w:bottom w:val="single" w:color="000000" w:sz="8" w:space="0"/>
              <w:right w:val="single" w:color="000000" w:sz="8" w:space="0"/>
            </w:tcBorders>
            <w:shd w:val="clear" w:color="auto" w:fill="auto"/>
            <w:noWrap/>
            <w:vAlign w:val="bottom"/>
          </w:tcPr>
          <w:p w14:paraId="03EAFA4A">
            <w:pPr>
              <w:pStyle w:val="94"/>
              <w:rPr>
                <w:rFonts w:cs="Arial"/>
                <w:color w:val="auto"/>
              </w:rPr>
            </w:pPr>
            <w:r>
              <w:rPr>
                <w:rStyle w:val="98"/>
                <w:rFonts w:hint="default" w:cs="Arial"/>
                <w:color w:val="auto"/>
              </w:rPr>
              <w:t>草地生态系统</w:t>
            </w:r>
          </w:p>
        </w:tc>
        <w:tc>
          <w:tcPr>
            <w:tcW w:w="1663" w:type="pct"/>
            <w:tcBorders>
              <w:top w:val="nil"/>
              <w:left w:val="nil"/>
              <w:bottom w:val="single" w:color="000000" w:sz="8" w:space="0"/>
              <w:right w:val="single" w:color="000000" w:sz="8" w:space="0"/>
            </w:tcBorders>
            <w:shd w:val="clear" w:color="auto" w:fill="auto"/>
            <w:noWrap/>
          </w:tcPr>
          <w:p w14:paraId="689095EA">
            <w:pPr>
              <w:pStyle w:val="94"/>
              <w:rPr>
                <w:rFonts w:ascii="Times New Roman" w:hAnsi="Times New Roman" w:cs="Times New Roman"/>
                <w:color w:val="auto"/>
              </w:rPr>
            </w:pPr>
            <w:r>
              <w:rPr>
                <w:color w:val="auto"/>
              </w:rPr>
              <w:t xml:space="preserve">211.31 </w:t>
            </w:r>
          </w:p>
        </w:tc>
        <w:tc>
          <w:tcPr>
            <w:tcW w:w="1771" w:type="pct"/>
            <w:tcBorders>
              <w:top w:val="nil"/>
              <w:left w:val="nil"/>
              <w:bottom w:val="single" w:color="000000" w:sz="8" w:space="0"/>
              <w:right w:val="single" w:color="000000" w:sz="12" w:space="0"/>
            </w:tcBorders>
            <w:shd w:val="clear" w:color="auto" w:fill="auto"/>
            <w:noWrap/>
          </w:tcPr>
          <w:p w14:paraId="0DD41238">
            <w:pPr>
              <w:pStyle w:val="94"/>
              <w:rPr>
                <w:rFonts w:ascii="Times New Roman" w:hAnsi="Times New Roman" w:cs="Times New Roman"/>
                <w:color w:val="auto"/>
              </w:rPr>
            </w:pPr>
            <w:r>
              <w:rPr>
                <w:color w:val="auto"/>
              </w:rPr>
              <w:t>5</w:t>
            </w:r>
          </w:p>
        </w:tc>
      </w:tr>
      <w:tr w14:paraId="13D35FD2">
        <w:tblPrEx>
          <w:tblCellMar>
            <w:top w:w="0" w:type="dxa"/>
            <w:left w:w="108" w:type="dxa"/>
            <w:bottom w:w="0" w:type="dxa"/>
            <w:right w:w="108" w:type="dxa"/>
          </w:tblCellMar>
        </w:tblPrEx>
        <w:trPr>
          <w:trHeight w:val="285" w:hRule="atLeast"/>
        </w:trPr>
        <w:tc>
          <w:tcPr>
            <w:tcW w:w="1566" w:type="pct"/>
            <w:tcBorders>
              <w:top w:val="nil"/>
              <w:left w:val="single" w:color="000000" w:sz="12" w:space="0"/>
              <w:bottom w:val="single" w:color="000000" w:sz="8" w:space="0"/>
              <w:right w:val="single" w:color="000000" w:sz="8" w:space="0"/>
            </w:tcBorders>
            <w:shd w:val="clear" w:color="auto" w:fill="auto"/>
            <w:noWrap/>
            <w:vAlign w:val="bottom"/>
          </w:tcPr>
          <w:p w14:paraId="6F5937F5">
            <w:pPr>
              <w:pStyle w:val="94"/>
              <w:rPr>
                <w:rFonts w:cs="Arial"/>
                <w:color w:val="auto"/>
              </w:rPr>
            </w:pPr>
            <w:r>
              <w:rPr>
                <w:rStyle w:val="98"/>
                <w:rFonts w:hint="default" w:cs="Arial"/>
                <w:color w:val="auto"/>
              </w:rPr>
              <w:t>湿地生态系统</w:t>
            </w:r>
          </w:p>
        </w:tc>
        <w:tc>
          <w:tcPr>
            <w:tcW w:w="1663" w:type="pct"/>
            <w:tcBorders>
              <w:top w:val="nil"/>
              <w:left w:val="nil"/>
              <w:bottom w:val="single" w:color="000000" w:sz="8" w:space="0"/>
              <w:right w:val="single" w:color="000000" w:sz="8" w:space="0"/>
            </w:tcBorders>
            <w:shd w:val="clear" w:color="auto" w:fill="auto"/>
            <w:noWrap/>
          </w:tcPr>
          <w:p w14:paraId="4CC4A013">
            <w:pPr>
              <w:pStyle w:val="94"/>
              <w:rPr>
                <w:rFonts w:ascii="Times New Roman" w:hAnsi="Times New Roman" w:cs="Times New Roman"/>
                <w:color w:val="auto"/>
              </w:rPr>
            </w:pPr>
            <w:r>
              <w:rPr>
                <w:color w:val="auto"/>
              </w:rPr>
              <w:t xml:space="preserve">1.04 </w:t>
            </w:r>
          </w:p>
        </w:tc>
        <w:tc>
          <w:tcPr>
            <w:tcW w:w="1771" w:type="pct"/>
            <w:tcBorders>
              <w:top w:val="nil"/>
              <w:left w:val="nil"/>
              <w:bottom w:val="single" w:color="000000" w:sz="8" w:space="0"/>
              <w:right w:val="single" w:color="000000" w:sz="12" w:space="0"/>
            </w:tcBorders>
            <w:shd w:val="clear" w:color="auto" w:fill="auto"/>
            <w:noWrap/>
          </w:tcPr>
          <w:p w14:paraId="2E3DCC4D">
            <w:pPr>
              <w:pStyle w:val="94"/>
              <w:rPr>
                <w:rFonts w:ascii="Times New Roman" w:hAnsi="Times New Roman" w:cs="Times New Roman"/>
                <w:color w:val="auto"/>
              </w:rPr>
            </w:pPr>
            <w:r>
              <w:rPr>
                <w:color w:val="auto"/>
              </w:rPr>
              <w:t>4.5</w:t>
            </w:r>
          </w:p>
        </w:tc>
      </w:tr>
      <w:tr w14:paraId="3C251CF3">
        <w:tblPrEx>
          <w:tblCellMar>
            <w:top w:w="0" w:type="dxa"/>
            <w:left w:w="108" w:type="dxa"/>
            <w:bottom w:w="0" w:type="dxa"/>
            <w:right w:w="108" w:type="dxa"/>
          </w:tblCellMar>
        </w:tblPrEx>
        <w:trPr>
          <w:trHeight w:val="285" w:hRule="atLeast"/>
        </w:trPr>
        <w:tc>
          <w:tcPr>
            <w:tcW w:w="1566" w:type="pct"/>
            <w:tcBorders>
              <w:top w:val="nil"/>
              <w:left w:val="single" w:color="000000" w:sz="12" w:space="0"/>
              <w:bottom w:val="single" w:color="000000" w:sz="8" w:space="0"/>
              <w:right w:val="single" w:color="000000" w:sz="8" w:space="0"/>
            </w:tcBorders>
            <w:shd w:val="clear" w:color="auto" w:fill="auto"/>
            <w:noWrap/>
            <w:vAlign w:val="bottom"/>
          </w:tcPr>
          <w:p w14:paraId="2F0FB775">
            <w:pPr>
              <w:pStyle w:val="94"/>
              <w:rPr>
                <w:rFonts w:cs="Arial"/>
                <w:color w:val="auto"/>
              </w:rPr>
            </w:pPr>
            <w:r>
              <w:rPr>
                <w:rStyle w:val="98"/>
                <w:rFonts w:hint="default" w:cs="Arial"/>
                <w:color w:val="auto"/>
              </w:rPr>
              <w:t>城镇生态系统</w:t>
            </w:r>
          </w:p>
        </w:tc>
        <w:tc>
          <w:tcPr>
            <w:tcW w:w="1663" w:type="pct"/>
            <w:tcBorders>
              <w:top w:val="nil"/>
              <w:left w:val="nil"/>
              <w:bottom w:val="single" w:color="000000" w:sz="8" w:space="0"/>
              <w:right w:val="single" w:color="000000" w:sz="8" w:space="0"/>
            </w:tcBorders>
            <w:shd w:val="clear" w:color="auto" w:fill="auto"/>
            <w:noWrap/>
          </w:tcPr>
          <w:p w14:paraId="08FDD7E0">
            <w:pPr>
              <w:pStyle w:val="94"/>
              <w:rPr>
                <w:rFonts w:ascii="Times New Roman" w:hAnsi="Times New Roman" w:cs="Times New Roman"/>
                <w:color w:val="auto"/>
              </w:rPr>
            </w:pPr>
            <w:r>
              <w:rPr>
                <w:color w:val="auto"/>
              </w:rPr>
              <w:t xml:space="preserve">8.13 </w:t>
            </w:r>
          </w:p>
        </w:tc>
        <w:tc>
          <w:tcPr>
            <w:tcW w:w="1771" w:type="pct"/>
            <w:tcBorders>
              <w:top w:val="nil"/>
              <w:left w:val="nil"/>
              <w:bottom w:val="single" w:color="000000" w:sz="8" w:space="0"/>
              <w:right w:val="single" w:color="000000" w:sz="12" w:space="0"/>
            </w:tcBorders>
            <w:shd w:val="clear" w:color="auto" w:fill="auto"/>
            <w:noWrap/>
          </w:tcPr>
          <w:p w14:paraId="0D4F7416">
            <w:pPr>
              <w:pStyle w:val="94"/>
              <w:rPr>
                <w:rFonts w:ascii="Times New Roman" w:hAnsi="Times New Roman" w:cs="Times New Roman"/>
                <w:color w:val="auto"/>
              </w:rPr>
            </w:pPr>
            <w:r>
              <w:rPr>
                <w:color w:val="auto"/>
              </w:rPr>
              <w:t>2</w:t>
            </w:r>
          </w:p>
        </w:tc>
      </w:tr>
      <w:tr w14:paraId="56481A4E">
        <w:tblPrEx>
          <w:tblCellMar>
            <w:top w:w="0" w:type="dxa"/>
            <w:left w:w="108" w:type="dxa"/>
            <w:bottom w:w="0" w:type="dxa"/>
            <w:right w:w="108" w:type="dxa"/>
          </w:tblCellMar>
        </w:tblPrEx>
        <w:trPr>
          <w:trHeight w:val="285" w:hRule="atLeast"/>
        </w:trPr>
        <w:tc>
          <w:tcPr>
            <w:tcW w:w="1566" w:type="pct"/>
            <w:tcBorders>
              <w:top w:val="nil"/>
              <w:left w:val="single" w:color="000000" w:sz="12" w:space="0"/>
              <w:bottom w:val="single" w:color="000000" w:sz="8" w:space="0"/>
              <w:right w:val="single" w:color="000000" w:sz="8" w:space="0"/>
            </w:tcBorders>
            <w:shd w:val="clear" w:color="auto" w:fill="auto"/>
            <w:noWrap/>
            <w:vAlign w:val="bottom"/>
          </w:tcPr>
          <w:p w14:paraId="76D46F84">
            <w:pPr>
              <w:pStyle w:val="94"/>
              <w:rPr>
                <w:rStyle w:val="98"/>
                <w:rFonts w:hint="default" w:cs="Arial"/>
                <w:color w:val="auto"/>
              </w:rPr>
            </w:pPr>
            <w:r>
              <w:rPr>
                <w:rFonts w:hint="eastAsia"/>
                <w:color w:val="auto"/>
              </w:rPr>
              <w:t>其他</w:t>
            </w:r>
          </w:p>
        </w:tc>
        <w:tc>
          <w:tcPr>
            <w:tcW w:w="1663" w:type="pct"/>
            <w:tcBorders>
              <w:top w:val="nil"/>
              <w:left w:val="nil"/>
              <w:bottom w:val="single" w:color="000000" w:sz="8" w:space="0"/>
              <w:right w:val="single" w:color="000000" w:sz="8" w:space="0"/>
            </w:tcBorders>
            <w:shd w:val="clear" w:color="auto" w:fill="auto"/>
            <w:noWrap/>
          </w:tcPr>
          <w:p w14:paraId="4EC7019B">
            <w:pPr>
              <w:pStyle w:val="94"/>
              <w:rPr>
                <w:rFonts w:ascii="Times New Roman" w:hAnsi="Times New Roman" w:cs="Times New Roman"/>
                <w:color w:val="auto"/>
              </w:rPr>
            </w:pPr>
            <w:r>
              <w:rPr>
                <w:color w:val="auto"/>
              </w:rPr>
              <w:t xml:space="preserve">47.01 </w:t>
            </w:r>
          </w:p>
        </w:tc>
        <w:tc>
          <w:tcPr>
            <w:tcW w:w="1771" w:type="pct"/>
            <w:tcBorders>
              <w:top w:val="nil"/>
              <w:left w:val="nil"/>
              <w:bottom w:val="single" w:color="000000" w:sz="8" w:space="0"/>
              <w:right w:val="single" w:color="000000" w:sz="12" w:space="0"/>
            </w:tcBorders>
            <w:shd w:val="clear" w:color="auto" w:fill="auto"/>
            <w:noWrap/>
          </w:tcPr>
          <w:p w14:paraId="43956B74">
            <w:pPr>
              <w:pStyle w:val="94"/>
              <w:rPr>
                <w:rFonts w:ascii="Times New Roman" w:hAnsi="Times New Roman" w:cs="Times New Roman"/>
                <w:color w:val="auto"/>
              </w:rPr>
            </w:pPr>
            <w:r>
              <w:rPr>
                <w:color w:val="auto"/>
              </w:rPr>
              <w:t>0.033</w:t>
            </w:r>
          </w:p>
        </w:tc>
      </w:tr>
      <w:tr w14:paraId="3D45C05F">
        <w:tblPrEx>
          <w:tblCellMar>
            <w:top w:w="0" w:type="dxa"/>
            <w:left w:w="108" w:type="dxa"/>
            <w:bottom w:w="0" w:type="dxa"/>
            <w:right w:w="108" w:type="dxa"/>
          </w:tblCellMar>
        </w:tblPrEx>
        <w:trPr>
          <w:trHeight w:val="285" w:hRule="atLeast"/>
        </w:trPr>
        <w:tc>
          <w:tcPr>
            <w:tcW w:w="1566" w:type="pct"/>
            <w:tcBorders>
              <w:top w:val="nil"/>
              <w:left w:val="single" w:color="000000" w:sz="12" w:space="0"/>
              <w:bottom w:val="single" w:color="000000" w:sz="8" w:space="0"/>
              <w:right w:val="single" w:color="000000" w:sz="8" w:space="0"/>
            </w:tcBorders>
            <w:shd w:val="clear" w:color="auto" w:fill="auto"/>
            <w:noWrap/>
            <w:vAlign w:val="bottom"/>
          </w:tcPr>
          <w:p w14:paraId="27260205">
            <w:pPr>
              <w:pStyle w:val="94"/>
              <w:rPr>
                <w:rFonts w:cs="Arial"/>
                <w:color w:val="auto"/>
              </w:rPr>
            </w:pPr>
            <w:r>
              <w:rPr>
                <w:rStyle w:val="98"/>
                <w:rFonts w:hint="default" w:cs="Arial"/>
                <w:color w:val="auto"/>
              </w:rPr>
              <w:t>平均</w:t>
            </w:r>
          </w:p>
        </w:tc>
        <w:tc>
          <w:tcPr>
            <w:tcW w:w="1663" w:type="pct"/>
            <w:tcBorders>
              <w:top w:val="nil"/>
              <w:left w:val="nil"/>
              <w:bottom w:val="single" w:color="000000" w:sz="8" w:space="0"/>
              <w:right w:val="single" w:color="000000" w:sz="8" w:space="0"/>
            </w:tcBorders>
            <w:shd w:val="clear" w:color="auto" w:fill="auto"/>
            <w:noWrap/>
          </w:tcPr>
          <w:p w14:paraId="782851EE">
            <w:pPr>
              <w:pStyle w:val="94"/>
              <w:rPr>
                <w:rFonts w:ascii="Times New Roman" w:hAnsi="Times New Roman" w:cs="Times New Roman"/>
                <w:color w:val="auto"/>
              </w:rPr>
            </w:pPr>
          </w:p>
        </w:tc>
        <w:tc>
          <w:tcPr>
            <w:tcW w:w="1771" w:type="pct"/>
            <w:tcBorders>
              <w:top w:val="nil"/>
              <w:left w:val="nil"/>
              <w:bottom w:val="single" w:color="000000" w:sz="8" w:space="0"/>
              <w:right w:val="single" w:color="000000" w:sz="12" w:space="0"/>
            </w:tcBorders>
            <w:shd w:val="clear" w:color="auto" w:fill="auto"/>
            <w:noWrap/>
          </w:tcPr>
          <w:p w14:paraId="3DDC08AE">
            <w:pPr>
              <w:pStyle w:val="94"/>
              <w:rPr>
                <w:rFonts w:ascii="Times New Roman" w:hAnsi="Times New Roman" w:cs="Times New Roman"/>
                <w:color w:val="auto"/>
              </w:rPr>
            </w:pPr>
            <w:r>
              <w:rPr>
                <w:color w:val="auto"/>
              </w:rPr>
              <w:t xml:space="preserve">6.00 </w:t>
            </w:r>
          </w:p>
        </w:tc>
      </w:tr>
    </w:tbl>
    <w:p w14:paraId="37F1C917">
      <w:pPr>
        <w:pStyle w:val="96"/>
        <w:ind w:firstLine="480"/>
        <w:rPr>
          <w:rFonts w:cs="Arial"/>
        </w:rPr>
      </w:pPr>
      <w:r>
        <w:rPr>
          <w:rFonts w:hint="eastAsia"/>
        </w:rPr>
        <w:t>由上表可知，评价区平均净第一性生产力为</w:t>
      </w:r>
      <w:r>
        <w:t>6.00</w:t>
      </w:r>
      <w:r>
        <w:rPr>
          <w:rFonts w:hint="eastAsia"/>
        </w:rPr>
        <w:t>t/hm</w:t>
      </w:r>
      <w:r>
        <w:rPr>
          <w:rFonts w:hint="eastAsia"/>
          <w:vertAlign w:val="superscript"/>
        </w:rPr>
        <w:t>2</w:t>
      </w:r>
      <w:r>
        <w:rPr>
          <w:rFonts w:hint="eastAsia"/>
        </w:rPr>
        <w:t>·a。奥德姆（Odum，1959）将地球上生态系统按生产力由高到低，划分为4 个等级，由此可知，评价区的平均生产力水平处于较低等级第一亚等级。</w:t>
      </w:r>
    </w:p>
    <w:p w14:paraId="51BC4342">
      <w:pPr>
        <w:pStyle w:val="96"/>
        <w:ind w:firstLine="480"/>
      </w:pPr>
      <w:r>
        <w:rPr>
          <w:rFonts w:hint="eastAsia"/>
        </w:rPr>
        <w:t>2、生态系统生物量</w:t>
      </w:r>
    </w:p>
    <w:p w14:paraId="3E6D14E4">
      <w:pPr>
        <w:pStyle w:val="96"/>
        <w:ind w:firstLine="480"/>
      </w:pPr>
      <w:r>
        <w:rPr>
          <w:rFonts w:hint="eastAsia"/>
        </w:rPr>
        <w:t>参考“地球上生态系统的净生产力和植物生物量”及现场实测，可计算出评价区生物量，详见下表。</w:t>
      </w:r>
    </w:p>
    <w:p w14:paraId="79C74777">
      <w:pPr>
        <w:pStyle w:val="19"/>
        <w:keepNext/>
      </w:pPr>
      <w:r>
        <w:t xml:space="preserve">表 </w:t>
      </w:r>
      <w:r>
        <w:fldChar w:fldCharType="begin"/>
      </w:r>
      <w:r>
        <w:instrText xml:space="preserve"> SEQ 表 \* ARABIC </w:instrText>
      </w:r>
      <w:r>
        <w:fldChar w:fldCharType="separate"/>
      </w:r>
      <w:r>
        <w:t>48</w:t>
      </w:r>
      <w:r>
        <w:fldChar w:fldCharType="end"/>
      </w:r>
      <w:r>
        <w:rPr>
          <w:rFonts w:hint="eastAsia"/>
        </w:rPr>
        <w:t>评价区单位面积的平均生物量一览表</w:t>
      </w:r>
    </w:p>
    <w:tbl>
      <w:tblPr>
        <w:tblStyle w:val="114"/>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550"/>
        <w:gridCol w:w="2884"/>
        <w:gridCol w:w="2124"/>
        <w:gridCol w:w="2124"/>
      </w:tblGrid>
      <w:tr w14:paraId="31ECAB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662" w:type="pct"/>
            <w:noWrap/>
            <w:vAlign w:val="center"/>
          </w:tcPr>
          <w:p w14:paraId="6D0D9BDC">
            <w:pPr>
              <w:pStyle w:val="94"/>
              <w:rPr>
                <w:color w:val="auto"/>
              </w:rPr>
            </w:pPr>
            <w:r>
              <w:rPr>
                <w:rFonts w:hint="eastAsia"/>
                <w:color w:val="auto"/>
              </w:rPr>
              <w:t>生态系统</w:t>
            </w:r>
            <w:r>
              <w:rPr>
                <w:color w:val="auto"/>
              </w:rPr>
              <w:t>类型</w:t>
            </w:r>
          </w:p>
        </w:tc>
        <w:tc>
          <w:tcPr>
            <w:tcW w:w="1350" w:type="pct"/>
            <w:noWrap/>
            <w:vAlign w:val="center"/>
          </w:tcPr>
          <w:p w14:paraId="3E213C09">
            <w:pPr>
              <w:pStyle w:val="94"/>
              <w:rPr>
                <w:color w:val="auto"/>
              </w:rPr>
            </w:pPr>
            <w:r>
              <w:rPr>
                <w:color w:val="auto"/>
              </w:rPr>
              <w:t>面积（</w:t>
            </w:r>
            <w:r>
              <w:rPr>
                <w:rFonts w:ascii="Times New Roman" w:hAnsi="Times New Roman" w:cs="Times New Roman"/>
                <w:color w:val="auto"/>
              </w:rPr>
              <w:t>hm</w:t>
            </w:r>
            <w:r>
              <w:rPr>
                <w:rFonts w:ascii="Times New Roman" w:hAnsi="Times New Roman" w:cs="Times New Roman"/>
                <w:color w:val="auto"/>
                <w:vertAlign w:val="superscript"/>
              </w:rPr>
              <w:t>2</w:t>
            </w:r>
            <w:r>
              <w:rPr>
                <w:color w:val="auto"/>
              </w:rPr>
              <w:t>）</w:t>
            </w:r>
          </w:p>
        </w:tc>
        <w:tc>
          <w:tcPr>
            <w:tcW w:w="994" w:type="pct"/>
            <w:noWrap/>
            <w:vAlign w:val="center"/>
          </w:tcPr>
          <w:p w14:paraId="1C08FB84">
            <w:pPr>
              <w:pStyle w:val="94"/>
              <w:rPr>
                <w:color w:val="auto"/>
              </w:rPr>
            </w:pPr>
            <w:r>
              <w:rPr>
                <w:color w:val="auto"/>
              </w:rPr>
              <w:t>生物量（</w:t>
            </w:r>
            <w:r>
              <w:rPr>
                <w:rFonts w:ascii="Times New Roman" w:hAnsi="Times New Roman" w:cs="Times New Roman"/>
                <w:color w:val="auto"/>
              </w:rPr>
              <w:t>t/hm</w:t>
            </w:r>
            <w:r>
              <w:rPr>
                <w:rFonts w:ascii="Times New Roman" w:hAnsi="Times New Roman" w:cs="Times New Roman"/>
                <w:color w:val="auto"/>
                <w:vertAlign w:val="superscript"/>
              </w:rPr>
              <w:t>2</w:t>
            </w:r>
            <w:r>
              <w:rPr>
                <w:color w:val="auto"/>
              </w:rPr>
              <w:t>）</w:t>
            </w:r>
          </w:p>
        </w:tc>
        <w:tc>
          <w:tcPr>
            <w:tcW w:w="994" w:type="pct"/>
            <w:noWrap/>
            <w:vAlign w:val="center"/>
          </w:tcPr>
          <w:p w14:paraId="1FA5AD0E">
            <w:pPr>
              <w:pStyle w:val="94"/>
              <w:rPr>
                <w:color w:val="auto"/>
              </w:rPr>
            </w:pPr>
            <w:r>
              <w:rPr>
                <w:color w:val="auto"/>
              </w:rPr>
              <w:t>总生物量（</w:t>
            </w:r>
            <w:r>
              <w:rPr>
                <w:rFonts w:ascii="Times New Roman" w:hAnsi="Times New Roman" w:cs="Times New Roman"/>
                <w:color w:val="auto"/>
              </w:rPr>
              <w:t>t</w:t>
            </w:r>
            <w:r>
              <w:rPr>
                <w:color w:val="auto"/>
              </w:rPr>
              <w:t>）</w:t>
            </w:r>
          </w:p>
        </w:tc>
      </w:tr>
      <w:tr w14:paraId="647C12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1662" w:type="pct"/>
            <w:noWrap/>
            <w:vAlign w:val="center"/>
          </w:tcPr>
          <w:p w14:paraId="5F6D0D6A">
            <w:pPr>
              <w:pStyle w:val="94"/>
              <w:rPr>
                <w:color w:val="auto"/>
              </w:rPr>
            </w:pPr>
            <w:r>
              <w:rPr>
                <w:color w:val="auto"/>
              </w:rPr>
              <w:t>农田生态系统</w:t>
            </w:r>
          </w:p>
        </w:tc>
        <w:tc>
          <w:tcPr>
            <w:tcW w:w="1350" w:type="pct"/>
            <w:noWrap/>
            <w:vAlign w:val="bottom"/>
          </w:tcPr>
          <w:p w14:paraId="75A876D8">
            <w:pPr>
              <w:pStyle w:val="94"/>
              <w:rPr>
                <w:color w:val="auto"/>
              </w:rPr>
            </w:pPr>
            <w:r>
              <w:rPr>
                <w:rFonts w:hint="eastAsia"/>
                <w:color w:val="auto"/>
              </w:rPr>
              <w:t xml:space="preserve">179.63 </w:t>
            </w:r>
          </w:p>
        </w:tc>
        <w:tc>
          <w:tcPr>
            <w:tcW w:w="994" w:type="pct"/>
            <w:noWrap/>
            <w:vAlign w:val="bottom"/>
          </w:tcPr>
          <w:p w14:paraId="5AE4266B">
            <w:pPr>
              <w:pStyle w:val="94"/>
              <w:rPr>
                <w:color w:val="auto"/>
              </w:rPr>
            </w:pPr>
            <w:r>
              <w:rPr>
                <w:rFonts w:hint="eastAsia"/>
                <w:color w:val="auto"/>
              </w:rPr>
              <w:t xml:space="preserve">11.00 </w:t>
            </w:r>
          </w:p>
        </w:tc>
        <w:tc>
          <w:tcPr>
            <w:tcW w:w="994" w:type="pct"/>
            <w:noWrap/>
            <w:vAlign w:val="bottom"/>
          </w:tcPr>
          <w:p w14:paraId="7DA2AAB6">
            <w:pPr>
              <w:pStyle w:val="94"/>
              <w:rPr>
                <w:color w:val="auto"/>
              </w:rPr>
            </w:pPr>
            <w:r>
              <w:rPr>
                <w:rFonts w:hint="eastAsia"/>
                <w:color w:val="auto"/>
              </w:rPr>
              <w:t xml:space="preserve">1975.97 </w:t>
            </w:r>
          </w:p>
        </w:tc>
      </w:tr>
      <w:tr w14:paraId="0D9DCC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1662" w:type="pct"/>
            <w:noWrap/>
            <w:vAlign w:val="center"/>
          </w:tcPr>
          <w:p w14:paraId="06D092AC">
            <w:pPr>
              <w:pStyle w:val="94"/>
              <w:rPr>
                <w:color w:val="auto"/>
              </w:rPr>
            </w:pPr>
            <w:r>
              <w:rPr>
                <w:color w:val="auto"/>
              </w:rPr>
              <w:t>森林生态系统</w:t>
            </w:r>
          </w:p>
        </w:tc>
        <w:tc>
          <w:tcPr>
            <w:tcW w:w="1350" w:type="pct"/>
            <w:noWrap/>
            <w:vAlign w:val="bottom"/>
          </w:tcPr>
          <w:p w14:paraId="0A978EAE">
            <w:pPr>
              <w:pStyle w:val="94"/>
              <w:rPr>
                <w:color w:val="auto"/>
              </w:rPr>
            </w:pPr>
            <w:r>
              <w:rPr>
                <w:rFonts w:hint="eastAsia"/>
                <w:color w:val="auto"/>
              </w:rPr>
              <w:t xml:space="preserve">74.48 </w:t>
            </w:r>
          </w:p>
        </w:tc>
        <w:tc>
          <w:tcPr>
            <w:tcW w:w="994" w:type="pct"/>
            <w:noWrap/>
            <w:vAlign w:val="bottom"/>
          </w:tcPr>
          <w:p w14:paraId="7349538B">
            <w:pPr>
              <w:pStyle w:val="94"/>
              <w:rPr>
                <w:color w:val="auto"/>
              </w:rPr>
            </w:pPr>
            <w:r>
              <w:rPr>
                <w:rFonts w:hint="eastAsia"/>
                <w:color w:val="auto"/>
              </w:rPr>
              <w:t xml:space="preserve">300.00 </w:t>
            </w:r>
          </w:p>
        </w:tc>
        <w:tc>
          <w:tcPr>
            <w:tcW w:w="994" w:type="pct"/>
            <w:noWrap/>
            <w:vAlign w:val="bottom"/>
          </w:tcPr>
          <w:p w14:paraId="5F16ED63">
            <w:pPr>
              <w:pStyle w:val="94"/>
              <w:rPr>
                <w:color w:val="auto"/>
              </w:rPr>
            </w:pPr>
            <w:r>
              <w:rPr>
                <w:rFonts w:hint="eastAsia"/>
                <w:color w:val="auto"/>
              </w:rPr>
              <w:t xml:space="preserve">22342.78 </w:t>
            </w:r>
          </w:p>
        </w:tc>
      </w:tr>
      <w:tr w14:paraId="235D19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1662" w:type="pct"/>
            <w:noWrap/>
            <w:vAlign w:val="center"/>
          </w:tcPr>
          <w:p w14:paraId="79B7524C">
            <w:pPr>
              <w:pStyle w:val="94"/>
              <w:rPr>
                <w:color w:val="auto"/>
              </w:rPr>
            </w:pPr>
            <w:r>
              <w:rPr>
                <w:color w:val="auto"/>
              </w:rPr>
              <w:t>灌丛生态系统</w:t>
            </w:r>
          </w:p>
        </w:tc>
        <w:tc>
          <w:tcPr>
            <w:tcW w:w="1350" w:type="pct"/>
            <w:noWrap/>
            <w:vAlign w:val="bottom"/>
          </w:tcPr>
          <w:p w14:paraId="08DD275F">
            <w:pPr>
              <w:pStyle w:val="94"/>
              <w:rPr>
                <w:color w:val="auto"/>
              </w:rPr>
            </w:pPr>
            <w:r>
              <w:rPr>
                <w:rFonts w:hint="eastAsia"/>
                <w:color w:val="auto"/>
              </w:rPr>
              <w:t xml:space="preserve">3.90 </w:t>
            </w:r>
          </w:p>
        </w:tc>
        <w:tc>
          <w:tcPr>
            <w:tcW w:w="994" w:type="pct"/>
            <w:noWrap/>
            <w:vAlign w:val="bottom"/>
          </w:tcPr>
          <w:p w14:paraId="273C216F">
            <w:pPr>
              <w:pStyle w:val="94"/>
              <w:rPr>
                <w:color w:val="auto"/>
              </w:rPr>
            </w:pPr>
            <w:r>
              <w:rPr>
                <w:rFonts w:hint="eastAsia"/>
                <w:color w:val="auto"/>
              </w:rPr>
              <w:t xml:space="preserve">68.00 </w:t>
            </w:r>
          </w:p>
        </w:tc>
        <w:tc>
          <w:tcPr>
            <w:tcW w:w="994" w:type="pct"/>
            <w:noWrap/>
            <w:vAlign w:val="bottom"/>
          </w:tcPr>
          <w:p w14:paraId="48DB6276">
            <w:pPr>
              <w:pStyle w:val="94"/>
              <w:rPr>
                <w:color w:val="auto"/>
              </w:rPr>
            </w:pPr>
            <w:r>
              <w:rPr>
                <w:rFonts w:hint="eastAsia"/>
                <w:color w:val="auto"/>
              </w:rPr>
              <w:t xml:space="preserve">265.10 </w:t>
            </w:r>
          </w:p>
        </w:tc>
      </w:tr>
      <w:tr w14:paraId="58F68E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1662" w:type="pct"/>
            <w:noWrap/>
            <w:vAlign w:val="center"/>
          </w:tcPr>
          <w:p w14:paraId="45995BFB">
            <w:pPr>
              <w:pStyle w:val="94"/>
              <w:rPr>
                <w:color w:val="auto"/>
              </w:rPr>
            </w:pPr>
            <w:r>
              <w:rPr>
                <w:color w:val="auto"/>
              </w:rPr>
              <w:t>草地生态系统</w:t>
            </w:r>
          </w:p>
        </w:tc>
        <w:tc>
          <w:tcPr>
            <w:tcW w:w="1350" w:type="pct"/>
            <w:noWrap/>
            <w:vAlign w:val="bottom"/>
          </w:tcPr>
          <w:p w14:paraId="276A7BFC">
            <w:pPr>
              <w:pStyle w:val="94"/>
              <w:rPr>
                <w:color w:val="auto"/>
              </w:rPr>
            </w:pPr>
            <w:r>
              <w:rPr>
                <w:rFonts w:hint="eastAsia"/>
                <w:color w:val="auto"/>
              </w:rPr>
              <w:t xml:space="preserve">211.31 </w:t>
            </w:r>
          </w:p>
        </w:tc>
        <w:tc>
          <w:tcPr>
            <w:tcW w:w="994" w:type="pct"/>
            <w:noWrap/>
            <w:vAlign w:val="bottom"/>
          </w:tcPr>
          <w:p w14:paraId="3B23372F">
            <w:pPr>
              <w:pStyle w:val="94"/>
              <w:rPr>
                <w:color w:val="auto"/>
              </w:rPr>
            </w:pPr>
            <w:r>
              <w:rPr>
                <w:rFonts w:hint="eastAsia"/>
                <w:color w:val="auto"/>
              </w:rPr>
              <w:t xml:space="preserve">16.00 </w:t>
            </w:r>
          </w:p>
        </w:tc>
        <w:tc>
          <w:tcPr>
            <w:tcW w:w="994" w:type="pct"/>
            <w:noWrap/>
            <w:vAlign w:val="bottom"/>
          </w:tcPr>
          <w:p w14:paraId="5108C83C">
            <w:pPr>
              <w:pStyle w:val="94"/>
              <w:rPr>
                <w:color w:val="auto"/>
              </w:rPr>
            </w:pPr>
            <w:r>
              <w:rPr>
                <w:rFonts w:hint="eastAsia"/>
                <w:color w:val="auto"/>
              </w:rPr>
              <w:t xml:space="preserve">3380.90 </w:t>
            </w:r>
          </w:p>
        </w:tc>
      </w:tr>
      <w:tr w14:paraId="2A93D5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1662" w:type="pct"/>
            <w:noWrap/>
            <w:vAlign w:val="center"/>
          </w:tcPr>
          <w:p w14:paraId="05C76828">
            <w:pPr>
              <w:pStyle w:val="94"/>
              <w:rPr>
                <w:color w:val="auto"/>
              </w:rPr>
            </w:pPr>
            <w:r>
              <w:rPr>
                <w:color w:val="auto"/>
              </w:rPr>
              <w:t>湿地生态系统</w:t>
            </w:r>
          </w:p>
        </w:tc>
        <w:tc>
          <w:tcPr>
            <w:tcW w:w="1350" w:type="pct"/>
            <w:noWrap/>
            <w:vAlign w:val="bottom"/>
          </w:tcPr>
          <w:p w14:paraId="4DF36B19">
            <w:pPr>
              <w:pStyle w:val="94"/>
              <w:rPr>
                <w:color w:val="auto"/>
              </w:rPr>
            </w:pPr>
            <w:r>
              <w:rPr>
                <w:rFonts w:hint="eastAsia"/>
                <w:color w:val="auto"/>
              </w:rPr>
              <w:t xml:space="preserve">1.04 </w:t>
            </w:r>
          </w:p>
        </w:tc>
        <w:tc>
          <w:tcPr>
            <w:tcW w:w="994" w:type="pct"/>
            <w:noWrap/>
            <w:vAlign w:val="bottom"/>
          </w:tcPr>
          <w:p w14:paraId="0E606A23">
            <w:pPr>
              <w:pStyle w:val="94"/>
              <w:rPr>
                <w:color w:val="auto"/>
              </w:rPr>
            </w:pPr>
            <w:r>
              <w:rPr>
                <w:rFonts w:hint="eastAsia"/>
                <w:color w:val="auto"/>
              </w:rPr>
              <w:t xml:space="preserve">0.50 </w:t>
            </w:r>
          </w:p>
        </w:tc>
        <w:tc>
          <w:tcPr>
            <w:tcW w:w="994" w:type="pct"/>
            <w:noWrap/>
            <w:vAlign w:val="bottom"/>
          </w:tcPr>
          <w:p w14:paraId="23D48234">
            <w:pPr>
              <w:pStyle w:val="94"/>
              <w:rPr>
                <w:color w:val="auto"/>
              </w:rPr>
            </w:pPr>
            <w:r>
              <w:rPr>
                <w:rFonts w:hint="eastAsia"/>
                <w:color w:val="auto"/>
              </w:rPr>
              <w:t xml:space="preserve">0.52 </w:t>
            </w:r>
          </w:p>
        </w:tc>
      </w:tr>
      <w:tr w14:paraId="1B9D4D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1662" w:type="pct"/>
            <w:noWrap/>
            <w:vAlign w:val="center"/>
          </w:tcPr>
          <w:p w14:paraId="046A4DE8">
            <w:pPr>
              <w:pStyle w:val="94"/>
              <w:rPr>
                <w:color w:val="auto"/>
              </w:rPr>
            </w:pPr>
            <w:r>
              <w:rPr>
                <w:color w:val="auto"/>
              </w:rPr>
              <w:t>城镇生态系统</w:t>
            </w:r>
          </w:p>
        </w:tc>
        <w:tc>
          <w:tcPr>
            <w:tcW w:w="1350" w:type="pct"/>
            <w:noWrap/>
            <w:vAlign w:val="bottom"/>
          </w:tcPr>
          <w:p w14:paraId="7D3B5E79">
            <w:pPr>
              <w:pStyle w:val="94"/>
              <w:rPr>
                <w:color w:val="auto"/>
              </w:rPr>
            </w:pPr>
            <w:r>
              <w:rPr>
                <w:rFonts w:hint="eastAsia"/>
                <w:color w:val="auto"/>
              </w:rPr>
              <w:t xml:space="preserve">8.13 </w:t>
            </w:r>
          </w:p>
        </w:tc>
        <w:tc>
          <w:tcPr>
            <w:tcW w:w="994" w:type="pct"/>
            <w:noWrap/>
            <w:vAlign w:val="bottom"/>
          </w:tcPr>
          <w:p w14:paraId="69A433B4">
            <w:pPr>
              <w:pStyle w:val="94"/>
              <w:rPr>
                <w:color w:val="auto"/>
              </w:rPr>
            </w:pPr>
            <w:r>
              <w:rPr>
                <w:rFonts w:hint="eastAsia"/>
                <w:color w:val="auto"/>
              </w:rPr>
              <w:t xml:space="preserve">0.20 </w:t>
            </w:r>
          </w:p>
        </w:tc>
        <w:tc>
          <w:tcPr>
            <w:tcW w:w="994" w:type="pct"/>
            <w:noWrap/>
            <w:vAlign w:val="bottom"/>
          </w:tcPr>
          <w:p w14:paraId="5B606205">
            <w:pPr>
              <w:pStyle w:val="94"/>
              <w:rPr>
                <w:color w:val="auto"/>
              </w:rPr>
            </w:pPr>
            <w:r>
              <w:rPr>
                <w:rFonts w:hint="eastAsia"/>
                <w:color w:val="auto"/>
              </w:rPr>
              <w:t xml:space="preserve">1.63 </w:t>
            </w:r>
          </w:p>
        </w:tc>
      </w:tr>
      <w:tr w14:paraId="46A0D8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1662" w:type="pct"/>
            <w:noWrap/>
            <w:vAlign w:val="center"/>
          </w:tcPr>
          <w:p w14:paraId="7CB8F8D3">
            <w:pPr>
              <w:pStyle w:val="94"/>
              <w:rPr>
                <w:color w:val="auto"/>
              </w:rPr>
            </w:pPr>
            <w:r>
              <w:rPr>
                <w:rFonts w:hint="eastAsia"/>
                <w:color w:val="auto"/>
              </w:rPr>
              <w:t>其他</w:t>
            </w:r>
          </w:p>
        </w:tc>
        <w:tc>
          <w:tcPr>
            <w:tcW w:w="1350" w:type="pct"/>
            <w:noWrap/>
            <w:vAlign w:val="bottom"/>
          </w:tcPr>
          <w:p w14:paraId="5F2EABD7">
            <w:pPr>
              <w:pStyle w:val="94"/>
              <w:rPr>
                <w:color w:val="auto"/>
              </w:rPr>
            </w:pPr>
            <w:r>
              <w:rPr>
                <w:rFonts w:hint="eastAsia"/>
                <w:color w:val="auto"/>
              </w:rPr>
              <w:t xml:space="preserve">47.01 </w:t>
            </w:r>
          </w:p>
        </w:tc>
        <w:tc>
          <w:tcPr>
            <w:tcW w:w="994" w:type="pct"/>
            <w:noWrap/>
            <w:vAlign w:val="bottom"/>
          </w:tcPr>
          <w:p w14:paraId="1C83343E">
            <w:pPr>
              <w:pStyle w:val="94"/>
              <w:rPr>
                <w:color w:val="auto"/>
              </w:rPr>
            </w:pPr>
            <w:r>
              <w:rPr>
                <w:rFonts w:hint="eastAsia"/>
                <w:color w:val="auto"/>
              </w:rPr>
              <w:t xml:space="preserve">0.20 </w:t>
            </w:r>
          </w:p>
        </w:tc>
        <w:tc>
          <w:tcPr>
            <w:tcW w:w="994" w:type="pct"/>
            <w:noWrap/>
            <w:vAlign w:val="bottom"/>
          </w:tcPr>
          <w:p w14:paraId="7077FFE5">
            <w:pPr>
              <w:pStyle w:val="94"/>
              <w:rPr>
                <w:color w:val="auto"/>
              </w:rPr>
            </w:pPr>
            <w:r>
              <w:rPr>
                <w:rFonts w:hint="eastAsia"/>
                <w:color w:val="auto"/>
              </w:rPr>
              <w:t xml:space="preserve">9.40 </w:t>
            </w:r>
          </w:p>
        </w:tc>
      </w:tr>
      <w:tr w14:paraId="55206F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1662" w:type="pct"/>
            <w:noWrap/>
            <w:vAlign w:val="center"/>
          </w:tcPr>
          <w:p w14:paraId="238E0953">
            <w:pPr>
              <w:pStyle w:val="94"/>
              <w:rPr>
                <w:color w:val="auto"/>
              </w:rPr>
            </w:pPr>
            <w:r>
              <w:rPr>
                <w:color w:val="auto"/>
              </w:rPr>
              <w:t>平均</w:t>
            </w:r>
          </w:p>
        </w:tc>
        <w:tc>
          <w:tcPr>
            <w:tcW w:w="1350" w:type="pct"/>
            <w:noWrap/>
            <w:vAlign w:val="bottom"/>
          </w:tcPr>
          <w:p w14:paraId="1B088661">
            <w:pPr>
              <w:pStyle w:val="94"/>
              <w:rPr>
                <w:color w:val="auto"/>
              </w:rPr>
            </w:pPr>
          </w:p>
        </w:tc>
        <w:tc>
          <w:tcPr>
            <w:tcW w:w="994" w:type="pct"/>
            <w:noWrap/>
            <w:vAlign w:val="bottom"/>
          </w:tcPr>
          <w:p w14:paraId="3117E6D2">
            <w:pPr>
              <w:pStyle w:val="94"/>
              <w:rPr>
                <w:color w:val="auto"/>
              </w:rPr>
            </w:pPr>
            <w:r>
              <w:rPr>
                <w:rFonts w:hint="eastAsia"/>
                <w:color w:val="auto"/>
              </w:rPr>
              <w:t xml:space="preserve">53.24 </w:t>
            </w:r>
          </w:p>
        </w:tc>
        <w:tc>
          <w:tcPr>
            <w:tcW w:w="994" w:type="pct"/>
            <w:noWrap/>
            <w:vAlign w:val="bottom"/>
          </w:tcPr>
          <w:p w14:paraId="7CFEC6E0">
            <w:pPr>
              <w:pStyle w:val="94"/>
              <w:rPr>
                <w:color w:val="auto"/>
              </w:rPr>
            </w:pPr>
          </w:p>
        </w:tc>
      </w:tr>
    </w:tbl>
    <w:p w14:paraId="58587EB4">
      <w:pPr>
        <w:pStyle w:val="96"/>
        <w:ind w:firstLine="480"/>
      </w:pPr>
      <w:r>
        <w:rPr>
          <w:rFonts w:hint="eastAsia"/>
        </w:rPr>
        <w:t>由上表可知，评价区总生物量为</w:t>
      </w:r>
      <w:r>
        <w:t>2.80万</w:t>
      </w:r>
      <w:r>
        <w:rPr>
          <w:rFonts w:hint="eastAsia"/>
        </w:rPr>
        <w:t>t，平均生物量为</w:t>
      </w:r>
      <w:r>
        <w:t>53.24t/hm</w:t>
      </w:r>
      <w:r>
        <w:rPr>
          <w:vertAlign w:val="superscript"/>
        </w:rPr>
        <w:t>2</w:t>
      </w:r>
      <w:r>
        <w:rPr>
          <w:rFonts w:hint="eastAsia"/>
        </w:rPr>
        <w:t>，该平均生物量属于较低水平。</w:t>
      </w:r>
    </w:p>
    <w:p w14:paraId="5601AFC8">
      <w:pPr>
        <w:pStyle w:val="96"/>
        <w:ind w:firstLine="480"/>
      </w:pPr>
      <w:r>
        <w:t>综上评价区生态服务功能</w:t>
      </w:r>
      <w:r>
        <w:rPr>
          <w:rFonts w:hint="eastAsia"/>
        </w:rPr>
        <w:t>一般</w:t>
      </w:r>
      <w:r>
        <w:t>。</w:t>
      </w:r>
    </w:p>
    <w:p w14:paraId="19C1772E">
      <w:pPr>
        <w:pStyle w:val="4"/>
      </w:pPr>
      <w:bookmarkStart w:id="139" w:name="_Toc171579821"/>
      <w:r>
        <w:rPr>
          <w:rFonts w:hint="eastAsia"/>
        </w:rPr>
        <w:t>土地利用现状调查</w:t>
      </w:r>
      <w:bookmarkEnd w:id="139"/>
    </w:p>
    <w:p w14:paraId="2E05EC4A">
      <w:pPr>
        <w:pStyle w:val="96"/>
        <w:ind w:firstLine="480"/>
      </w:pPr>
      <w:r>
        <w:rPr>
          <w:rFonts w:hint="eastAsia"/>
        </w:rPr>
        <w:t>项目所在区属于中海拔中起伏山地，土地利用类型以林地为主。根据全国土地利用现状调查技术规程、《土地利用现状分类》（</w:t>
      </w:r>
      <w:r>
        <w:t>GB/T 21010-2017）及</w:t>
      </w:r>
      <w:r>
        <w:rPr>
          <w:rFonts w:hint="eastAsia"/>
        </w:rPr>
        <w:t>兴县</w:t>
      </w:r>
      <w:r>
        <w:t>土地利用资料，结合实地调查和遥感卫星影像解译，将评价区土地利用情况划分为11个一级类型和24个二级类型。评价区土地利用现状见</w:t>
      </w:r>
      <w:r>
        <w:rPr>
          <w:rFonts w:hint="eastAsia"/>
        </w:rPr>
        <w:t>附图</w:t>
      </w:r>
      <w:r>
        <w:t>。数据统计结果见</w:t>
      </w:r>
      <w:r>
        <w:rPr>
          <w:rFonts w:hint="eastAsia"/>
        </w:rPr>
        <w:t>表4</w:t>
      </w:r>
      <w:r>
        <w:t>4</w:t>
      </w:r>
      <w:r>
        <w:rPr>
          <w:rFonts w:hint="eastAsia"/>
        </w:rPr>
        <w:t>和表4</w:t>
      </w:r>
      <w:r>
        <w:t>5。</w:t>
      </w:r>
    </w:p>
    <w:p w14:paraId="34469EC9">
      <w:pPr>
        <w:pStyle w:val="19"/>
        <w:keepNext/>
      </w:pPr>
      <w:bookmarkStart w:id="140" w:name="_Ref165107055"/>
      <w:r>
        <w:t xml:space="preserve">表 </w:t>
      </w:r>
      <w:r>
        <w:fldChar w:fldCharType="begin"/>
      </w:r>
      <w:r>
        <w:instrText xml:space="preserve"> SEQ 表 \* ARABIC </w:instrText>
      </w:r>
      <w:r>
        <w:fldChar w:fldCharType="separate"/>
      </w:r>
      <w:r>
        <w:t>49</w:t>
      </w:r>
      <w:r>
        <w:fldChar w:fldCharType="end"/>
      </w:r>
      <w:bookmarkEnd w:id="140"/>
      <w:r>
        <w:rPr>
          <w:rFonts w:hint="eastAsia"/>
        </w:rPr>
        <w:t>评价区土地利用现状统计表</w:t>
      </w:r>
    </w:p>
    <w:tbl>
      <w:tblPr>
        <w:tblStyle w:val="114"/>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60"/>
        <w:gridCol w:w="2526"/>
        <w:gridCol w:w="2078"/>
        <w:gridCol w:w="2316"/>
        <w:gridCol w:w="1201"/>
        <w:gridCol w:w="1201"/>
      </w:tblGrid>
      <w:tr w14:paraId="6725CB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91" w:type="pct"/>
            <w:noWrap/>
            <w:vAlign w:val="center"/>
          </w:tcPr>
          <w:p w14:paraId="14465EF0">
            <w:pPr>
              <w:pStyle w:val="94"/>
              <w:rPr>
                <w:color w:val="auto"/>
              </w:rPr>
            </w:pPr>
            <w:bookmarkStart w:id="141" w:name="_Ref165108230"/>
            <w:r>
              <w:rPr>
                <w:color w:val="auto"/>
              </w:rPr>
              <w:t>一级类编码</w:t>
            </w:r>
          </w:p>
        </w:tc>
        <w:tc>
          <w:tcPr>
            <w:tcW w:w="1123" w:type="pct"/>
            <w:noWrap/>
            <w:vAlign w:val="center"/>
          </w:tcPr>
          <w:p w14:paraId="6AB4CF76">
            <w:pPr>
              <w:pStyle w:val="94"/>
              <w:rPr>
                <w:color w:val="auto"/>
              </w:rPr>
            </w:pPr>
            <w:r>
              <w:rPr>
                <w:color w:val="auto"/>
              </w:rPr>
              <w:t>一级类名称</w:t>
            </w:r>
          </w:p>
        </w:tc>
        <w:tc>
          <w:tcPr>
            <w:tcW w:w="1027" w:type="pct"/>
            <w:noWrap/>
            <w:vAlign w:val="center"/>
          </w:tcPr>
          <w:p w14:paraId="3587DD80">
            <w:pPr>
              <w:pStyle w:val="94"/>
              <w:rPr>
                <w:color w:val="auto"/>
              </w:rPr>
            </w:pPr>
            <w:r>
              <w:rPr>
                <w:color w:val="auto"/>
              </w:rPr>
              <w:t>二级类编码</w:t>
            </w:r>
          </w:p>
        </w:tc>
        <w:tc>
          <w:tcPr>
            <w:tcW w:w="927" w:type="pct"/>
            <w:noWrap/>
            <w:vAlign w:val="center"/>
          </w:tcPr>
          <w:p w14:paraId="3849461A">
            <w:pPr>
              <w:pStyle w:val="94"/>
              <w:rPr>
                <w:color w:val="auto"/>
              </w:rPr>
            </w:pPr>
            <w:r>
              <w:rPr>
                <w:color w:val="auto"/>
              </w:rPr>
              <w:t>二级类名称</w:t>
            </w:r>
          </w:p>
        </w:tc>
        <w:tc>
          <w:tcPr>
            <w:tcW w:w="616" w:type="pct"/>
            <w:noWrap/>
            <w:vAlign w:val="center"/>
          </w:tcPr>
          <w:p w14:paraId="6E131BAC">
            <w:pPr>
              <w:pStyle w:val="94"/>
              <w:rPr>
                <w:color w:val="auto"/>
              </w:rPr>
            </w:pPr>
            <w:r>
              <w:rPr>
                <w:rFonts w:hint="eastAsia"/>
                <w:color w:val="auto"/>
              </w:rPr>
              <w:t>面积ha</w:t>
            </w:r>
          </w:p>
        </w:tc>
        <w:tc>
          <w:tcPr>
            <w:tcW w:w="616" w:type="pct"/>
            <w:noWrap/>
            <w:vAlign w:val="center"/>
          </w:tcPr>
          <w:p w14:paraId="6E199995">
            <w:pPr>
              <w:pStyle w:val="94"/>
              <w:rPr>
                <w:color w:val="auto"/>
              </w:rPr>
            </w:pPr>
            <w:r>
              <w:rPr>
                <w:rFonts w:hint="eastAsia"/>
                <w:color w:val="auto"/>
              </w:rPr>
              <w:t>占比%</w:t>
            </w:r>
          </w:p>
        </w:tc>
      </w:tr>
      <w:tr w14:paraId="55A182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91" w:type="pct"/>
            <w:noWrap/>
            <w:vAlign w:val="center"/>
          </w:tcPr>
          <w:p w14:paraId="300E6653">
            <w:pPr>
              <w:pStyle w:val="94"/>
              <w:rPr>
                <w:color w:val="auto"/>
              </w:rPr>
            </w:pPr>
            <w:r>
              <w:rPr>
                <w:color w:val="auto"/>
              </w:rPr>
              <w:t>01</w:t>
            </w:r>
          </w:p>
        </w:tc>
        <w:tc>
          <w:tcPr>
            <w:tcW w:w="1123" w:type="pct"/>
            <w:noWrap/>
            <w:vAlign w:val="center"/>
          </w:tcPr>
          <w:p w14:paraId="33783C58">
            <w:pPr>
              <w:pStyle w:val="94"/>
              <w:rPr>
                <w:color w:val="auto"/>
              </w:rPr>
            </w:pPr>
            <w:r>
              <w:rPr>
                <w:color w:val="auto"/>
              </w:rPr>
              <w:t>耕地</w:t>
            </w:r>
          </w:p>
        </w:tc>
        <w:tc>
          <w:tcPr>
            <w:tcW w:w="1027" w:type="pct"/>
            <w:noWrap/>
            <w:vAlign w:val="center"/>
          </w:tcPr>
          <w:p w14:paraId="26AFCCAB">
            <w:pPr>
              <w:pStyle w:val="94"/>
              <w:rPr>
                <w:color w:val="auto"/>
              </w:rPr>
            </w:pPr>
            <w:r>
              <w:rPr>
                <w:color w:val="auto"/>
              </w:rPr>
              <w:t>0103</w:t>
            </w:r>
          </w:p>
        </w:tc>
        <w:tc>
          <w:tcPr>
            <w:tcW w:w="927" w:type="pct"/>
            <w:noWrap/>
            <w:vAlign w:val="center"/>
          </w:tcPr>
          <w:p w14:paraId="414B87A6">
            <w:pPr>
              <w:pStyle w:val="94"/>
              <w:rPr>
                <w:color w:val="auto"/>
              </w:rPr>
            </w:pPr>
            <w:r>
              <w:rPr>
                <w:color w:val="auto"/>
              </w:rPr>
              <w:t>旱地</w:t>
            </w:r>
          </w:p>
        </w:tc>
        <w:tc>
          <w:tcPr>
            <w:tcW w:w="616" w:type="pct"/>
            <w:noWrap/>
            <w:vAlign w:val="center"/>
          </w:tcPr>
          <w:p w14:paraId="099FC8BE">
            <w:pPr>
              <w:pStyle w:val="94"/>
              <w:rPr>
                <w:color w:val="auto"/>
              </w:rPr>
            </w:pPr>
            <w:r>
              <w:rPr>
                <w:color w:val="auto"/>
              </w:rPr>
              <w:t xml:space="preserve">131.11 </w:t>
            </w:r>
          </w:p>
        </w:tc>
        <w:tc>
          <w:tcPr>
            <w:tcW w:w="616" w:type="pct"/>
            <w:noWrap/>
            <w:vAlign w:val="center"/>
          </w:tcPr>
          <w:p w14:paraId="51E4E7E8">
            <w:pPr>
              <w:pStyle w:val="94"/>
              <w:rPr>
                <w:color w:val="auto"/>
              </w:rPr>
            </w:pPr>
            <w:r>
              <w:rPr>
                <w:color w:val="auto"/>
              </w:rPr>
              <w:t xml:space="preserve">24.95 </w:t>
            </w:r>
          </w:p>
        </w:tc>
      </w:tr>
      <w:tr w14:paraId="08BCE6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91" w:type="pct"/>
            <w:noWrap/>
            <w:vAlign w:val="center"/>
          </w:tcPr>
          <w:p w14:paraId="301F070F">
            <w:pPr>
              <w:pStyle w:val="94"/>
              <w:rPr>
                <w:color w:val="auto"/>
              </w:rPr>
            </w:pPr>
            <w:r>
              <w:rPr>
                <w:color w:val="auto"/>
              </w:rPr>
              <w:t>02</w:t>
            </w:r>
          </w:p>
        </w:tc>
        <w:tc>
          <w:tcPr>
            <w:tcW w:w="1123" w:type="pct"/>
            <w:noWrap/>
            <w:vAlign w:val="center"/>
          </w:tcPr>
          <w:p w14:paraId="315E869E">
            <w:pPr>
              <w:pStyle w:val="94"/>
              <w:rPr>
                <w:color w:val="auto"/>
              </w:rPr>
            </w:pPr>
            <w:r>
              <w:rPr>
                <w:color w:val="auto"/>
              </w:rPr>
              <w:t>园地</w:t>
            </w:r>
          </w:p>
        </w:tc>
        <w:tc>
          <w:tcPr>
            <w:tcW w:w="1027" w:type="pct"/>
            <w:noWrap/>
            <w:vAlign w:val="center"/>
          </w:tcPr>
          <w:p w14:paraId="125F2FC5">
            <w:pPr>
              <w:pStyle w:val="94"/>
              <w:rPr>
                <w:color w:val="auto"/>
              </w:rPr>
            </w:pPr>
            <w:r>
              <w:rPr>
                <w:color w:val="auto"/>
              </w:rPr>
              <w:t>0201</w:t>
            </w:r>
          </w:p>
        </w:tc>
        <w:tc>
          <w:tcPr>
            <w:tcW w:w="927" w:type="pct"/>
            <w:noWrap/>
            <w:vAlign w:val="center"/>
          </w:tcPr>
          <w:p w14:paraId="68B86045">
            <w:pPr>
              <w:pStyle w:val="94"/>
              <w:rPr>
                <w:color w:val="auto"/>
              </w:rPr>
            </w:pPr>
            <w:r>
              <w:rPr>
                <w:color w:val="auto"/>
              </w:rPr>
              <w:t>果园</w:t>
            </w:r>
          </w:p>
        </w:tc>
        <w:tc>
          <w:tcPr>
            <w:tcW w:w="616" w:type="pct"/>
            <w:noWrap/>
            <w:vAlign w:val="center"/>
          </w:tcPr>
          <w:p w14:paraId="045230C1">
            <w:pPr>
              <w:pStyle w:val="94"/>
              <w:rPr>
                <w:color w:val="auto"/>
              </w:rPr>
            </w:pPr>
            <w:r>
              <w:rPr>
                <w:color w:val="auto"/>
              </w:rPr>
              <w:t xml:space="preserve">23.76 </w:t>
            </w:r>
          </w:p>
        </w:tc>
        <w:tc>
          <w:tcPr>
            <w:tcW w:w="616" w:type="pct"/>
            <w:noWrap/>
            <w:vAlign w:val="center"/>
          </w:tcPr>
          <w:p w14:paraId="60250EFD">
            <w:pPr>
              <w:pStyle w:val="94"/>
              <w:rPr>
                <w:color w:val="auto"/>
              </w:rPr>
            </w:pPr>
            <w:r>
              <w:rPr>
                <w:color w:val="auto"/>
              </w:rPr>
              <w:t xml:space="preserve">4.52 </w:t>
            </w:r>
          </w:p>
        </w:tc>
      </w:tr>
      <w:tr w14:paraId="1F651C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91" w:type="pct"/>
            <w:noWrap/>
            <w:vAlign w:val="center"/>
          </w:tcPr>
          <w:p w14:paraId="51E5F64E">
            <w:pPr>
              <w:pStyle w:val="94"/>
              <w:rPr>
                <w:color w:val="auto"/>
              </w:rPr>
            </w:pPr>
            <w:r>
              <w:rPr>
                <w:color w:val="auto"/>
              </w:rPr>
              <w:t>02</w:t>
            </w:r>
          </w:p>
        </w:tc>
        <w:tc>
          <w:tcPr>
            <w:tcW w:w="1123" w:type="pct"/>
            <w:noWrap/>
            <w:vAlign w:val="center"/>
          </w:tcPr>
          <w:p w14:paraId="7E26FFEC">
            <w:pPr>
              <w:pStyle w:val="94"/>
              <w:rPr>
                <w:color w:val="auto"/>
              </w:rPr>
            </w:pPr>
            <w:r>
              <w:rPr>
                <w:color w:val="auto"/>
              </w:rPr>
              <w:t>园地</w:t>
            </w:r>
          </w:p>
        </w:tc>
        <w:tc>
          <w:tcPr>
            <w:tcW w:w="1027" w:type="pct"/>
            <w:noWrap/>
            <w:vAlign w:val="center"/>
          </w:tcPr>
          <w:p w14:paraId="39350F06">
            <w:pPr>
              <w:pStyle w:val="94"/>
              <w:rPr>
                <w:color w:val="auto"/>
              </w:rPr>
            </w:pPr>
            <w:r>
              <w:rPr>
                <w:color w:val="auto"/>
              </w:rPr>
              <w:t>0204</w:t>
            </w:r>
          </w:p>
        </w:tc>
        <w:tc>
          <w:tcPr>
            <w:tcW w:w="927" w:type="pct"/>
            <w:noWrap/>
            <w:vAlign w:val="center"/>
          </w:tcPr>
          <w:p w14:paraId="438E309F">
            <w:pPr>
              <w:pStyle w:val="94"/>
              <w:rPr>
                <w:color w:val="auto"/>
              </w:rPr>
            </w:pPr>
            <w:r>
              <w:rPr>
                <w:color w:val="auto"/>
              </w:rPr>
              <w:t>其他园地</w:t>
            </w:r>
          </w:p>
        </w:tc>
        <w:tc>
          <w:tcPr>
            <w:tcW w:w="616" w:type="pct"/>
            <w:noWrap/>
            <w:vAlign w:val="center"/>
          </w:tcPr>
          <w:p w14:paraId="40EC1CA0">
            <w:pPr>
              <w:pStyle w:val="94"/>
              <w:rPr>
                <w:color w:val="auto"/>
              </w:rPr>
            </w:pPr>
            <w:r>
              <w:rPr>
                <w:color w:val="auto"/>
              </w:rPr>
              <w:t xml:space="preserve">24.76 </w:t>
            </w:r>
          </w:p>
        </w:tc>
        <w:tc>
          <w:tcPr>
            <w:tcW w:w="616" w:type="pct"/>
            <w:noWrap/>
            <w:vAlign w:val="center"/>
          </w:tcPr>
          <w:p w14:paraId="3D13104D">
            <w:pPr>
              <w:pStyle w:val="94"/>
              <w:rPr>
                <w:color w:val="auto"/>
              </w:rPr>
            </w:pPr>
            <w:r>
              <w:rPr>
                <w:color w:val="auto"/>
              </w:rPr>
              <w:t xml:space="preserve">4.71 </w:t>
            </w:r>
          </w:p>
        </w:tc>
      </w:tr>
      <w:tr w14:paraId="03F0D6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91" w:type="pct"/>
            <w:noWrap/>
            <w:vAlign w:val="center"/>
          </w:tcPr>
          <w:p w14:paraId="04F80CFA">
            <w:pPr>
              <w:pStyle w:val="94"/>
              <w:rPr>
                <w:color w:val="auto"/>
              </w:rPr>
            </w:pPr>
            <w:r>
              <w:rPr>
                <w:color w:val="auto"/>
              </w:rPr>
              <w:t>03</w:t>
            </w:r>
          </w:p>
        </w:tc>
        <w:tc>
          <w:tcPr>
            <w:tcW w:w="1123" w:type="pct"/>
            <w:noWrap/>
            <w:vAlign w:val="center"/>
          </w:tcPr>
          <w:p w14:paraId="3B167FA1">
            <w:pPr>
              <w:pStyle w:val="94"/>
              <w:rPr>
                <w:color w:val="auto"/>
              </w:rPr>
            </w:pPr>
            <w:r>
              <w:rPr>
                <w:color w:val="auto"/>
              </w:rPr>
              <w:t>林地</w:t>
            </w:r>
          </w:p>
        </w:tc>
        <w:tc>
          <w:tcPr>
            <w:tcW w:w="1027" w:type="pct"/>
            <w:noWrap/>
            <w:vAlign w:val="center"/>
          </w:tcPr>
          <w:p w14:paraId="692B0ECA">
            <w:pPr>
              <w:pStyle w:val="94"/>
              <w:rPr>
                <w:color w:val="auto"/>
              </w:rPr>
            </w:pPr>
            <w:r>
              <w:rPr>
                <w:color w:val="auto"/>
              </w:rPr>
              <w:t>0305</w:t>
            </w:r>
          </w:p>
        </w:tc>
        <w:tc>
          <w:tcPr>
            <w:tcW w:w="927" w:type="pct"/>
            <w:noWrap/>
            <w:vAlign w:val="center"/>
          </w:tcPr>
          <w:p w14:paraId="33E34A47">
            <w:pPr>
              <w:pStyle w:val="94"/>
              <w:rPr>
                <w:color w:val="auto"/>
              </w:rPr>
            </w:pPr>
            <w:r>
              <w:rPr>
                <w:color w:val="auto"/>
              </w:rPr>
              <w:t>灌木林地</w:t>
            </w:r>
          </w:p>
        </w:tc>
        <w:tc>
          <w:tcPr>
            <w:tcW w:w="616" w:type="pct"/>
            <w:noWrap/>
            <w:vAlign w:val="center"/>
          </w:tcPr>
          <w:p w14:paraId="31A5590A">
            <w:pPr>
              <w:pStyle w:val="94"/>
              <w:rPr>
                <w:color w:val="auto"/>
              </w:rPr>
            </w:pPr>
            <w:r>
              <w:rPr>
                <w:color w:val="auto"/>
              </w:rPr>
              <w:t xml:space="preserve">3.90 </w:t>
            </w:r>
          </w:p>
        </w:tc>
        <w:tc>
          <w:tcPr>
            <w:tcW w:w="616" w:type="pct"/>
            <w:noWrap/>
            <w:vAlign w:val="center"/>
          </w:tcPr>
          <w:p w14:paraId="2F55A6E8">
            <w:pPr>
              <w:pStyle w:val="94"/>
              <w:rPr>
                <w:color w:val="auto"/>
              </w:rPr>
            </w:pPr>
            <w:r>
              <w:rPr>
                <w:color w:val="auto"/>
              </w:rPr>
              <w:t xml:space="preserve">0.74 </w:t>
            </w:r>
          </w:p>
        </w:tc>
      </w:tr>
      <w:tr w14:paraId="308DEC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91" w:type="pct"/>
            <w:noWrap/>
            <w:vAlign w:val="center"/>
          </w:tcPr>
          <w:p w14:paraId="496917EC">
            <w:pPr>
              <w:pStyle w:val="94"/>
              <w:rPr>
                <w:color w:val="auto"/>
              </w:rPr>
            </w:pPr>
            <w:r>
              <w:rPr>
                <w:color w:val="auto"/>
              </w:rPr>
              <w:t>03</w:t>
            </w:r>
          </w:p>
        </w:tc>
        <w:tc>
          <w:tcPr>
            <w:tcW w:w="1123" w:type="pct"/>
            <w:noWrap/>
            <w:vAlign w:val="center"/>
          </w:tcPr>
          <w:p w14:paraId="5FC7877B">
            <w:pPr>
              <w:pStyle w:val="94"/>
              <w:rPr>
                <w:color w:val="auto"/>
              </w:rPr>
            </w:pPr>
            <w:r>
              <w:rPr>
                <w:color w:val="auto"/>
              </w:rPr>
              <w:t>林地</w:t>
            </w:r>
          </w:p>
        </w:tc>
        <w:tc>
          <w:tcPr>
            <w:tcW w:w="1027" w:type="pct"/>
            <w:noWrap/>
            <w:vAlign w:val="center"/>
          </w:tcPr>
          <w:p w14:paraId="04A57638">
            <w:pPr>
              <w:pStyle w:val="94"/>
              <w:rPr>
                <w:color w:val="auto"/>
              </w:rPr>
            </w:pPr>
            <w:r>
              <w:rPr>
                <w:color w:val="auto"/>
              </w:rPr>
              <w:t>0307</w:t>
            </w:r>
          </w:p>
        </w:tc>
        <w:tc>
          <w:tcPr>
            <w:tcW w:w="927" w:type="pct"/>
            <w:noWrap/>
            <w:vAlign w:val="center"/>
          </w:tcPr>
          <w:p w14:paraId="5AB4F179">
            <w:pPr>
              <w:pStyle w:val="94"/>
              <w:rPr>
                <w:color w:val="auto"/>
              </w:rPr>
            </w:pPr>
            <w:r>
              <w:rPr>
                <w:color w:val="auto"/>
              </w:rPr>
              <w:t>其他林地</w:t>
            </w:r>
          </w:p>
        </w:tc>
        <w:tc>
          <w:tcPr>
            <w:tcW w:w="616" w:type="pct"/>
            <w:noWrap/>
            <w:vAlign w:val="center"/>
          </w:tcPr>
          <w:p w14:paraId="6AA09276">
            <w:pPr>
              <w:pStyle w:val="94"/>
              <w:rPr>
                <w:color w:val="auto"/>
              </w:rPr>
            </w:pPr>
            <w:r>
              <w:rPr>
                <w:color w:val="auto"/>
              </w:rPr>
              <w:t xml:space="preserve">71.77 </w:t>
            </w:r>
          </w:p>
        </w:tc>
        <w:tc>
          <w:tcPr>
            <w:tcW w:w="616" w:type="pct"/>
            <w:noWrap/>
            <w:vAlign w:val="center"/>
          </w:tcPr>
          <w:p w14:paraId="2D1F9B1A">
            <w:pPr>
              <w:pStyle w:val="94"/>
              <w:rPr>
                <w:color w:val="auto"/>
              </w:rPr>
            </w:pPr>
            <w:r>
              <w:rPr>
                <w:color w:val="auto"/>
              </w:rPr>
              <w:t xml:space="preserve">13.66 </w:t>
            </w:r>
          </w:p>
        </w:tc>
      </w:tr>
      <w:tr w14:paraId="074049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91" w:type="pct"/>
            <w:noWrap/>
            <w:vAlign w:val="center"/>
          </w:tcPr>
          <w:p w14:paraId="4FC7B1BE">
            <w:pPr>
              <w:pStyle w:val="94"/>
              <w:rPr>
                <w:color w:val="auto"/>
              </w:rPr>
            </w:pPr>
            <w:r>
              <w:rPr>
                <w:color w:val="auto"/>
              </w:rPr>
              <w:t>03</w:t>
            </w:r>
          </w:p>
        </w:tc>
        <w:tc>
          <w:tcPr>
            <w:tcW w:w="1123" w:type="pct"/>
            <w:noWrap/>
            <w:vAlign w:val="center"/>
          </w:tcPr>
          <w:p w14:paraId="3AFA97D9">
            <w:pPr>
              <w:pStyle w:val="94"/>
              <w:rPr>
                <w:color w:val="auto"/>
              </w:rPr>
            </w:pPr>
            <w:r>
              <w:rPr>
                <w:color w:val="auto"/>
              </w:rPr>
              <w:t>林地</w:t>
            </w:r>
          </w:p>
        </w:tc>
        <w:tc>
          <w:tcPr>
            <w:tcW w:w="1027" w:type="pct"/>
            <w:noWrap/>
            <w:vAlign w:val="center"/>
          </w:tcPr>
          <w:p w14:paraId="3AA020CC">
            <w:pPr>
              <w:pStyle w:val="94"/>
              <w:rPr>
                <w:color w:val="auto"/>
              </w:rPr>
            </w:pPr>
            <w:r>
              <w:rPr>
                <w:color w:val="auto"/>
              </w:rPr>
              <w:t>0301</w:t>
            </w:r>
          </w:p>
        </w:tc>
        <w:tc>
          <w:tcPr>
            <w:tcW w:w="927" w:type="pct"/>
            <w:noWrap/>
            <w:vAlign w:val="center"/>
          </w:tcPr>
          <w:p w14:paraId="2C16F818">
            <w:pPr>
              <w:pStyle w:val="94"/>
              <w:rPr>
                <w:color w:val="auto"/>
              </w:rPr>
            </w:pPr>
            <w:r>
              <w:rPr>
                <w:color w:val="auto"/>
              </w:rPr>
              <w:t>乔木林地</w:t>
            </w:r>
          </w:p>
        </w:tc>
        <w:tc>
          <w:tcPr>
            <w:tcW w:w="616" w:type="pct"/>
            <w:noWrap/>
            <w:vAlign w:val="center"/>
          </w:tcPr>
          <w:p w14:paraId="08387D39">
            <w:pPr>
              <w:pStyle w:val="94"/>
              <w:rPr>
                <w:color w:val="auto"/>
              </w:rPr>
            </w:pPr>
            <w:r>
              <w:rPr>
                <w:color w:val="auto"/>
              </w:rPr>
              <w:t xml:space="preserve">2.71 </w:t>
            </w:r>
          </w:p>
        </w:tc>
        <w:tc>
          <w:tcPr>
            <w:tcW w:w="616" w:type="pct"/>
            <w:noWrap/>
            <w:vAlign w:val="center"/>
          </w:tcPr>
          <w:p w14:paraId="7A28B8A3">
            <w:pPr>
              <w:pStyle w:val="94"/>
              <w:rPr>
                <w:color w:val="auto"/>
              </w:rPr>
            </w:pPr>
            <w:r>
              <w:rPr>
                <w:color w:val="auto"/>
              </w:rPr>
              <w:t xml:space="preserve">0.52 </w:t>
            </w:r>
          </w:p>
        </w:tc>
      </w:tr>
      <w:tr w14:paraId="09F0C8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91" w:type="pct"/>
            <w:noWrap/>
            <w:vAlign w:val="center"/>
          </w:tcPr>
          <w:p w14:paraId="4854E460">
            <w:pPr>
              <w:pStyle w:val="94"/>
              <w:rPr>
                <w:color w:val="auto"/>
              </w:rPr>
            </w:pPr>
            <w:r>
              <w:rPr>
                <w:color w:val="auto"/>
              </w:rPr>
              <w:t>04</w:t>
            </w:r>
          </w:p>
        </w:tc>
        <w:tc>
          <w:tcPr>
            <w:tcW w:w="1123" w:type="pct"/>
            <w:noWrap/>
            <w:vAlign w:val="center"/>
          </w:tcPr>
          <w:p w14:paraId="7BCA16A1">
            <w:pPr>
              <w:pStyle w:val="94"/>
              <w:rPr>
                <w:color w:val="auto"/>
              </w:rPr>
            </w:pPr>
            <w:r>
              <w:rPr>
                <w:color w:val="auto"/>
              </w:rPr>
              <w:t>草地</w:t>
            </w:r>
          </w:p>
        </w:tc>
        <w:tc>
          <w:tcPr>
            <w:tcW w:w="1027" w:type="pct"/>
            <w:noWrap/>
            <w:vAlign w:val="center"/>
          </w:tcPr>
          <w:p w14:paraId="12D323F0">
            <w:pPr>
              <w:pStyle w:val="94"/>
              <w:rPr>
                <w:color w:val="auto"/>
              </w:rPr>
            </w:pPr>
            <w:r>
              <w:rPr>
                <w:color w:val="auto"/>
              </w:rPr>
              <w:t>0404</w:t>
            </w:r>
          </w:p>
        </w:tc>
        <w:tc>
          <w:tcPr>
            <w:tcW w:w="927" w:type="pct"/>
            <w:noWrap/>
            <w:vAlign w:val="center"/>
          </w:tcPr>
          <w:p w14:paraId="491674FF">
            <w:pPr>
              <w:pStyle w:val="94"/>
              <w:rPr>
                <w:color w:val="auto"/>
              </w:rPr>
            </w:pPr>
            <w:r>
              <w:rPr>
                <w:color w:val="auto"/>
              </w:rPr>
              <w:t>其他草地</w:t>
            </w:r>
          </w:p>
        </w:tc>
        <w:tc>
          <w:tcPr>
            <w:tcW w:w="616" w:type="pct"/>
            <w:noWrap/>
            <w:vAlign w:val="center"/>
          </w:tcPr>
          <w:p w14:paraId="7D93270F">
            <w:pPr>
              <w:pStyle w:val="94"/>
              <w:rPr>
                <w:color w:val="auto"/>
              </w:rPr>
            </w:pPr>
            <w:r>
              <w:rPr>
                <w:color w:val="auto"/>
              </w:rPr>
              <w:t xml:space="preserve">211.31 </w:t>
            </w:r>
          </w:p>
        </w:tc>
        <w:tc>
          <w:tcPr>
            <w:tcW w:w="616" w:type="pct"/>
            <w:noWrap/>
            <w:vAlign w:val="center"/>
          </w:tcPr>
          <w:p w14:paraId="114E7525">
            <w:pPr>
              <w:pStyle w:val="94"/>
              <w:rPr>
                <w:color w:val="auto"/>
              </w:rPr>
            </w:pPr>
            <w:r>
              <w:rPr>
                <w:color w:val="auto"/>
              </w:rPr>
              <w:t xml:space="preserve">40.21 </w:t>
            </w:r>
          </w:p>
        </w:tc>
      </w:tr>
      <w:tr w14:paraId="6BE8CF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91" w:type="pct"/>
            <w:noWrap/>
            <w:vAlign w:val="center"/>
          </w:tcPr>
          <w:p w14:paraId="75415D8E">
            <w:pPr>
              <w:pStyle w:val="94"/>
              <w:rPr>
                <w:color w:val="auto"/>
              </w:rPr>
            </w:pPr>
            <w:r>
              <w:rPr>
                <w:color w:val="auto"/>
              </w:rPr>
              <w:t>07</w:t>
            </w:r>
          </w:p>
        </w:tc>
        <w:tc>
          <w:tcPr>
            <w:tcW w:w="1123" w:type="pct"/>
            <w:noWrap/>
            <w:vAlign w:val="center"/>
          </w:tcPr>
          <w:p w14:paraId="67AF0F23">
            <w:pPr>
              <w:pStyle w:val="94"/>
              <w:rPr>
                <w:color w:val="auto"/>
              </w:rPr>
            </w:pPr>
            <w:r>
              <w:rPr>
                <w:color w:val="auto"/>
              </w:rPr>
              <w:t>住宅用地</w:t>
            </w:r>
          </w:p>
        </w:tc>
        <w:tc>
          <w:tcPr>
            <w:tcW w:w="1027" w:type="pct"/>
            <w:noWrap/>
            <w:vAlign w:val="center"/>
          </w:tcPr>
          <w:p w14:paraId="41E4A9FA">
            <w:pPr>
              <w:pStyle w:val="94"/>
              <w:rPr>
                <w:color w:val="auto"/>
              </w:rPr>
            </w:pPr>
            <w:r>
              <w:rPr>
                <w:color w:val="auto"/>
              </w:rPr>
              <w:t>0702</w:t>
            </w:r>
          </w:p>
        </w:tc>
        <w:tc>
          <w:tcPr>
            <w:tcW w:w="927" w:type="pct"/>
            <w:noWrap/>
            <w:vAlign w:val="center"/>
          </w:tcPr>
          <w:p w14:paraId="7C59A3C0">
            <w:pPr>
              <w:pStyle w:val="94"/>
              <w:rPr>
                <w:color w:val="auto"/>
              </w:rPr>
            </w:pPr>
            <w:r>
              <w:rPr>
                <w:color w:val="auto"/>
              </w:rPr>
              <w:t>农村宅基地</w:t>
            </w:r>
          </w:p>
        </w:tc>
        <w:tc>
          <w:tcPr>
            <w:tcW w:w="616" w:type="pct"/>
            <w:noWrap/>
            <w:vAlign w:val="center"/>
          </w:tcPr>
          <w:p w14:paraId="15EBE4FA">
            <w:pPr>
              <w:pStyle w:val="94"/>
              <w:rPr>
                <w:color w:val="auto"/>
              </w:rPr>
            </w:pPr>
            <w:r>
              <w:rPr>
                <w:color w:val="auto"/>
              </w:rPr>
              <w:t xml:space="preserve">4.46 </w:t>
            </w:r>
          </w:p>
        </w:tc>
        <w:tc>
          <w:tcPr>
            <w:tcW w:w="616" w:type="pct"/>
            <w:noWrap/>
            <w:vAlign w:val="center"/>
          </w:tcPr>
          <w:p w14:paraId="15BC17C6">
            <w:pPr>
              <w:pStyle w:val="94"/>
              <w:rPr>
                <w:color w:val="auto"/>
              </w:rPr>
            </w:pPr>
            <w:r>
              <w:rPr>
                <w:color w:val="auto"/>
              </w:rPr>
              <w:t xml:space="preserve">0.85 </w:t>
            </w:r>
          </w:p>
        </w:tc>
      </w:tr>
      <w:tr w14:paraId="780948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91" w:type="pct"/>
            <w:noWrap/>
            <w:vAlign w:val="center"/>
          </w:tcPr>
          <w:p w14:paraId="5D65F55F">
            <w:pPr>
              <w:pStyle w:val="94"/>
              <w:rPr>
                <w:color w:val="auto"/>
              </w:rPr>
            </w:pPr>
            <w:r>
              <w:rPr>
                <w:color w:val="auto"/>
              </w:rPr>
              <w:t>08</w:t>
            </w:r>
          </w:p>
        </w:tc>
        <w:tc>
          <w:tcPr>
            <w:tcW w:w="1123" w:type="pct"/>
            <w:noWrap/>
            <w:vAlign w:val="center"/>
          </w:tcPr>
          <w:p w14:paraId="2B83181A">
            <w:pPr>
              <w:pStyle w:val="94"/>
              <w:rPr>
                <w:color w:val="auto"/>
              </w:rPr>
            </w:pPr>
            <w:r>
              <w:rPr>
                <w:color w:val="auto"/>
              </w:rPr>
              <w:t>公共管理与公共服务用地</w:t>
            </w:r>
          </w:p>
        </w:tc>
        <w:tc>
          <w:tcPr>
            <w:tcW w:w="1027" w:type="pct"/>
            <w:noWrap/>
            <w:vAlign w:val="center"/>
          </w:tcPr>
          <w:p w14:paraId="5F406813">
            <w:pPr>
              <w:pStyle w:val="94"/>
              <w:rPr>
                <w:color w:val="auto"/>
              </w:rPr>
            </w:pPr>
            <w:r>
              <w:rPr>
                <w:color w:val="auto"/>
              </w:rPr>
              <w:t>08H1</w:t>
            </w:r>
          </w:p>
        </w:tc>
        <w:tc>
          <w:tcPr>
            <w:tcW w:w="927" w:type="pct"/>
            <w:noWrap/>
            <w:vAlign w:val="center"/>
          </w:tcPr>
          <w:p w14:paraId="44E57772">
            <w:pPr>
              <w:pStyle w:val="94"/>
              <w:rPr>
                <w:color w:val="auto"/>
              </w:rPr>
            </w:pPr>
            <w:r>
              <w:rPr>
                <w:color w:val="auto"/>
              </w:rPr>
              <w:t>机关团体新闻出版用地</w:t>
            </w:r>
          </w:p>
        </w:tc>
        <w:tc>
          <w:tcPr>
            <w:tcW w:w="616" w:type="pct"/>
            <w:noWrap/>
            <w:vAlign w:val="center"/>
          </w:tcPr>
          <w:p w14:paraId="32242263">
            <w:pPr>
              <w:pStyle w:val="94"/>
              <w:rPr>
                <w:color w:val="auto"/>
              </w:rPr>
            </w:pPr>
            <w:r>
              <w:rPr>
                <w:color w:val="auto"/>
              </w:rPr>
              <w:t xml:space="preserve">0.09 </w:t>
            </w:r>
          </w:p>
        </w:tc>
        <w:tc>
          <w:tcPr>
            <w:tcW w:w="616" w:type="pct"/>
            <w:noWrap/>
            <w:vAlign w:val="center"/>
          </w:tcPr>
          <w:p w14:paraId="2F47FEDE">
            <w:pPr>
              <w:pStyle w:val="94"/>
              <w:rPr>
                <w:color w:val="auto"/>
              </w:rPr>
            </w:pPr>
            <w:r>
              <w:rPr>
                <w:color w:val="auto"/>
              </w:rPr>
              <w:t xml:space="preserve">0.02 </w:t>
            </w:r>
          </w:p>
        </w:tc>
      </w:tr>
      <w:tr w14:paraId="30A7F3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91" w:type="pct"/>
            <w:noWrap/>
            <w:vAlign w:val="center"/>
          </w:tcPr>
          <w:p w14:paraId="172AF195">
            <w:pPr>
              <w:pStyle w:val="94"/>
              <w:rPr>
                <w:color w:val="auto"/>
              </w:rPr>
            </w:pPr>
            <w:r>
              <w:rPr>
                <w:color w:val="auto"/>
              </w:rPr>
              <w:t>10</w:t>
            </w:r>
          </w:p>
        </w:tc>
        <w:tc>
          <w:tcPr>
            <w:tcW w:w="1123" w:type="pct"/>
            <w:noWrap/>
            <w:vAlign w:val="center"/>
          </w:tcPr>
          <w:p w14:paraId="65829F18">
            <w:pPr>
              <w:pStyle w:val="94"/>
              <w:rPr>
                <w:color w:val="auto"/>
              </w:rPr>
            </w:pPr>
            <w:r>
              <w:rPr>
                <w:color w:val="auto"/>
              </w:rPr>
              <w:t>交通运输用地</w:t>
            </w:r>
          </w:p>
        </w:tc>
        <w:tc>
          <w:tcPr>
            <w:tcW w:w="1027" w:type="pct"/>
            <w:noWrap/>
            <w:vAlign w:val="center"/>
          </w:tcPr>
          <w:p w14:paraId="5F1E3DE0">
            <w:pPr>
              <w:pStyle w:val="94"/>
              <w:rPr>
                <w:color w:val="auto"/>
              </w:rPr>
            </w:pPr>
            <w:r>
              <w:rPr>
                <w:color w:val="auto"/>
              </w:rPr>
              <w:t>1004</w:t>
            </w:r>
          </w:p>
        </w:tc>
        <w:tc>
          <w:tcPr>
            <w:tcW w:w="927" w:type="pct"/>
            <w:noWrap/>
            <w:vAlign w:val="center"/>
          </w:tcPr>
          <w:p w14:paraId="26389245">
            <w:pPr>
              <w:pStyle w:val="94"/>
              <w:rPr>
                <w:color w:val="auto"/>
              </w:rPr>
            </w:pPr>
            <w:r>
              <w:rPr>
                <w:color w:val="auto"/>
              </w:rPr>
              <w:t>城镇村道路用地</w:t>
            </w:r>
          </w:p>
        </w:tc>
        <w:tc>
          <w:tcPr>
            <w:tcW w:w="616" w:type="pct"/>
            <w:noWrap/>
            <w:vAlign w:val="center"/>
          </w:tcPr>
          <w:p w14:paraId="63501703">
            <w:pPr>
              <w:pStyle w:val="94"/>
              <w:rPr>
                <w:color w:val="auto"/>
              </w:rPr>
            </w:pPr>
            <w:r>
              <w:rPr>
                <w:color w:val="auto"/>
              </w:rPr>
              <w:t xml:space="preserve">0.18 </w:t>
            </w:r>
          </w:p>
        </w:tc>
        <w:tc>
          <w:tcPr>
            <w:tcW w:w="616" w:type="pct"/>
            <w:noWrap/>
            <w:vAlign w:val="center"/>
          </w:tcPr>
          <w:p w14:paraId="128FC5E7">
            <w:pPr>
              <w:pStyle w:val="94"/>
              <w:rPr>
                <w:color w:val="auto"/>
              </w:rPr>
            </w:pPr>
            <w:r>
              <w:rPr>
                <w:color w:val="auto"/>
              </w:rPr>
              <w:t xml:space="preserve">0.03 </w:t>
            </w:r>
          </w:p>
        </w:tc>
      </w:tr>
      <w:tr w14:paraId="14F940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91" w:type="pct"/>
            <w:noWrap/>
            <w:vAlign w:val="center"/>
          </w:tcPr>
          <w:p w14:paraId="36319102">
            <w:pPr>
              <w:pStyle w:val="94"/>
              <w:rPr>
                <w:color w:val="auto"/>
              </w:rPr>
            </w:pPr>
            <w:r>
              <w:rPr>
                <w:color w:val="auto"/>
              </w:rPr>
              <w:t>10</w:t>
            </w:r>
          </w:p>
        </w:tc>
        <w:tc>
          <w:tcPr>
            <w:tcW w:w="1123" w:type="pct"/>
            <w:noWrap/>
            <w:vAlign w:val="center"/>
          </w:tcPr>
          <w:p w14:paraId="2694C45B">
            <w:pPr>
              <w:pStyle w:val="94"/>
              <w:rPr>
                <w:color w:val="auto"/>
              </w:rPr>
            </w:pPr>
            <w:r>
              <w:rPr>
                <w:color w:val="auto"/>
              </w:rPr>
              <w:t>交通运输用地</w:t>
            </w:r>
          </w:p>
        </w:tc>
        <w:tc>
          <w:tcPr>
            <w:tcW w:w="1027" w:type="pct"/>
            <w:noWrap/>
            <w:vAlign w:val="center"/>
          </w:tcPr>
          <w:p w14:paraId="343DAD9A">
            <w:pPr>
              <w:pStyle w:val="94"/>
              <w:rPr>
                <w:color w:val="auto"/>
              </w:rPr>
            </w:pPr>
            <w:r>
              <w:rPr>
                <w:color w:val="auto"/>
              </w:rPr>
              <w:t>1003</w:t>
            </w:r>
          </w:p>
        </w:tc>
        <w:tc>
          <w:tcPr>
            <w:tcW w:w="927" w:type="pct"/>
            <w:noWrap/>
            <w:vAlign w:val="center"/>
          </w:tcPr>
          <w:p w14:paraId="3D39BEEB">
            <w:pPr>
              <w:pStyle w:val="94"/>
              <w:rPr>
                <w:color w:val="auto"/>
              </w:rPr>
            </w:pPr>
            <w:r>
              <w:rPr>
                <w:color w:val="auto"/>
              </w:rPr>
              <w:t>公路用地</w:t>
            </w:r>
          </w:p>
        </w:tc>
        <w:tc>
          <w:tcPr>
            <w:tcW w:w="616" w:type="pct"/>
            <w:noWrap/>
            <w:vAlign w:val="center"/>
          </w:tcPr>
          <w:p w14:paraId="6B5E0C45">
            <w:pPr>
              <w:pStyle w:val="94"/>
              <w:rPr>
                <w:color w:val="auto"/>
              </w:rPr>
            </w:pPr>
            <w:r>
              <w:rPr>
                <w:color w:val="auto"/>
              </w:rPr>
              <w:t xml:space="preserve">1.40 </w:t>
            </w:r>
          </w:p>
        </w:tc>
        <w:tc>
          <w:tcPr>
            <w:tcW w:w="616" w:type="pct"/>
            <w:noWrap/>
            <w:vAlign w:val="center"/>
          </w:tcPr>
          <w:p w14:paraId="1209972C">
            <w:pPr>
              <w:pStyle w:val="94"/>
              <w:rPr>
                <w:color w:val="auto"/>
              </w:rPr>
            </w:pPr>
            <w:r>
              <w:rPr>
                <w:color w:val="auto"/>
              </w:rPr>
              <w:t xml:space="preserve">0.27 </w:t>
            </w:r>
          </w:p>
        </w:tc>
      </w:tr>
      <w:tr w14:paraId="734F2A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91" w:type="pct"/>
            <w:noWrap/>
            <w:vAlign w:val="center"/>
          </w:tcPr>
          <w:p w14:paraId="3922220D">
            <w:pPr>
              <w:pStyle w:val="94"/>
              <w:rPr>
                <w:color w:val="auto"/>
              </w:rPr>
            </w:pPr>
            <w:r>
              <w:rPr>
                <w:color w:val="auto"/>
              </w:rPr>
              <w:t>10</w:t>
            </w:r>
          </w:p>
        </w:tc>
        <w:tc>
          <w:tcPr>
            <w:tcW w:w="1123" w:type="pct"/>
            <w:noWrap/>
            <w:vAlign w:val="center"/>
          </w:tcPr>
          <w:p w14:paraId="6D8127E8">
            <w:pPr>
              <w:pStyle w:val="94"/>
              <w:rPr>
                <w:color w:val="auto"/>
              </w:rPr>
            </w:pPr>
            <w:r>
              <w:rPr>
                <w:color w:val="auto"/>
              </w:rPr>
              <w:t>交通运输用地</w:t>
            </w:r>
          </w:p>
        </w:tc>
        <w:tc>
          <w:tcPr>
            <w:tcW w:w="1027" w:type="pct"/>
            <w:noWrap/>
            <w:vAlign w:val="center"/>
          </w:tcPr>
          <w:p w14:paraId="0EE4F1A9">
            <w:pPr>
              <w:pStyle w:val="94"/>
              <w:rPr>
                <w:color w:val="auto"/>
              </w:rPr>
            </w:pPr>
            <w:r>
              <w:rPr>
                <w:color w:val="auto"/>
              </w:rPr>
              <w:t>1006</w:t>
            </w:r>
          </w:p>
        </w:tc>
        <w:tc>
          <w:tcPr>
            <w:tcW w:w="927" w:type="pct"/>
            <w:noWrap/>
            <w:vAlign w:val="center"/>
          </w:tcPr>
          <w:p w14:paraId="001795F9">
            <w:pPr>
              <w:pStyle w:val="94"/>
              <w:rPr>
                <w:color w:val="auto"/>
              </w:rPr>
            </w:pPr>
            <w:r>
              <w:rPr>
                <w:color w:val="auto"/>
              </w:rPr>
              <w:t>农村道路</w:t>
            </w:r>
          </w:p>
        </w:tc>
        <w:tc>
          <w:tcPr>
            <w:tcW w:w="616" w:type="pct"/>
            <w:noWrap/>
            <w:vAlign w:val="center"/>
          </w:tcPr>
          <w:p w14:paraId="23E12011">
            <w:pPr>
              <w:pStyle w:val="94"/>
              <w:rPr>
                <w:color w:val="auto"/>
              </w:rPr>
            </w:pPr>
            <w:r>
              <w:rPr>
                <w:color w:val="auto"/>
              </w:rPr>
              <w:t xml:space="preserve">1.99 </w:t>
            </w:r>
          </w:p>
        </w:tc>
        <w:tc>
          <w:tcPr>
            <w:tcW w:w="616" w:type="pct"/>
            <w:noWrap/>
            <w:vAlign w:val="center"/>
          </w:tcPr>
          <w:p w14:paraId="0E97DEE8">
            <w:pPr>
              <w:pStyle w:val="94"/>
              <w:rPr>
                <w:color w:val="auto"/>
              </w:rPr>
            </w:pPr>
            <w:r>
              <w:rPr>
                <w:color w:val="auto"/>
              </w:rPr>
              <w:t xml:space="preserve">0.38 </w:t>
            </w:r>
          </w:p>
        </w:tc>
      </w:tr>
      <w:tr w14:paraId="6C3C8D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91" w:type="pct"/>
            <w:noWrap/>
            <w:vAlign w:val="center"/>
          </w:tcPr>
          <w:p w14:paraId="3F15778D">
            <w:pPr>
              <w:pStyle w:val="94"/>
              <w:rPr>
                <w:color w:val="auto"/>
              </w:rPr>
            </w:pPr>
            <w:r>
              <w:rPr>
                <w:color w:val="auto"/>
              </w:rPr>
              <w:t>11</w:t>
            </w:r>
          </w:p>
        </w:tc>
        <w:tc>
          <w:tcPr>
            <w:tcW w:w="1123" w:type="pct"/>
            <w:noWrap/>
            <w:vAlign w:val="center"/>
          </w:tcPr>
          <w:p w14:paraId="35983803">
            <w:pPr>
              <w:pStyle w:val="94"/>
              <w:rPr>
                <w:color w:val="auto"/>
              </w:rPr>
            </w:pPr>
            <w:r>
              <w:rPr>
                <w:color w:val="auto"/>
              </w:rPr>
              <w:t>水域及水利设施用地</w:t>
            </w:r>
          </w:p>
        </w:tc>
        <w:tc>
          <w:tcPr>
            <w:tcW w:w="1027" w:type="pct"/>
            <w:noWrap/>
            <w:vAlign w:val="center"/>
          </w:tcPr>
          <w:p w14:paraId="2BA99220">
            <w:pPr>
              <w:pStyle w:val="94"/>
              <w:rPr>
                <w:color w:val="auto"/>
              </w:rPr>
            </w:pPr>
            <w:r>
              <w:rPr>
                <w:color w:val="auto"/>
              </w:rPr>
              <w:t>1101</w:t>
            </w:r>
          </w:p>
        </w:tc>
        <w:tc>
          <w:tcPr>
            <w:tcW w:w="927" w:type="pct"/>
            <w:noWrap/>
            <w:vAlign w:val="center"/>
          </w:tcPr>
          <w:p w14:paraId="23579098">
            <w:pPr>
              <w:pStyle w:val="94"/>
              <w:rPr>
                <w:color w:val="auto"/>
              </w:rPr>
            </w:pPr>
            <w:r>
              <w:rPr>
                <w:color w:val="auto"/>
              </w:rPr>
              <w:t>河流水面</w:t>
            </w:r>
          </w:p>
        </w:tc>
        <w:tc>
          <w:tcPr>
            <w:tcW w:w="616" w:type="pct"/>
            <w:noWrap/>
            <w:vAlign w:val="center"/>
          </w:tcPr>
          <w:p w14:paraId="7152EF2F">
            <w:pPr>
              <w:pStyle w:val="94"/>
              <w:rPr>
                <w:color w:val="auto"/>
              </w:rPr>
            </w:pPr>
            <w:r>
              <w:rPr>
                <w:color w:val="auto"/>
              </w:rPr>
              <w:t xml:space="preserve">1.04 </w:t>
            </w:r>
          </w:p>
        </w:tc>
        <w:tc>
          <w:tcPr>
            <w:tcW w:w="616" w:type="pct"/>
            <w:noWrap/>
            <w:vAlign w:val="center"/>
          </w:tcPr>
          <w:p w14:paraId="15AEC15B">
            <w:pPr>
              <w:pStyle w:val="94"/>
              <w:rPr>
                <w:color w:val="auto"/>
              </w:rPr>
            </w:pPr>
            <w:r>
              <w:rPr>
                <w:color w:val="auto"/>
              </w:rPr>
              <w:t xml:space="preserve">0.20 </w:t>
            </w:r>
          </w:p>
        </w:tc>
      </w:tr>
      <w:tr w14:paraId="0B3CA6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91" w:type="pct"/>
            <w:noWrap/>
            <w:vAlign w:val="center"/>
          </w:tcPr>
          <w:p w14:paraId="6A0BB3B1">
            <w:pPr>
              <w:pStyle w:val="94"/>
              <w:rPr>
                <w:color w:val="auto"/>
              </w:rPr>
            </w:pPr>
            <w:r>
              <w:rPr>
                <w:color w:val="auto"/>
              </w:rPr>
              <w:t>11</w:t>
            </w:r>
          </w:p>
        </w:tc>
        <w:tc>
          <w:tcPr>
            <w:tcW w:w="1123" w:type="pct"/>
            <w:noWrap/>
            <w:vAlign w:val="center"/>
          </w:tcPr>
          <w:p w14:paraId="5DF9869C">
            <w:pPr>
              <w:pStyle w:val="94"/>
              <w:rPr>
                <w:color w:val="auto"/>
              </w:rPr>
            </w:pPr>
            <w:r>
              <w:rPr>
                <w:color w:val="auto"/>
              </w:rPr>
              <w:t>水域及水利设施用地</w:t>
            </w:r>
          </w:p>
        </w:tc>
        <w:tc>
          <w:tcPr>
            <w:tcW w:w="1027" w:type="pct"/>
            <w:noWrap/>
            <w:vAlign w:val="center"/>
          </w:tcPr>
          <w:p w14:paraId="48ADEB6F">
            <w:pPr>
              <w:pStyle w:val="94"/>
              <w:rPr>
                <w:color w:val="auto"/>
              </w:rPr>
            </w:pPr>
            <w:r>
              <w:rPr>
                <w:color w:val="auto"/>
              </w:rPr>
              <w:t>1106</w:t>
            </w:r>
          </w:p>
        </w:tc>
        <w:tc>
          <w:tcPr>
            <w:tcW w:w="927" w:type="pct"/>
            <w:noWrap/>
            <w:vAlign w:val="center"/>
          </w:tcPr>
          <w:p w14:paraId="532DD638">
            <w:pPr>
              <w:pStyle w:val="94"/>
              <w:rPr>
                <w:color w:val="auto"/>
              </w:rPr>
            </w:pPr>
            <w:r>
              <w:rPr>
                <w:color w:val="auto"/>
              </w:rPr>
              <w:t>内陆滩涂</w:t>
            </w:r>
          </w:p>
        </w:tc>
        <w:tc>
          <w:tcPr>
            <w:tcW w:w="616" w:type="pct"/>
            <w:noWrap/>
            <w:vAlign w:val="center"/>
          </w:tcPr>
          <w:p w14:paraId="207FF478">
            <w:pPr>
              <w:pStyle w:val="94"/>
              <w:rPr>
                <w:color w:val="auto"/>
              </w:rPr>
            </w:pPr>
            <w:r>
              <w:rPr>
                <w:color w:val="auto"/>
              </w:rPr>
              <w:t xml:space="preserve">0.70 </w:t>
            </w:r>
          </w:p>
        </w:tc>
        <w:tc>
          <w:tcPr>
            <w:tcW w:w="616" w:type="pct"/>
            <w:noWrap/>
            <w:vAlign w:val="center"/>
          </w:tcPr>
          <w:p w14:paraId="67D25611">
            <w:pPr>
              <w:pStyle w:val="94"/>
              <w:rPr>
                <w:color w:val="auto"/>
              </w:rPr>
            </w:pPr>
            <w:r>
              <w:rPr>
                <w:color w:val="auto"/>
              </w:rPr>
              <w:t xml:space="preserve">0.13 </w:t>
            </w:r>
          </w:p>
        </w:tc>
      </w:tr>
      <w:tr w14:paraId="4B9F17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91" w:type="pct"/>
            <w:noWrap/>
            <w:vAlign w:val="center"/>
          </w:tcPr>
          <w:p w14:paraId="30BA9BA2">
            <w:pPr>
              <w:pStyle w:val="94"/>
              <w:rPr>
                <w:color w:val="auto"/>
              </w:rPr>
            </w:pPr>
            <w:r>
              <w:rPr>
                <w:color w:val="auto"/>
              </w:rPr>
              <w:t>12</w:t>
            </w:r>
          </w:p>
        </w:tc>
        <w:tc>
          <w:tcPr>
            <w:tcW w:w="1123" w:type="pct"/>
            <w:noWrap/>
            <w:vAlign w:val="center"/>
          </w:tcPr>
          <w:p w14:paraId="01F17311">
            <w:pPr>
              <w:pStyle w:val="94"/>
              <w:rPr>
                <w:color w:val="auto"/>
              </w:rPr>
            </w:pPr>
            <w:r>
              <w:rPr>
                <w:color w:val="auto"/>
              </w:rPr>
              <w:t>其他土地</w:t>
            </w:r>
          </w:p>
        </w:tc>
        <w:tc>
          <w:tcPr>
            <w:tcW w:w="1027" w:type="pct"/>
            <w:noWrap/>
            <w:vAlign w:val="center"/>
          </w:tcPr>
          <w:p w14:paraId="26D80528">
            <w:pPr>
              <w:pStyle w:val="94"/>
              <w:rPr>
                <w:color w:val="auto"/>
              </w:rPr>
            </w:pPr>
            <w:r>
              <w:rPr>
                <w:color w:val="auto"/>
              </w:rPr>
              <w:t>1207</w:t>
            </w:r>
          </w:p>
        </w:tc>
        <w:tc>
          <w:tcPr>
            <w:tcW w:w="927" w:type="pct"/>
            <w:noWrap/>
            <w:vAlign w:val="center"/>
          </w:tcPr>
          <w:p w14:paraId="484A88EE">
            <w:pPr>
              <w:pStyle w:val="94"/>
              <w:rPr>
                <w:color w:val="auto"/>
              </w:rPr>
            </w:pPr>
            <w:r>
              <w:rPr>
                <w:color w:val="auto"/>
              </w:rPr>
              <w:t>裸岩石砾地</w:t>
            </w:r>
          </w:p>
        </w:tc>
        <w:tc>
          <w:tcPr>
            <w:tcW w:w="616" w:type="pct"/>
            <w:noWrap/>
            <w:vAlign w:val="center"/>
          </w:tcPr>
          <w:p w14:paraId="6E73E22F">
            <w:pPr>
              <w:pStyle w:val="94"/>
              <w:rPr>
                <w:color w:val="auto"/>
              </w:rPr>
            </w:pPr>
            <w:r>
              <w:rPr>
                <w:color w:val="auto"/>
              </w:rPr>
              <w:t xml:space="preserve">46.31 </w:t>
            </w:r>
          </w:p>
        </w:tc>
        <w:tc>
          <w:tcPr>
            <w:tcW w:w="616" w:type="pct"/>
            <w:noWrap/>
            <w:vAlign w:val="center"/>
          </w:tcPr>
          <w:p w14:paraId="6EB9091A">
            <w:pPr>
              <w:pStyle w:val="94"/>
              <w:rPr>
                <w:color w:val="auto"/>
              </w:rPr>
            </w:pPr>
            <w:r>
              <w:rPr>
                <w:color w:val="auto"/>
              </w:rPr>
              <w:t xml:space="preserve">8.81 </w:t>
            </w:r>
          </w:p>
        </w:tc>
      </w:tr>
      <w:tr w14:paraId="67207E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768" w:type="pct"/>
            <w:gridSpan w:val="4"/>
            <w:noWrap/>
            <w:vAlign w:val="center"/>
          </w:tcPr>
          <w:p w14:paraId="314895AD">
            <w:pPr>
              <w:pStyle w:val="94"/>
              <w:rPr>
                <w:color w:val="auto"/>
              </w:rPr>
            </w:pPr>
            <w:r>
              <w:rPr>
                <w:rFonts w:hint="eastAsia"/>
                <w:color w:val="auto"/>
              </w:rPr>
              <w:t>合计</w:t>
            </w:r>
          </w:p>
        </w:tc>
        <w:tc>
          <w:tcPr>
            <w:tcW w:w="616" w:type="pct"/>
            <w:noWrap/>
            <w:vAlign w:val="center"/>
          </w:tcPr>
          <w:p w14:paraId="48A2EB82">
            <w:pPr>
              <w:pStyle w:val="94"/>
              <w:rPr>
                <w:color w:val="auto"/>
              </w:rPr>
            </w:pPr>
            <w:r>
              <w:rPr>
                <w:color w:val="auto"/>
              </w:rPr>
              <w:t xml:space="preserve">525.49 </w:t>
            </w:r>
          </w:p>
        </w:tc>
        <w:tc>
          <w:tcPr>
            <w:tcW w:w="616" w:type="pct"/>
            <w:noWrap/>
            <w:vAlign w:val="center"/>
          </w:tcPr>
          <w:p w14:paraId="2D31B604">
            <w:pPr>
              <w:pStyle w:val="94"/>
              <w:rPr>
                <w:color w:val="auto"/>
              </w:rPr>
            </w:pPr>
            <w:r>
              <w:rPr>
                <w:color w:val="auto"/>
              </w:rPr>
              <w:t xml:space="preserve">100.00 </w:t>
            </w:r>
          </w:p>
        </w:tc>
      </w:tr>
    </w:tbl>
    <w:p w14:paraId="64A13C60">
      <w:pPr>
        <w:pStyle w:val="19"/>
        <w:keepNext/>
      </w:pPr>
      <w:bookmarkStart w:id="142" w:name="_Ref169018003"/>
      <w:r>
        <w:t xml:space="preserve">表 </w:t>
      </w:r>
      <w:r>
        <w:fldChar w:fldCharType="begin"/>
      </w:r>
      <w:r>
        <w:instrText xml:space="preserve"> SEQ 表 \* ARABIC </w:instrText>
      </w:r>
      <w:r>
        <w:fldChar w:fldCharType="separate"/>
      </w:r>
      <w:r>
        <w:t>50</w:t>
      </w:r>
      <w:r>
        <w:fldChar w:fldCharType="end"/>
      </w:r>
      <w:bookmarkEnd w:id="141"/>
      <w:bookmarkEnd w:id="142"/>
      <w:r>
        <w:rPr>
          <w:rFonts w:hint="eastAsia"/>
        </w:rPr>
        <w:t>项目占地范围内土地利用现状统计表</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26"/>
        <w:gridCol w:w="1803"/>
        <w:gridCol w:w="1624"/>
        <w:gridCol w:w="1461"/>
        <w:gridCol w:w="1461"/>
        <w:gridCol w:w="1604"/>
        <w:gridCol w:w="1603"/>
      </w:tblGrid>
      <w:tr w14:paraId="204152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27" w:type="pct"/>
            <w:noWrap/>
            <w:vAlign w:val="center"/>
          </w:tcPr>
          <w:p w14:paraId="18962D35">
            <w:pPr>
              <w:pStyle w:val="94"/>
              <w:rPr>
                <w:color w:val="auto"/>
              </w:rPr>
            </w:pPr>
            <w:r>
              <w:rPr>
                <w:rFonts w:hint="eastAsia"/>
                <w:color w:val="auto"/>
              </w:rPr>
              <w:t>名称</w:t>
            </w:r>
          </w:p>
        </w:tc>
        <w:tc>
          <w:tcPr>
            <w:tcW w:w="844" w:type="pct"/>
            <w:noWrap/>
            <w:vAlign w:val="center"/>
          </w:tcPr>
          <w:p w14:paraId="5451072B">
            <w:pPr>
              <w:pStyle w:val="94"/>
              <w:rPr>
                <w:rFonts w:ascii="Arial" w:hAnsi="Arial"/>
                <w:color w:val="auto"/>
              </w:rPr>
            </w:pPr>
            <w:r>
              <w:rPr>
                <w:rFonts w:ascii="Arial" w:hAnsi="Arial"/>
                <w:color w:val="auto"/>
              </w:rPr>
              <w:t>一级类编码</w:t>
            </w:r>
          </w:p>
        </w:tc>
        <w:tc>
          <w:tcPr>
            <w:tcW w:w="760" w:type="pct"/>
            <w:noWrap/>
            <w:vAlign w:val="center"/>
          </w:tcPr>
          <w:p w14:paraId="438CF04F">
            <w:pPr>
              <w:pStyle w:val="94"/>
              <w:rPr>
                <w:rFonts w:ascii="Arial" w:hAnsi="Arial"/>
                <w:color w:val="auto"/>
              </w:rPr>
            </w:pPr>
            <w:r>
              <w:rPr>
                <w:rFonts w:ascii="Arial" w:hAnsi="Arial"/>
                <w:color w:val="auto"/>
              </w:rPr>
              <w:t>一级类名称</w:t>
            </w:r>
          </w:p>
        </w:tc>
        <w:tc>
          <w:tcPr>
            <w:tcW w:w="684" w:type="pct"/>
            <w:noWrap/>
            <w:vAlign w:val="center"/>
          </w:tcPr>
          <w:p w14:paraId="10EBF1ED">
            <w:pPr>
              <w:pStyle w:val="94"/>
              <w:rPr>
                <w:rFonts w:ascii="Arial" w:hAnsi="Arial"/>
                <w:color w:val="auto"/>
              </w:rPr>
            </w:pPr>
            <w:r>
              <w:rPr>
                <w:rFonts w:ascii="Arial" w:hAnsi="Arial"/>
                <w:color w:val="auto"/>
              </w:rPr>
              <w:t>二级类编码</w:t>
            </w:r>
          </w:p>
        </w:tc>
        <w:tc>
          <w:tcPr>
            <w:tcW w:w="684" w:type="pct"/>
            <w:noWrap/>
            <w:vAlign w:val="center"/>
          </w:tcPr>
          <w:p w14:paraId="46ACC1CD">
            <w:pPr>
              <w:pStyle w:val="94"/>
              <w:rPr>
                <w:rFonts w:ascii="Arial" w:hAnsi="Arial"/>
                <w:color w:val="auto"/>
              </w:rPr>
            </w:pPr>
            <w:r>
              <w:rPr>
                <w:rFonts w:ascii="Arial" w:hAnsi="Arial"/>
                <w:color w:val="auto"/>
              </w:rPr>
              <w:t>二级类名称</w:t>
            </w:r>
          </w:p>
        </w:tc>
        <w:tc>
          <w:tcPr>
            <w:tcW w:w="751" w:type="pct"/>
            <w:noWrap/>
            <w:vAlign w:val="center"/>
          </w:tcPr>
          <w:p w14:paraId="6C93B1DB">
            <w:pPr>
              <w:pStyle w:val="94"/>
              <w:rPr>
                <w:color w:val="auto"/>
              </w:rPr>
            </w:pPr>
            <w:r>
              <w:rPr>
                <w:rFonts w:hint="eastAsia"/>
                <w:color w:val="auto"/>
              </w:rPr>
              <w:t>面积ha</w:t>
            </w:r>
          </w:p>
        </w:tc>
        <w:tc>
          <w:tcPr>
            <w:tcW w:w="751" w:type="pct"/>
            <w:noWrap/>
            <w:vAlign w:val="center"/>
          </w:tcPr>
          <w:p w14:paraId="791B1D56">
            <w:pPr>
              <w:pStyle w:val="94"/>
              <w:rPr>
                <w:color w:val="auto"/>
              </w:rPr>
            </w:pPr>
            <w:r>
              <w:rPr>
                <w:rFonts w:hint="eastAsia"/>
                <w:color w:val="auto"/>
              </w:rPr>
              <w:t>占比%</w:t>
            </w:r>
          </w:p>
        </w:tc>
      </w:tr>
      <w:tr w14:paraId="4A470B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27" w:type="pct"/>
            <w:vMerge w:val="restart"/>
            <w:noWrap/>
            <w:vAlign w:val="center"/>
          </w:tcPr>
          <w:p w14:paraId="0518CF23">
            <w:pPr>
              <w:pStyle w:val="94"/>
              <w:rPr>
                <w:rFonts w:ascii="Arial" w:hAnsi="Arial"/>
                <w:color w:val="auto"/>
              </w:rPr>
            </w:pPr>
            <w:r>
              <w:rPr>
                <w:rFonts w:ascii="Arial" w:hAnsi="Arial"/>
                <w:color w:val="auto"/>
              </w:rPr>
              <w:t>井场</w:t>
            </w:r>
          </w:p>
        </w:tc>
        <w:tc>
          <w:tcPr>
            <w:tcW w:w="844" w:type="pct"/>
            <w:noWrap/>
            <w:vAlign w:val="center"/>
          </w:tcPr>
          <w:p w14:paraId="23CF196E">
            <w:pPr>
              <w:pStyle w:val="94"/>
              <w:rPr>
                <w:color w:val="auto"/>
              </w:rPr>
            </w:pPr>
            <w:r>
              <w:rPr>
                <w:color w:val="auto"/>
              </w:rPr>
              <w:t>10</w:t>
            </w:r>
          </w:p>
        </w:tc>
        <w:tc>
          <w:tcPr>
            <w:tcW w:w="760" w:type="pct"/>
            <w:noWrap/>
            <w:vAlign w:val="center"/>
          </w:tcPr>
          <w:p w14:paraId="5B0F4EC7">
            <w:pPr>
              <w:pStyle w:val="94"/>
              <w:rPr>
                <w:rFonts w:ascii="Arial" w:hAnsi="Arial"/>
                <w:color w:val="auto"/>
              </w:rPr>
            </w:pPr>
            <w:r>
              <w:rPr>
                <w:rFonts w:ascii="Arial" w:hAnsi="Arial"/>
                <w:color w:val="auto"/>
              </w:rPr>
              <w:t>交通运输用地</w:t>
            </w:r>
          </w:p>
        </w:tc>
        <w:tc>
          <w:tcPr>
            <w:tcW w:w="684" w:type="pct"/>
            <w:noWrap/>
            <w:vAlign w:val="center"/>
          </w:tcPr>
          <w:p w14:paraId="754DFC82">
            <w:pPr>
              <w:pStyle w:val="94"/>
              <w:rPr>
                <w:color w:val="auto"/>
              </w:rPr>
            </w:pPr>
            <w:r>
              <w:rPr>
                <w:color w:val="auto"/>
              </w:rPr>
              <w:t>1003</w:t>
            </w:r>
          </w:p>
        </w:tc>
        <w:tc>
          <w:tcPr>
            <w:tcW w:w="684" w:type="pct"/>
            <w:noWrap/>
            <w:vAlign w:val="center"/>
          </w:tcPr>
          <w:p w14:paraId="4BDD0DB9">
            <w:pPr>
              <w:pStyle w:val="94"/>
              <w:rPr>
                <w:rFonts w:ascii="Arial" w:hAnsi="Arial"/>
                <w:color w:val="auto"/>
              </w:rPr>
            </w:pPr>
            <w:r>
              <w:rPr>
                <w:rFonts w:ascii="Arial" w:hAnsi="Arial"/>
                <w:color w:val="auto"/>
              </w:rPr>
              <w:t>公路用地</w:t>
            </w:r>
          </w:p>
        </w:tc>
        <w:tc>
          <w:tcPr>
            <w:tcW w:w="751" w:type="pct"/>
            <w:noWrap/>
            <w:vAlign w:val="center"/>
          </w:tcPr>
          <w:p w14:paraId="7A644DD7">
            <w:pPr>
              <w:pStyle w:val="94"/>
              <w:rPr>
                <w:color w:val="auto"/>
              </w:rPr>
            </w:pPr>
            <w:r>
              <w:rPr>
                <w:color w:val="auto"/>
              </w:rPr>
              <w:t xml:space="preserve">0.06 </w:t>
            </w:r>
          </w:p>
        </w:tc>
        <w:tc>
          <w:tcPr>
            <w:tcW w:w="751" w:type="pct"/>
            <w:noWrap/>
            <w:vAlign w:val="center"/>
          </w:tcPr>
          <w:p w14:paraId="750B36ED">
            <w:pPr>
              <w:pStyle w:val="94"/>
              <w:rPr>
                <w:color w:val="auto"/>
              </w:rPr>
            </w:pPr>
            <w:r>
              <w:rPr>
                <w:color w:val="auto"/>
              </w:rPr>
              <w:t xml:space="preserve">0.26 </w:t>
            </w:r>
          </w:p>
        </w:tc>
      </w:tr>
      <w:tr w14:paraId="27AFB0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27" w:type="pct"/>
            <w:vMerge w:val="continue"/>
            <w:vAlign w:val="center"/>
          </w:tcPr>
          <w:p w14:paraId="229D5C85">
            <w:pPr>
              <w:pStyle w:val="94"/>
              <w:rPr>
                <w:rFonts w:ascii="Arial" w:hAnsi="Arial"/>
                <w:color w:val="auto"/>
              </w:rPr>
            </w:pPr>
          </w:p>
        </w:tc>
        <w:tc>
          <w:tcPr>
            <w:tcW w:w="844" w:type="pct"/>
            <w:noWrap/>
            <w:vAlign w:val="center"/>
          </w:tcPr>
          <w:p w14:paraId="09F31D02">
            <w:pPr>
              <w:pStyle w:val="94"/>
              <w:rPr>
                <w:color w:val="auto"/>
              </w:rPr>
            </w:pPr>
            <w:r>
              <w:rPr>
                <w:color w:val="auto"/>
              </w:rPr>
              <w:t>03</w:t>
            </w:r>
          </w:p>
        </w:tc>
        <w:tc>
          <w:tcPr>
            <w:tcW w:w="760" w:type="pct"/>
            <w:noWrap/>
            <w:vAlign w:val="center"/>
          </w:tcPr>
          <w:p w14:paraId="4EAC7C2A">
            <w:pPr>
              <w:pStyle w:val="94"/>
              <w:rPr>
                <w:rFonts w:ascii="Arial" w:hAnsi="Arial"/>
                <w:color w:val="auto"/>
              </w:rPr>
            </w:pPr>
            <w:r>
              <w:rPr>
                <w:rFonts w:ascii="Arial" w:hAnsi="Arial"/>
                <w:color w:val="auto"/>
              </w:rPr>
              <w:t>林地</w:t>
            </w:r>
          </w:p>
        </w:tc>
        <w:tc>
          <w:tcPr>
            <w:tcW w:w="684" w:type="pct"/>
            <w:noWrap/>
            <w:vAlign w:val="center"/>
          </w:tcPr>
          <w:p w14:paraId="4A243811">
            <w:pPr>
              <w:pStyle w:val="94"/>
              <w:rPr>
                <w:color w:val="auto"/>
              </w:rPr>
            </w:pPr>
            <w:r>
              <w:rPr>
                <w:color w:val="auto"/>
              </w:rPr>
              <w:t>0305</w:t>
            </w:r>
          </w:p>
        </w:tc>
        <w:tc>
          <w:tcPr>
            <w:tcW w:w="684" w:type="pct"/>
            <w:noWrap/>
            <w:vAlign w:val="center"/>
          </w:tcPr>
          <w:p w14:paraId="6A87B1B9">
            <w:pPr>
              <w:pStyle w:val="94"/>
              <w:rPr>
                <w:rFonts w:ascii="Arial" w:hAnsi="Arial"/>
                <w:color w:val="auto"/>
              </w:rPr>
            </w:pPr>
            <w:r>
              <w:rPr>
                <w:rFonts w:ascii="Arial" w:hAnsi="Arial"/>
                <w:color w:val="auto"/>
              </w:rPr>
              <w:t>灌木林地</w:t>
            </w:r>
          </w:p>
        </w:tc>
        <w:tc>
          <w:tcPr>
            <w:tcW w:w="751" w:type="pct"/>
            <w:noWrap/>
            <w:vAlign w:val="center"/>
          </w:tcPr>
          <w:p w14:paraId="72BA0655">
            <w:pPr>
              <w:pStyle w:val="94"/>
              <w:rPr>
                <w:color w:val="auto"/>
              </w:rPr>
            </w:pPr>
            <w:r>
              <w:rPr>
                <w:color w:val="auto"/>
              </w:rPr>
              <w:t xml:space="preserve">0.18 </w:t>
            </w:r>
          </w:p>
        </w:tc>
        <w:tc>
          <w:tcPr>
            <w:tcW w:w="751" w:type="pct"/>
            <w:noWrap/>
            <w:vAlign w:val="center"/>
          </w:tcPr>
          <w:p w14:paraId="6591DBF2">
            <w:pPr>
              <w:pStyle w:val="94"/>
              <w:rPr>
                <w:color w:val="auto"/>
              </w:rPr>
            </w:pPr>
            <w:r>
              <w:rPr>
                <w:color w:val="auto"/>
              </w:rPr>
              <w:t xml:space="preserve">0.83 </w:t>
            </w:r>
          </w:p>
        </w:tc>
      </w:tr>
      <w:tr w14:paraId="50D373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27" w:type="pct"/>
            <w:vMerge w:val="continue"/>
            <w:vAlign w:val="center"/>
          </w:tcPr>
          <w:p w14:paraId="1A12F352">
            <w:pPr>
              <w:pStyle w:val="94"/>
              <w:rPr>
                <w:rFonts w:ascii="Arial" w:hAnsi="Arial"/>
                <w:color w:val="auto"/>
              </w:rPr>
            </w:pPr>
          </w:p>
        </w:tc>
        <w:tc>
          <w:tcPr>
            <w:tcW w:w="844" w:type="pct"/>
            <w:noWrap/>
            <w:vAlign w:val="center"/>
          </w:tcPr>
          <w:p w14:paraId="640D5BF1">
            <w:pPr>
              <w:pStyle w:val="94"/>
              <w:rPr>
                <w:color w:val="auto"/>
              </w:rPr>
            </w:pPr>
            <w:r>
              <w:rPr>
                <w:color w:val="auto"/>
              </w:rPr>
              <w:t>02</w:t>
            </w:r>
          </w:p>
        </w:tc>
        <w:tc>
          <w:tcPr>
            <w:tcW w:w="760" w:type="pct"/>
            <w:noWrap/>
            <w:vAlign w:val="center"/>
          </w:tcPr>
          <w:p w14:paraId="6F8D0D81">
            <w:pPr>
              <w:pStyle w:val="94"/>
              <w:rPr>
                <w:rFonts w:ascii="Arial" w:hAnsi="Arial"/>
                <w:color w:val="auto"/>
              </w:rPr>
            </w:pPr>
            <w:r>
              <w:rPr>
                <w:rFonts w:ascii="Arial" w:hAnsi="Arial"/>
                <w:color w:val="auto"/>
              </w:rPr>
              <w:t>园地</w:t>
            </w:r>
          </w:p>
        </w:tc>
        <w:tc>
          <w:tcPr>
            <w:tcW w:w="684" w:type="pct"/>
            <w:noWrap/>
            <w:vAlign w:val="center"/>
          </w:tcPr>
          <w:p w14:paraId="114C0FB8">
            <w:pPr>
              <w:pStyle w:val="94"/>
              <w:rPr>
                <w:color w:val="auto"/>
              </w:rPr>
            </w:pPr>
            <w:r>
              <w:rPr>
                <w:color w:val="auto"/>
              </w:rPr>
              <w:t>0201</w:t>
            </w:r>
          </w:p>
        </w:tc>
        <w:tc>
          <w:tcPr>
            <w:tcW w:w="684" w:type="pct"/>
            <w:noWrap/>
            <w:vAlign w:val="center"/>
          </w:tcPr>
          <w:p w14:paraId="2E03B114">
            <w:pPr>
              <w:pStyle w:val="94"/>
              <w:rPr>
                <w:rFonts w:ascii="Arial" w:hAnsi="Arial"/>
                <w:color w:val="auto"/>
              </w:rPr>
            </w:pPr>
            <w:r>
              <w:rPr>
                <w:rFonts w:ascii="Arial" w:hAnsi="Arial"/>
                <w:color w:val="auto"/>
              </w:rPr>
              <w:t>果园</w:t>
            </w:r>
          </w:p>
        </w:tc>
        <w:tc>
          <w:tcPr>
            <w:tcW w:w="751" w:type="pct"/>
            <w:noWrap/>
            <w:vAlign w:val="center"/>
          </w:tcPr>
          <w:p w14:paraId="5EAD1EAF">
            <w:pPr>
              <w:pStyle w:val="94"/>
              <w:rPr>
                <w:color w:val="auto"/>
              </w:rPr>
            </w:pPr>
            <w:r>
              <w:rPr>
                <w:color w:val="auto"/>
              </w:rPr>
              <w:t xml:space="preserve">1.62 </w:t>
            </w:r>
          </w:p>
        </w:tc>
        <w:tc>
          <w:tcPr>
            <w:tcW w:w="751" w:type="pct"/>
            <w:noWrap/>
            <w:vAlign w:val="center"/>
          </w:tcPr>
          <w:p w14:paraId="327F1849">
            <w:pPr>
              <w:pStyle w:val="94"/>
              <w:rPr>
                <w:color w:val="auto"/>
              </w:rPr>
            </w:pPr>
            <w:r>
              <w:rPr>
                <w:color w:val="auto"/>
              </w:rPr>
              <w:t xml:space="preserve">7.48 </w:t>
            </w:r>
          </w:p>
        </w:tc>
      </w:tr>
      <w:tr w14:paraId="5798C1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27" w:type="pct"/>
            <w:vMerge w:val="continue"/>
            <w:vAlign w:val="center"/>
          </w:tcPr>
          <w:p w14:paraId="5B120E0D">
            <w:pPr>
              <w:pStyle w:val="94"/>
              <w:rPr>
                <w:rFonts w:ascii="Arial" w:hAnsi="Arial"/>
                <w:color w:val="auto"/>
              </w:rPr>
            </w:pPr>
          </w:p>
        </w:tc>
        <w:tc>
          <w:tcPr>
            <w:tcW w:w="844" w:type="pct"/>
            <w:noWrap/>
            <w:vAlign w:val="center"/>
          </w:tcPr>
          <w:p w14:paraId="5EB1FE35">
            <w:pPr>
              <w:pStyle w:val="94"/>
              <w:rPr>
                <w:color w:val="auto"/>
              </w:rPr>
            </w:pPr>
            <w:r>
              <w:rPr>
                <w:color w:val="auto"/>
              </w:rPr>
              <w:t>01</w:t>
            </w:r>
          </w:p>
        </w:tc>
        <w:tc>
          <w:tcPr>
            <w:tcW w:w="760" w:type="pct"/>
            <w:noWrap/>
            <w:vAlign w:val="center"/>
          </w:tcPr>
          <w:p w14:paraId="6D723043">
            <w:pPr>
              <w:pStyle w:val="94"/>
              <w:rPr>
                <w:rFonts w:ascii="Arial" w:hAnsi="Arial"/>
                <w:color w:val="auto"/>
              </w:rPr>
            </w:pPr>
            <w:r>
              <w:rPr>
                <w:rFonts w:ascii="Arial" w:hAnsi="Arial"/>
                <w:color w:val="auto"/>
              </w:rPr>
              <w:t>耕地</w:t>
            </w:r>
          </w:p>
        </w:tc>
        <w:tc>
          <w:tcPr>
            <w:tcW w:w="684" w:type="pct"/>
            <w:noWrap/>
            <w:vAlign w:val="center"/>
          </w:tcPr>
          <w:p w14:paraId="50B26197">
            <w:pPr>
              <w:pStyle w:val="94"/>
              <w:rPr>
                <w:color w:val="auto"/>
              </w:rPr>
            </w:pPr>
            <w:r>
              <w:rPr>
                <w:color w:val="auto"/>
              </w:rPr>
              <w:t>0103</w:t>
            </w:r>
          </w:p>
        </w:tc>
        <w:tc>
          <w:tcPr>
            <w:tcW w:w="684" w:type="pct"/>
            <w:noWrap/>
            <w:vAlign w:val="center"/>
          </w:tcPr>
          <w:p w14:paraId="6656C362">
            <w:pPr>
              <w:pStyle w:val="94"/>
              <w:rPr>
                <w:rFonts w:ascii="Arial" w:hAnsi="Arial"/>
                <w:color w:val="auto"/>
              </w:rPr>
            </w:pPr>
            <w:r>
              <w:rPr>
                <w:rFonts w:ascii="Arial" w:hAnsi="Arial"/>
                <w:color w:val="auto"/>
              </w:rPr>
              <w:t>旱地</w:t>
            </w:r>
          </w:p>
        </w:tc>
        <w:tc>
          <w:tcPr>
            <w:tcW w:w="751" w:type="pct"/>
            <w:noWrap/>
            <w:vAlign w:val="center"/>
          </w:tcPr>
          <w:p w14:paraId="2992652A">
            <w:pPr>
              <w:pStyle w:val="94"/>
              <w:rPr>
                <w:color w:val="auto"/>
              </w:rPr>
            </w:pPr>
            <w:r>
              <w:rPr>
                <w:color w:val="auto"/>
              </w:rPr>
              <w:t xml:space="preserve">6.68 </w:t>
            </w:r>
          </w:p>
        </w:tc>
        <w:tc>
          <w:tcPr>
            <w:tcW w:w="751" w:type="pct"/>
            <w:noWrap/>
            <w:vAlign w:val="center"/>
          </w:tcPr>
          <w:p w14:paraId="703FB893">
            <w:pPr>
              <w:pStyle w:val="94"/>
              <w:rPr>
                <w:color w:val="auto"/>
              </w:rPr>
            </w:pPr>
            <w:r>
              <w:rPr>
                <w:color w:val="auto"/>
              </w:rPr>
              <w:t xml:space="preserve">30.81 </w:t>
            </w:r>
          </w:p>
        </w:tc>
      </w:tr>
      <w:tr w14:paraId="1193DA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27" w:type="pct"/>
            <w:vMerge w:val="continue"/>
            <w:vAlign w:val="center"/>
          </w:tcPr>
          <w:p w14:paraId="1A4C2296">
            <w:pPr>
              <w:pStyle w:val="94"/>
              <w:rPr>
                <w:rFonts w:ascii="Arial" w:hAnsi="Arial"/>
                <w:color w:val="auto"/>
              </w:rPr>
            </w:pPr>
          </w:p>
        </w:tc>
        <w:tc>
          <w:tcPr>
            <w:tcW w:w="844" w:type="pct"/>
            <w:noWrap/>
            <w:vAlign w:val="center"/>
          </w:tcPr>
          <w:p w14:paraId="75D78232">
            <w:pPr>
              <w:pStyle w:val="94"/>
              <w:rPr>
                <w:color w:val="auto"/>
              </w:rPr>
            </w:pPr>
            <w:r>
              <w:rPr>
                <w:color w:val="auto"/>
              </w:rPr>
              <w:t>12</w:t>
            </w:r>
          </w:p>
        </w:tc>
        <w:tc>
          <w:tcPr>
            <w:tcW w:w="760" w:type="pct"/>
            <w:noWrap/>
            <w:vAlign w:val="center"/>
          </w:tcPr>
          <w:p w14:paraId="67AAB0B9">
            <w:pPr>
              <w:pStyle w:val="94"/>
              <w:rPr>
                <w:rFonts w:ascii="Arial" w:hAnsi="Arial"/>
                <w:color w:val="auto"/>
              </w:rPr>
            </w:pPr>
            <w:r>
              <w:rPr>
                <w:rFonts w:ascii="Arial" w:hAnsi="Arial"/>
                <w:color w:val="auto"/>
              </w:rPr>
              <w:t>其他土地</w:t>
            </w:r>
          </w:p>
        </w:tc>
        <w:tc>
          <w:tcPr>
            <w:tcW w:w="684" w:type="pct"/>
            <w:noWrap/>
            <w:vAlign w:val="center"/>
          </w:tcPr>
          <w:p w14:paraId="1A4A8D17">
            <w:pPr>
              <w:pStyle w:val="94"/>
              <w:rPr>
                <w:color w:val="auto"/>
              </w:rPr>
            </w:pPr>
            <w:r>
              <w:rPr>
                <w:color w:val="auto"/>
              </w:rPr>
              <w:t>1207</w:t>
            </w:r>
          </w:p>
        </w:tc>
        <w:tc>
          <w:tcPr>
            <w:tcW w:w="684" w:type="pct"/>
            <w:noWrap/>
            <w:vAlign w:val="center"/>
          </w:tcPr>
          <w:p w14:paraId="391363B4">
            <w:pPr>
              <w:pStyle w:val="94"/>
              <w:rPr>
                <w:rFonts w:ascii="Arial" w:hAnsi="Arial"/>
                <w:color w:val="auto"/>
              </w:rPr>
            </w:pPr>
            <w:r>
              <w:rPr>
                <w:rFonts w:ascii="Arial" w:hAnsi="Arial"/>
                <w:color w:val="auto"/>
              </w:rPr>
              <w:t>裸岩石砾地</w:t>
            </w:r>
          </w:p>
        </w:tc>
        <w:tc>
          <w:tcPr>
            <w:tcW w:w="751" w:type="pct"/>
            <w:noWrap/>
            <w:vAlign w:val="center"/>
          </w:tcPr>
          <w:p w14:paraId="37E4BAA5">
            <w:pPr>
              <w:pStyle w:val="94"/>
              <w:rPr>
                <w:color w:val="auto"/>
              </w:rPr>
            </w:pPr>
            <w:r>
              <w:rPr>
                <w:color w:val="auto"/>
              </w:rPr>
              <w:t xml:space="preserve">4.64 </w:t>
            </w:r>
          </w:p>
        </w:tc>
        <w:tc>
          <w:tcPr>
            <w:tcW w:w="751" w:type="pct"/>
            <w:noWrap/>
            <w:vAlign w:val="center"/>
          </w:tcPr>
          <w:p w14:paraId="5CD92601">
            <w:pPr>
              <w:pStyle w:val="94"/>
              <w:rPr>
                <w:color w:val="auto"/>
              </w:rPr>
            </w:pPr>
            <w:r>
              <w:rPr>
                <w:color w:val="auto"/>
              </w:rPr>
              <w:t xml:space="preserve">21.41 </w:t>
            </w:r>
          </w:p>
        </w:tc>
      </w:tr>
      <w:tr w14:paraId="24262F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27" w:type="pct"/>
            <w:vMerge w:val="continue"/>
            <w:vAlign w:val="center"/>
          </w:tcPr>
          <w:p w14:paraId="70431C93">
            <w:pPr>
              <w:pStyle w:val="94"/>
              <w:rPr>
                <w:rFonts w:ascii="Arial" w:hAnsi="Arial"/>
                <w:color w:val="auto"/>
              </w:rPr>
            </w:pPr>
          </w:p>
        </w:tc>
        <w:tc>
          <w:tcPr>
            <w:tcW w:w="844" w:type="pct"/>
            <w:noWrap/>
            <w:vAlign w:val="center"/>
          </w:tcPr>
          <w:p w14:paraId="59AC291D">
            <w:pPr>
              <w:pStyle w:val="94"/>
              <w:rPr>
                <w:color w:val="auto"/>
              </w:rPr>
            </w:pPr>
            <w:r>
              <w:rPr>
                <w:color w:val="auto"/>
              </w:rPr>
              <w:t>10</w:t>
            </w:r>
          </w:p>
        </w:tc>
        <w:tc>
          <w:tcPr>
            <w:tcW w:w="760" w:type="pct"/>
            <w:noWrap/>
            <w:vAlign w:val="center"/>
          </w:tcPr>
          <w:p w14:paraId="3CB22529">
            <w:pPr>
              <w:pStyle w:val="94"/>
              <w:rPr>
                <w:rFonts w:ascii="Arial" w:hAnsi="Arial"/>
                <w:color w:val="auto"/>
              </w:rPr>
            </w:pPr>
            <w:r>
              <w:rPr>
                <w:rFonts w:ascii="Arial" w:hAnsi="Arial"/>
                <w:color w:val="auto"/>
              </w:rPr>
              <w:t>交通运输用地</w:t>
            </w:r>
          </w:p>
        </w:tc>
        <w:tc>
          <w:tcPr>
            <w:tcW w:w="684" w:type="pct"/>
            <w:noWrap/>
            <w:vAlign w:val="center"/>
          </w:tcPr>
          <w:p w14:paraId="194877C1">
            <w:pPr>
              <w:pStyle w:val="94"/>
              <w:rPr>
                <w:color w:val="auto"/>
              </w:rPr>
            </w:pPr>
            <w:r>
              <w:rPr>
                <w:color w:val="auto"/>
              </w:rPr>
              <w:t>1006</w:t>
            </w:r>
          </w:p>
        </w:tc>
        <w:tc>
          <w:tcPr>
            <w:tcW w:w="684" w:type="pct"/>
            <w:noWrap/>
            <w:vAlign w:val="center"/>
          </w:tcPr>
          <w:p w14:paraId="0C26E322">
            <w:pPr>
              <w:pStyle w:val="94"/>
              <w:rPr>
                <w:rFonts w:ascii="Arial" w:hAnsi="Arial"/>
                <w:color w:val="auto"/>
              </w:rPr>
            </w:pPr>
            <w:r>
              <w:rPr>
                <w:rFonts w:ascii="Arial" w:hAnsi="Arial"/>
                <w:color w:val="auto"/>
              </w:rPr>
              <w:t>农村道路</w:t>
            </w:r>
          </w:p>
        </w:tc>
        <w:tc>
          <w:tcPr>
            <w:tcW w:w="751" w:type="pct"/>
            <w:noWrap/>
            <w:vAlign w:val="center"/>
          </w:tcPr>
          <w:p w14:paraId="4AE455C9">
            <w:pPr>
              <w:pStyle w:val="94"/>
              <w:rPr>
                <w:color w:val="auto"/>
              </w:rPr>
            </w:pPr>
            <w:r>
              <w:rPr>
                <w:color w:val="auto"/>
              </w:rPr>
              <w:t xml:space="preserve">0.06 </w:t>
            </w:r>
          </w:p>
        </w:tc>
        <w:tc>
          <w:tcPr>
            <w:tcW w:w="751" w:type="pct"/>
            <w:noWrap/>
            <w:vAlign w:val="center"/>
          </w:tcPr>
          <w:p w14:paraId="34BBCFF8">
            <w:pPr>
              <w:pStyle w:val="94"/>
              <w:rPr>
                <w:color w:val="auto"/>
              </w:rPr>
            </w:pPr>
            <w:r>
              <w:rPr>
                <w:color w:val="auto"/>
              </w:rPr>
              <w:t xml:space="preserve">0.25 </w:t>
            </w:r>
          </w:p>
        </w:tc>
      </w:tr>
      <w:tr w14:paraId="3750E6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27" w:type="pct"/>
            <w:vMerge w:val="continue"/>
            <w:vAlign w:val="center"/>
          </w:tcPr>
          <w:p w14:paraId="67FF6D0A">
            <w:pPr>
              <w:pStyle w:val="94"/>
              <w:rPr>
                <w:rFonts w:ascii="Arial" w:hAnsi="Arial"/>
                <w:color w:val="auto"/>
              </w:rPr>
            </w:pPr>
          </w:p>
        </w:tc>
        <w:tc>
          <w:tcPr>
            <w:tcW w:w="844" w:type="pct"/>
            <w:noWrap/>
            <w:vAlign w:val="center"/>
          </w:tcPr>
          <w:p w14:paraId="4D070222">
            <w:pPr>
              <w:pStyle w:val="94"/>
              <w:rPr>
                <w:color w:val="auto"/>
              </w:rPr>
            </w:pPr>
            <w:r>
              <w:rPr>
                <w:color w:val="auto"/>
              </w:rPr>
              <w:t>04</w:t>
            </w:r>
          </w:p>
        </w:tc>
        <w:tc>
          <w:tcPr>
            <w:tcW w:w="760" w:type="pct"/>
            <w:noWrap/>
            <w:vAlign w:val="center"/>
          </w:tcPr>
          <w:p w14:paraId="20E9A29A">
            <w:pPr>
              <w:pStyle w:val="94"/>
              <w:rPr>
                <w:rFonts w:ascii="Arial" w:hAnsi="Arial"/>
                <w:color w:val="auto"/>
              </w:rPr>
            </w:pPr>
            <w:r>
              <w:rPr>
                <w:rFonts w:ascii="Arial" w:hAnsi="Arial"/>
                <w:color w:val="auto"/>
              </w:rPr>
              <w:t>草地</w:t>
            </w:r>
          </w:p>
        </w:tc>
        <w:tc>
          <w:tcPr>
            <w:tcW w:w="684" w:type="pct"/>
            <w:noWrap/>
            <w:vAlign w:val="center"/>
          </w:tcPr>
          <w:p w14:paraId="3E0FB607">
            <w:pPr>
              <w:pStyle w:val="94"/>
              <w:rPr>
                <w:color w:val="auto"/>
              </w:rPr>
            </w:pPr>
            <w:r>
              <w:rPr>
                <w:color w:val="auto"/>
              </w:rPr>
              <w:t>0404</w:t>
            </w:r>
          </w:p>
        </w:tc>
        <w:tc>
          <w:tcPr>
            <w:tcW w:w="684" w:type="pct"/>
            <w:noWrap/>
            <w:vAlign w:val="center"/>
          </w:tcPr>
          <w:p w14:paraId="7BC6FA57">
            <w:pPr>
              <w:pStyle w:val="94"/>
              <w:rPr>
                <w:rFonts w:ascii="Arial" w:hAnsi="Arial"/>
                <w:color w:val="auto"/>
              </w:rPr>
            </w:pPr>
            <w:r>
              <w:rPr>
                <w:rFonts w:ascii="Arial" w:hAnsi="Arial"/>
                <w:color w:val="auto"/>
              </w:rPr>
              <w:t>其他草地</w:t>
            </w:r>
          </w:p>
        </w:tc>
        <w:tc>
          <w:tcPr>
            <w:tcW w:w="751" w:type="pct"/>
            <w:noWrap/>
            <w:vAlign w:val="center"/>
          </w:tcPr>
          <w:p w14:paraId="1B7EC69B">
            <w:pPr>
              <w:pStyle w:val="94"/>
              <w:rPr>
                <w:color w:val="auto"/>
              </w:rPr>
            </w:pPr>
            <w:r>
              <w:rPr>
                <w:color w:val="auto"/>
              </w:rPr>
              <w:t xml:space="preserve">1.99 </w:t>
            </w:r>
          </w:p>
        </w:tc>
        <w:tc>
          <w:tcPr>
            <w:tcW w:w="751" w:type="pct"/>
            <w:noWrap/>
            <w:vAlign w:val="center"/>
          </w:tcPr>
          <w:p w14:paraId="6995EA78">
            <w:pPr>
              <w:pStyle w:val="94"/>
              <w:rPr>
                <w:color w:val="auto"/>
              </w:rPr>
            </w:pPr>
            <w:r>
              <w:rPr>
                <w:color w:val="auto"/>
              </w:rPr>
              <w:t xml:space="preserve">9.17 </w:t>
            </w:r>
          </w:p>
        </w:tc>
      </w:tr>
      <w:tr w14:paraId="34758B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27" w:type="pct"/>
            <w:vMerge w:val="continue"/>
            <w:vAlign w:val="center"/>
          </w:tcPr>
          <w:p w14:paraId="35A19543">
            <w:pPr>
              <w:pStyle w:val="94"/>
              <w:rPr>
                <w:rFonts w:ascii="Arial" w:hAnsi="Arial"/>
                <w:color w:val="auto"/>
              </w:rPr>
            </w:pPr>
          </w:p>
        </w:tc>
        <w:tc>
          <w:tcPr>
            <w:tcW w:w="844" w:type="pct"/>
            <w:noWrap/>
            <w:vAlign w:val="center"/>
          </w:tcPr>
          <w:p w14:paraId="12E7F645">
            <w:pPr>
              <w:pStyle w:val="94"/>
              <w:rPr>
                <w:color w:val="auto"/>
              </w:rPr>
            </w:pPr>
            <w:r>
              <w:rPr>
                <w:color w:val="auto"/>
              </w:rPr>
              <w:t>03</w:t>
            </w:r>
          </w:p>
        </w:tc>
        <w:tc>
          <w:tcPr>
            <w:tcW w:w="760" w:type="pct"/>
            <w:noWrap/>
            <w:vAlign w:val="center"/>
          </w:tcPr>
          <w:p w14:paraId="67DF811E">
            <w:pPr>
              <w:pStyle w:val="94"/>
              <w:rPr>
                <w:rFonts w:ascii="Arial" w:hAnsi="Arial"/>
                <w:color w:val="auto"/>
              </w:rPr>
            </w:pPr>
            <w:r>
              <w:rPr>
                <w:rFonts w:ascii="Arial" w:hAnsi="Arial"/>
                <w:color w:val="auto"/>
              </w:rPr>
              <w:t>林地</w:t>
            </w:r>
          </w:p>
        </w:tc>
        <w:tc>
          <w:tcPr>
            <w:tcW w:w="684" w:type="pct"/>
            <w:noWrap/>
            <w:vAlign w:val="center"/>
          </w:tcPr>
          <w:p w14:paraId="046943C1">
            <w:pPr>
              <w:pStyle w:val="94"/>
              <w:rPr>
                <w:color w:val="auto"/>
              </w:rPr>
            </w:pPr>
            <w:r>
              <w:rPr>
                <w:color w:val="auto"/>
              </w:rPr>
              <w:t>0307</w:t>
            </w:r>
          </w:p>
        </w:tc>
        <w:tc>
          <w:tcPr>
            <w:tcW w:w="684" w:type="pct"/>
            <w:noWrap/>
            <w:vAlign w:val="center"/>
          </w:tcPr>
          <w:p w14:paraId="5558ED26">
            <w:pPr>
              <w:pStyle w:val="94"/>
              <w:rPr>
                <w:rFonts w:ascii="Arial" w:hAnsi="Arial"/>
                <w:color w:val="auto"/>
              </w:rPr>
            </w:pPr>
            <w:r>
              <w:rPr>
                <w:rFonts w:ascii="Arial" w:hAnsi="Arial"/>
                <w:color w:val="auto"/>
              </w:rPr>
              <w:t>其他林地</w:t>
            </w:r>
          </w:p>
        </w:tc>
        <w:tc>
          <w:tcPr>
            <w:tcW w:w="751" w:type="pct"/>
            <w:noWrap/>
            <w:vAlign w:val="center"/>
          </w:tcPr>
          <w:p w14:paraId="4F8EA0D2">
            <w:pPr>
              <w:pStyle w:val="94"/>
              <w:rPr>
                <w:color w:val="auto"/>
              </w:rPr>
            </w:pPr>
            <w:r>
              <w:rPr>
                <w:color w:val="auto"/>
              </w:rPr>
              <w:t xml:space="preserve">5.20 </w:t>
            </w:r>
          </w:p>
        </w:tc>
        <w:tc>
          <w:tcPr>
            <w:tcW w:w="751" w:type="pct"/>
            <w:noWrap/>
            <w:vAlign w:val="center"/>
          </w:tcPr>
          <w:p w14:paraId="2DBC8636">
            <w:pPr>
              <w:pStyle w:val="94"/>
              <w:rPr>
                <w:color w:val="auto"/>
              </w:rPr>
            </w:pPr>
            <w:r>
              <w:rPr>
                <w:color w:val="auto"/>
              </w:rPr>
              <w:t xml:space="preserve">23.99 </w:t>
            </w:r>
          </w:p>
        </w:tc>
      </w:tr>
      <w:tr w14:paraId="4A2AB6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27" w:type="pct"/>
            <w:vMerge w:val="continue"/>
            <w:vAlign w:val="center"/>
          </w:tcPr>
          <w:p w14:paraId="1C62607C">
            <w:pPr>
              <w:pStyle w:val="94"/>
              <w:rPr>
                <w:rFonts w:ascii="Arial" w:hAnsi="Arial"/>
                <w:color w:val="auto"/>
              </w:rPr>
            </w:pPr>
          </w:p>
        </w:tc>
        <w:tc>
          <w:tcPr>
            <w:tcW w:w="844" w:type="pct"/>
            <w:noWrap/>
            <w:vAlign w:val="center"/>
          </w:tcPr>
          <w:p w14:paraId="051C3497">
            <w:pPr>
              <w:pStyle w:val="94"/>
              <w:rPr>
                <w:color w:val="auto"/>
              </w:rPr>
            </w:pPr>
            <w:r>
              <w:rPr>
                <w:color w:val="auto"/>
              </w:rPr>
              <w:t>02</w:t>
            </w:r>
          </w:p>
        </w:tc>
        <w:tc>
          <w:tcPr>
            <w:tcW w:w="760" w:type="pct"/>
            <w:noWrap/>
            <w:vAlign w:val="center"/>
          </w:tcPr>
          <w:p w14:paraId="261A3988">
            <w:pPr>
              <w:pStyle w:val="94"/>
              <w:rPr>
                <w:rFonts w:ascii="Arial" w:hAnsi="Arial"/>
                <w:color w:val="auto"/>
              </w:rPr>
            </w:pPr>
            <w:r>
              <w:rPr>
                <w:rFonts w:ascii="Arial" w:hAnsi="Arial"/>
                <w:color w:val="auto"/>
              </w:rPr>
              <w:t>园地</w:t>
            </w:r>
          </w:p>
        </w:tc>
        <w:tc>
          <w:tcPr>
            <w:tcW w:w="684" w:type="pct"/>
            <w:noWrap/>
            <w:vAlign w:val="center"/>
          </w:tcPr>
          <w:p w14:paraId="571DE47B">
            <w:pPr>
              <w:pStyle w:val="94"/>
              <w:rPr>
                <w:color w:val="auto"/>
              </w:rPr>
            </w:pPr>
            <w:r>
              <w:rPr>
                <w:color w:val="auto"/>
              </w:rPr>
              <w:t>0204</w:t>
            </w:r>
          </w:p>
        </w:tc>
        <w:tc>
          <w:tcPr>
            <w:tcW w:w="684" w:type="pct"/>
            <w:noWrap/>
            <w:vAlign w:val="center"/>
          </w:tcPr>
          <w:p w14:paraId="30D326DD">
            <w:pPr>
              <w:pStyle w:val="94"/>
              <w:rPr>
                <w:rFonts w:ascii="Arial" w:hAnsi="Arial"/>
                <w:color w:val="auto"/>
              </w:rPr>
            </w:pPr>
            <w:r>
              <w:rPr>
                <w:rFonts w:ascii="Arial" w:hAnsi="Arial"/>
                <w:color w:val="auto"/>
              </w:rPr>
              <w:t>其他园地</w:t>
            </w:r>
          </w:p>
        </w:tc>
        <w:tc>
          <w:tcPr>
            <w:tcW w:w="751" w:type="pct"/>
            <w:noWrap/>
            <w:vAlign w:val="center"/>
          </w:tcPr>
          <w:p w14:paraId="2F86C082">
            <w:pPr>
              <w:pStyle w:val="94"/>
              <w:rPr>
                <w:color w:val="auto"/>
              </w:rPr>
            </w:pPr>
            <w:r>
              <w:rPr>
                <w:color w:val="auto"/>
              </w:rPr>
              <w:t xml:space="preserve">1.26 </w:t>
            </w:r>
          </w:p>
        </w:tc>
        <w:tc>
          <w:tcPr>
            <w:tcW w:w="751" w:type="pct"/>
            <w:noWrap/>
            <w:vAlign w:val="center"/>
          </w:tcPr>
          <w:p w14:paraId="5F93F4FF">
            <w:pPr>
              <w:pStyle w:val="94"/>
              <w:rPr>
                <w:color w:val="auto"/>
              </w:rPr>
            </w:pPr>
            <w:r>
              <w:rPr>
                <w:color w:val="auto"/>
              </w:rPr>
              <w:t xml:space="preserve">5.79 </w:t>
            </w:r>
          </w:p>
        </w:tc>
      </w:tr>
      <w:tr w14:paraId="308215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498" w:type="pct"/>
            <w:gridSpan w:val="5"/>
            <w:noWrap/>
            <w:vAlign w:val="center"/>
          </w:tcPr>
          <w:p w14:paraId="639C9B04">
            <w:pPr>
              <w:pStyle w:val="94"/>
              <w:rPr>
                <w:color w:val="auto"/>
              </w:rPr>
            </w:pPr>
            <w:r>
              <w:rPr>
                <w:rFonts w:hint="eastAsia"/>
                <w:color w:val="auto"/>
              </w:rPr>
              <w:t>小计</w:t>
            </w:r>
          </w:p>
        </w:tc>
        <w:tc>
          <w:tcPr>
            <w:tcW w:w="751" w:type="pct"/>
            <w:noWrap/>
            <w:vAlign w:val="center"/>
          </w:tcPr>
          <w:p w14:paraId="09F3D627">
            <w:pPr>
              <w:pStyle w:val="94"/>
              <w:rPr>
                <w:color w:val="auto"/>
              </w:rPr>
            </w:pPr>
            <w:r>
              <w:rPr>
                <w:color w:val="auto"/>
              </w:rPr>
              <w:t>21.6</w:t>
            </w:r>
            <w:r>
              <w:rPr>
                <w:rFonts w:hint="eastAsia"/>
                <w:color w:val="auto"/>
              </w:rPr>
              <w:t>9</w:t>
            </w:r>
            <w:r>
              <w:rPr>
                <w:color w:val="auto"/>
              </w:rPr>
              <w:t xml:space="preserve"> </w:t>
            </w:r>
          </w:p>
        </w:tc>
        <w:tc>
          <w:tcPr>
            <w:tcW w:w="751" w:type="pct"/>
            <w:noWrap/>
            <w:vAlign w:val="center"/>
          </w:tcPr>
          <w:p w14:paraId="6A6B46A5">
            <w:pPr>
              <w:pStyle w:val="94"/>
              <w:rPr>
                <w:color w:val="auto"/>
              </w:rPr>
            </w:pPr>
            <w:r>
              <w:rPr>
                <w:color w:val="auto"/>
              </w:rPr>
              <w:t xml:space="preserve">100.00 </w:t>
            </w:r>
          </w:p>
        </w:tc>
      </w:tr>
      <w:tr w14:paraId="60BA4F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27" w:type="pct"/>
            <w:vMerge w:val="restart"/>
            <w:noWrap/>
            <w:vAlign w:val="center"/>
          </w:tcPr>
          <w:p w14:paraId="098AA4CD">
            <w:pPr>
              <w:pStyle w:val="94"/>
              <w:rPr>
                <w:rFonts w:ascii="Arial" w:hAnsi="Arial"/>
                <w:color w:val="auto"/>
              </w:rPr>
            </w:pPr>
            <w:r>
              <w:rPr>
                <w:rFonts w:ascii="Arial" w:hAnsi="Arial"/>
                <w:color w:val="auto"/>
              </w:rPr>
              <w:t>井场道路</w:t>
            </w:r>
          </w:p>
        </w:tc>
        <w:tc>
          <w:tcPr>
            <w:tcW w:w="844" w:type="pct"/>
            <w:noWrap/>
            <w:vAlign w:val="center"/>
          </w:tcPr>
          <w:p w14:paraId="26E10BB7">
            <w:pPr>
              <w:pStyle w:val="94"/>
              <w:rPr>
                <w:color w:val="auto"/>
              </w:rPr>
            </w:pPr>
            <w:r>
              <w:rPr>
                <w:color w:val="auto"/>
              </w:rPr>
              <w:t>01</w:t>
            </w:r>
          </w:p>
        </w:tc>
        <w:tc>
          <w:tcPr>
            <w:tcW w:w="760" w:type="pct"/>
            <w:noWrap/>
            <w:vAlign w:val="center"/>
          </w:tcPr>
          <w:p w14:paraId="228B2AA6">
            <w:pPr>
              <w:pStyle w:val="94"/>
              <w:rPr>
                <w:rFonts w:ascii="Arial" w:hAnsi="Arial"/>
                <w:color w:val="auto"/>
              </w:rPr>
            </w:pPr>
            <w:r>
              <w:rPr>
                <w:rFonts w:ascii="Arial" w:hAnsi="Arial"/>
                <w:color w:val="auto"/>
              </w:rPr>
              <w:t>耕地</w:t>
            </w:r>
          </w:p>
        </w:tc>
        <w:tc>
          <w:tcPr>
            <w:tcW w:w="684" w:type="pct"/>
            <w:noWrap/>
            <w:vAlign w:val="center"/>
          </w:tcPr>
          <w:p w14:paraId="4FEFDA80">
            <w:pPr>
              <w:pStyle w:val="94"/>
              <w:rPr>
                <w:color w:val="auto"/>
              </w:rPr>
            </w:pPr>
            <w:r>
              <w:rPr>
                <w:color w:val="auto"/>
              </w:rPr>
              <w:t>0103</w:t>
            </w:r>
          </w:p>
        </w:tc>
        <w:tc>
          <w:tcPr>
            <w:tcW w:w="684" w:type="pct"/>
            <w:noWrap/>
            <w:vAlign w:val="center"/>
          </w:tcPr>
          <w:p w14:paraId="3F9E432E">
            <w:pPr>
              <w:pStyle w:val="94"/>
              <w:rPr>
                <w:rFonts w:ascii="Arial" w:hAnsi="Arial"/>
                <w:color w:val="auto"/>
              </w:rPr>
            </w:pPr>
            <w:r>
              <w:rPr>
                <w:rFonts w:ascii="Arial" w:hAnsi="Arial"/>
                <w:color w:val="auto"/>
              </w:rPr>
              <w:t>旱地</w:t>
            </w:r>
          </w:p>
        </w:tc>
        <w:tc>
          <w:tcPr>
            <w:tcW w:w="751" w:type="pct"/>
            <w:noWrap/>
            <w:vAlign w:val="center"/>
          </w:tcPr>
          <w:p w14:paraId="35841E05">
            <w:pPr>
              <w:pStyle w:val="94"/>
              <w:rPr>
                <w:color w:val="auto"/>
              </w:rPr>
            </w:pPr>
            <w:r>
              <w:rPr>
                <w:color w:val="auto"/>
              </w:rPr>
              <w:t xml:space="preserve">0.24 </w:t>
            </w:r>
          </w:p>
        </w:tc>
        <w:tc>
          <w:tcPr>
            <w:tcW w:w="751" w:type="pct"/>
            <w:noWrap/>
            <w:vAlign w:val="center"/>
          </w:tcPr>
          <w:p w14:paraId="28806548">
            <w:pPr>
              <w:pStyle w:val="94"/>
              <w:rPr>
                <w:color w:val="auto"/>
              </w:rPr>
            </w:pPr>
            <w:r>
              <w:rPr>
                <w:color w:val="auto"/>
              </w:rPr>
              <w:t xml:space="preserve">19.31 </w:t>
            </w:r>
          </w:p>
        </w:tc>
      </w:tr>
      <w:tr w14:paraId="14A742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27" w:type="pct"/>
            <w:vMerge w:val="continue"/>
            <w:vAlign w:val="center"/>
          </w:tcPr>
          <w:p w14:paraId="667E3644">
            <w:pPr>
              <w:pStyle w:val="94"/>
              <w:rPr>
                <w:rFonts w:ascii="Arial" w:hAnsi="Arial"/>
                <w:color w:val="auto"/>
              </w:rPr>
            </w:pPr>
          </w:p>
        </w:tc>
        <w:tc>
          <w:tcPr>
            <w:tcW w:w="844" w:type="pct"/>
            <w:noWrap/>
            <w:vAlign w:val="center"/>
          </w:tcPr>
          <w:p w14:paraId="12F4B283">
            <w:pPr>
              <w:pStyle w:val="94"/>
              <w:rPr>
                <w:color w:val="auto"/>
              </w:rPr>
            </w:pPr>
            <w:r>
              <w:rPr>
                <w:color w:val="auto"/>
              </w:rPr>
              <w:t>12</w:t>
            </w:r>
          </w:p>
        </w:tc>
        <w:tc>
          <w:tcPr>
            <w:tcW w:w="760" w:type="pct"/>
            <w:noWrap/>
            <w:vAlign w:val="center"/>
          </w:tcPr>
          <w:p w14:paraId="5070FCF8">
            <w:pPr>
              <w:pStyle w:val="94"/>
              <w:rPr>
                <w:rFonts w:ascii="Arial" w:hAnsi="Arial"/>
                <w:color w:val="auto"/>
              </w:rPr>
            </w:pPr>
            <w:r>
              <w:rPr>
                <w:rFonts w:ascii="Arial" w:hAnsi="Arial"/>
                <w:color w:val="auto"/>
              </w:rPr>
              <w:t>其他土地</w:t>
            </w:r>
          </w:p>
        </w:tc>
        <w:tc>
          <w:tcPr>
            <w:tcW w:w="684" w:type="pct"/>
            <w:noWrap/>
            <w:vAlign w:val="center"/>
          </w:tcPr>
          <w:p w14:paraId="19A58479">
            <w:pPr>
              <w:pStyle w:val="94"/>
              <w:rPr>
                <w:color w:val="auto"/>
              </w:rPr>
            </w:pPr>
            <w:r>
              <w:rPr>
                <w:color w:val="auto"/>
              </w:rPr>
              <w:t>1207</w:t>
            </w:r>
          </w:p>
        </w:tc>
        <w:tc>
          <w:tcPr>
            <w:tcW w:w="684" w:type="pct"/>
            <w:noWrap/>
            <w:vAlign w:val="center"/>
          </w:tcPr>
          <w:p w14:paraId="7DD7C948">
            <w:pPr>
              <w:pStyle w:val="94"/>
              <w:rPr>
                <w:rFonts w:ascii="Arial" w:hAnsi="Arial"/>
                <w:color w:val="auto"/>
              </w:rPr>
            </w:pPr>
            <w:r>
              <w:rPr>
                <w:rFonts w:ascii="Arial" w:hAnsi="Arial"/>
                <w:color w:val="auto"/>
              </w:rPr>
              <w:t>裸岩石砾地</w:t>
            </w:r>
          </w:p>
        </w:tc>
        <w:tc>
          <w:tcPr>
            <w:tcW w:w="751" w:type="pct"/>
            <w:noWrap/>
            <w:vAlign w:val="center"/>
          </w:tcPr>
          <w:p w14:paraId="5A51B941">
            <w:pPr>
              <w:pStyle w:val="94"/>
              <w:rPr>
                <w:color w:val="auto"/>
              </w:rPr>
            </w:pPr>
            <w:r>
              <w:rPr>
                <w:color w:val="auto"/>
              </w:rPr>
              <w:t xml:space="preserve">0.14 </w:t>
            </w:r>
          </w:p>
        </w:tc>
        <w:tc>
          <w:tcPr>
            <w:tcW w:w="751" w:type="pct"/>
            <w:noWrap/>
            <w:vAlign w:val="center"/>
          </w:tcPr>
          <w:p w14:paraId="0C3CD440">
            <w:pPr>
              <w:pStyle w:val="94"/>
              <w:rPr>
                <w:color w:val="auto"/>
              </w:rPr>
            </w:pPr>
            <w:r>
              <w:rPr>
                <w:color w:val="auto"/>
              </w:rPr>
              <w:t xml:space="preserve">11.47 </w:t>
            </w:r>
          </w:p>
        </w:tc>
      </w:tr>
      <w:tr w14:paraId="4D187A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27" w:type="pct"/>
            <w:vMerge w:val="continue"/>
            <w:vAlign w:val="center"/>
          </w:tcPr>
          <w:p w14:paraId="6FA9BC94">
            <w:pPr>
              <w:pStyle w:val="94"/>
              <w:rPr>
                <w:rFonts w:ascii="Arial" w:hAnsi="Arial"/>
                <w:color w:val="auto"/>
              </w:rPr>
            </w:pPr>
          </w:p>
        </w:tc>
        <w:tc>
          <w:tcPr>
            <w:tcW w:w="844" w:type="pct"/>
            <w:noWrap/>
            <w:vAlign w:val="center"/>
          </w:tcPr>
          <w:p w14:paraId="5DB46EF4">
            <w:pPr>
              <w:pStyle w:val="94"/>
              <w:rPr>
                <w:color w:val="auto"/>
              </w:rPr>
            </w:pPr>
            <w:r>
              <w:rPr>
                <w:color w:val="auto"/>
              </w:rPr>
              <w:t>04</w:t>
            </w:r>
          </w:p>
        </w:tc>
        <w:tc>
          <w:tcPr>
            <w:tcW w:w="760" w:type="pct"/>
            <w:noWrap/>
            <w:vAlign w:val="center"/>
          </w:tcPr>
          <w:p w14:paraId="6E1163C6">
            <w:pPr>
              <w:pStyle w:val="94"/>
              <w:rPr>
                <w:rFonts w:ascii="Arial" w:hAnsi="Arial"/>
                <w:color w:val="auto"/>
              </w:rPr>
            </w:pPr>
            <w:r>
              <w:rPr>
                <w:rFonts w:ascii="Arial" w:hAnsi="Arial"/>
                <w:color w:val="auto"/>
              </w:rPr>
              <w:t>草地</w:t>
            </w:r>
          </w:p>
        </w:tc>
        <w:tc>
          <w:tcPr>
            <w:tcW w:w="684" w:type="pct"/>
            <w:noWrap/>
            <w:vAlign w:val="center"/>
          </w:tcPr>
          <w:p w14:paraId="2C2D9AAB">
            <w:pPr>
              <w:pStyle w:val="94"/>
              <w:rPr>
                <w:color w:val="auto"/>
              </w:rPr>
            </w:pPr>
            <w:r>
              <w:rPr>
                <w:color w:val="auto"/>
              </w:rPr>
              <w:t>0404</w:t>
            </w:r>
          </w:p>
        </w:tc>
        <w:tc>
          <w:tcPr>
            <w:tcW w:w="684" w:type="pct"/>
            <w:noWrap/>
            <w:vAlign w:val="center"/>
          </w:tcPr>
          <w:p w14:paraId="6C934FC9">
            <w:pPr>
              <w:pStyle w:val="94"/>
              <w:rPr>
                <w:rFonts w:ascii="Arial" w:hAnsi="Arial"/>
                <w:color w:val="auto"/>
              </w:rPr>
            </w:pPr>
            <w:r>
              <w:rPr>
                <w:rFonts w:ascii="Arial" w:hAnsi="Arial"/>
                <w:color w:val="auto"/>
              </w:rPr>
              <w:t>其他草地</w:t>
            </w:r>
          </w:p>
        </w:tc>
        <w:tc>
          <w:tcPr>
            <w:tcW w:w="751" w:type="pct"/>
            <w:noWrap/>
            <w:vAlign w:val="center"/>
          </w:tcPr>
          <w:p w14:paraId="6A68BEAA">
            <w:pPr>
              <w:pStyle w:val="94"/>
              <w:rPr>
                <w:color w:val="auto"/>
              </w:rPr>
            </w:pPr>
            <w:r>
              <w:rPr>
                <w:color w:val="auto"/>
              </w:rPr>
              <w:t xml:space="preserve">0.50 </w:t>
            </w:r>
          </w:p>
        </w:tc>
        <w:tc>
          <w:tcPr>
            <w:tcW w:w="751" w:type="pct"/>
            <w:noWrap/>
            <w:vAlign w:val="center"/>
          </w:tcPr>
          <w:p w14:paraId="4F676848">
            <w:pPr>
              <w:pStyle w:val="94"/>
              <w:rPr>
                <w:color w:val="auto"/>
              </w:rPr>
            </w:pPr>
            <w:r>
              <w:rPr>
                <w:color w:val="auto"/>
              </w:rPr>
              <w:t xml:space="preserve">40.67 </w:t>
            </w:r>
          </w:p>
        </w:tc>
      </w:tr>
      <w:tr w14:paraId="574283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27" w:type="pct"/>
            <w:vMerge w:val="continue"/>
            <w:vAlign w:val="center"/>
          </w:tcPr>
          <w:p w14:paraId="3F2FED93">
            <w:pPr>
              <w:pStyle w:val="94"/>
              <w:rPr>
                <w:rFonts w:ascii="Arial" w:hAnsi="Arial"/>
                <w:color w:val="auto"/>
              </w:rPr>
            </w:pPr>
          </w:p>
        </w:tc>
        <w:tc>
          <w:tcPr>
            <w:tcW w:w="844" w:type="pct"/>
            <w:noWrap/>
            <w:vAlign w:val="center"/>
          </w:tcPr>
          <w:p w14:paraId="2CB9EB55">
            <w:pPr>
              <w:pStyle w:val="94"/>
              <w:rPr>
                <w:color w:val="auto"/>
              </w:rPr>
            </w:pPr>
            <w:r>
              <w:rPr>
                <w:color w:val="auto"/>
              </w:rPr>
              <w:t>03</w:t>
            </w:r>
          </w:p>
        </w:tc>
        <w:tc>
          <w:tcPr>
            <w:tcW w:w="760" w:type="pct"/>
            <w:noWrap/>
            <w:vAlign w:val="center"/>
          </w:tcPr>
          <w:p w14:paraId="7385E7EE">
            <w:pPr>
              <w:pStyle w:val="94"/>
              <w:rPr>
                <w:rFonts w:ascii="Arial" w:hAnsi="Arial"/>
                <w:color w:val="auto"/>
              </w:rPr>
            </w:pPr>
            <w:r>
              <w:rPr>
                <w:rFonts w:ascii="Arial" w:hAnsi="Arial"/>
                <w:color w:val="auto"/>
              </w:rPr>
              <w:t>林地</w:t>
            </w:r>
          </w:p>
        </w:tc>
        <w:tc>
          <w:tcPr>
            <w:tcW w:w="684" w:type="pct"/>
            <w:noWrap/>
            <w:vAlign w:val="center"/>
          </w:tcPr>
          <w:p w14:paraId="731F7D4F">
            <w:pPr>
              <w:pStyle w:val="94"/>
              <w:rPr>
                <w:color w:val="auto"/>
              </w:rPr>
            </w:pPr>
            <w:r>
              <w:rPr>
                <w:color w:val="auto"/>
              </w:rPr>
              <w:t>0307</w:t>
            </w:r>
          </w:p>
        </w:tc>
        <w:tc>
          <w:tcPr>
            <w:tcW w:w="684" w:type="pct"/>
            <w:noWrap/>
            <w:vAlign w:val="center"/>
          </w:tcPr>
          <w:p w14:paraId="1A17369D">
            <w:pPr>
              <w:pStyle w:val="94"/>
              <w:rPr>
                <w:rFonts w:ascii="Arial" w:hAnsi="Arial"/>
                <w:color w:val="auto"/>
              </w:rPr>
            </w:pPr>
            <w:r>
              <w:rPr>
                <w:rFonts w:ascii="Arial" w:hAnsi="Arial"/>
                <w:color w:val="auto"/>
              </w:rPr>
              <w:t>其他林地</w:t>
            </w:r>
          </w:p>
        </w:tc>
        <w:tc>
          <w:tcPr>
            <w:tcW w:w="751" w:type="pct"/>
            <w:noWrap/>
            <w:vAlign w:val="center"/>
          </w:tcPr>
          <w:p w14:paraId="0796E2B4">
            <w:pPr>
              <w:pStyle w:val="94"/>
              <w:rPr>
                <w:color w:val="auto"/>
              </w:rPr>
            </w:pPr>
            <w:r>
              <w:rPr>
                <w:color w:val="auto"/>
              </w:rPr>
              <w:t xml:space="preserve">0.24 </w:t>
            </w:r>
          </w:p>
        </w:tc>
        <w:tc>
          <w:tcPr>
            <w:tcW w:w="751" w:type="pct"/>
            <w:noWrap/>
            <w:vAlign w:val="center"/>
          </w:tcPr>
          <w:p w14:paraId="4283D9AC">
            <w:pPr>
              <w:pStyle w:val="94"/>
              <w:rPr>
                <w:color w:val="auto"/>
              </w:rPr>
            </w:pPr>
            <w:r>
              <w:rPr>
                <w:color w:val="auto"/>
              </w:rPr>
              <w:t xml:space="preserve">19.69 </w:t>
            </w:r>
          </w:p>
        </w:tc>
      </w:tr>
      <w:tr w14:paraId="2F15BA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27" w:type="pct"/>
            <w:vMerge w:val="continue"/>
            <w:vAlign w:val="center"/>
          </w:tcPr>
          <w:p w14:paraId="2DC969BD">
            <w:pPr>
              <w:pStyle w:val="94"/>
              <w:rPr>
                <w:rFonts w:ascii="Arial" w:hAnsi="Arial"/>
                <w:color w:val="auto"/>
              </w:rPr>
            </w:pPr>
          </w:p>
        </w:tc>
        <w:tc>
          <w:tcPr>
            <w:tcW w:w="844" w:type="pct"/>
            <w:noWrap/>
            <w:vAlign w:val="center"/>
          </w:tcPr>
          <w:p w14:paraId="22EA30D5">
            <w:pPr>
              <w:pStyle w:val="94"/>
              <w:rPr>
                <w:color w:val="auto"/>
              </w:rPr>
            </w:pPr>
            <w:r>
              <w:rPr>
                <w:color w:val="auto"/>
              </w:rPr>
              <w:t>02</w:t>
            </w:r>
          </w:p>
        </w:tc>
        <w:tc>
          <w:tcPr>
            <w:tcW w:w="760" w:type="pct"/>
            <w:noWrap/>
            <w:vAlign w:val="center"/>
          </w:tcPr>
          <w:p w14:paraId="0D602590">
            <w:pPr>
              <w:pStyle w:val="94"/>
              <w:rPr>
                <w:rFonts w:ascii="Arial" w:hAnsi="Arial"/>
                <w:color w:val="auto"/>
              </w:rPr>
            </w:pPr>
            <w:r>
              <w:rPr>
                <w:rFonts w:ascii="Arial" w:hAnsi="Arial"/>
                <w:color w:val="auto"/>
              </w:rPr>
              <w:t>园地</w:t>
            </w:r>
          </w:p>
        </w:tc>
        <w:tc>
          <w:tcPr>
            <w:tcW w:w="684" w:type="pct"/>
            <w:noWrap/>
            <w:vAlign w:val="center"/>
          </w:tcPr>
          <w:p w14:paraId="3C8DB20C">
            <w:pPr>
              <w:pStyle w:val="94"/>
              <w:rPr>
                <w:color w:val="auto"/>
              </w:rPr>
            </w:pPr>
            <w:r>
              <w:rPr>
                <w:color w:val="auto"/>
              </w:rPr>
              <w:t>0204</w:t>
            </w:r>
          </w:p>
        </w:tc>
        <w:tc>
          <w:tcPr>
            <w:tcW w:w="684" w:type="pct"/>
            <w:noWrap/>
            <w:vAlign w:val="center"/>
          </w:tcPr>
          <w:p w14:paraId="22F43AB2">
            <w:pPr>
              <w:pStyle w:val="94"/>
              <w:rPr>
                <w:rFonts w:ascii="Arial" w:hAnsi="Arial"/>
                <w:color w:val="auto"/>
              </w:rPr>
            </w:pPr>
            <w:r>
              <w:rPr>
                <w:rFonts w:ascii="Arial" w:hAnsi="Arial"/>
                <w:color w:val="auto"/>
              </w:rPr>
              <w:t>其他园地</w:t>
            </w:r>
          </w:p>
        </w:tc>
        <w:tc>
          <w:tcPr>
            <w:tcW w:w="751" w:type="pct"/>
            <w:noWrap/>
            <w:vAlign w:val="center"/>
          </w:tcPr>
          <w:p w14:paraId="0E7C8B52">
            <w:pPr>
              <w:pStyle w:val="94"/>
              <w:rPr>
                <w:color w:val="auto"/>
              </w:rPr>
            </w:pPr>
            <w:r>
              <w:rPr>
                <w:color w:val="auto"/>
              </w:rPr>
              <w:t xml:space="preserve">0.07 </w:t>
            </w:r>
          </w:p>
        </w:tc>
        <w:tc>
          <w:tcPr>
            <w:tcW w:w="751" w:type="pct"/>
            <w:noWrap/>
            <w:vAlign w:val="center"/>
          </w:tcPr>
          <w:p w14:paraId="5AF9754C">
            <w:pPr>
              <w:pStyle w:val="94"/>
              <w:rPr>
                <w:color w:val="auto"/>
              </w:rPr>
            </w:pPr>
            <w:r>
              <w:rPr>
                <w:color w:val="auto"/>
              </w:rPr>
              <w:t xml:space="preserve">6.07 </w:t>
            </w:r>
          </w:p>
        </w:tc>
      </w:tr>
      <w:tr w14:paraId="31D233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27" w:type="pct"/>
            <w:vMerge w:val="continue"/>
            <w:vAlign w:val="center"/>
          </w:tcPr>
          <w:p w14:paraId="6F9CDA6E">
            <w:pPr>
              <w:pStyle w:val="94"/>
              <w:rPr>
                <w:rFonts w:ascii="Arial" w:hAnsi="Arial"/>
                <w:color w:val="auto"/>
              </w:rPr>
            </w:pPr>
          </w:p>
        </w:tc>
        <w:tc>
          <w:tcPr>
            <w:tcW w:w="844" w:type="pct"/>
            <w:noWrap/>
            <w:vAlign w:val="center"/>
          </w:tcPr>
          <w:p w14:paraId="6F74A612">
            <w:pPr>
              <w:pStyle w:val="94"/>
              <w:rPr>
                <w:color w:val="auto"/>
              </w:rPr>
            </w:pPr>
            <w:r>
              <w:rPr>
                <w:color w:val="auto"/>
              </w:rPr>
              <w:t>02</w:t>
            </w:r>
          </w:p>
        </w:tc>
        <w:tc>
          <w:tcPr>
            <w:tcW w:w="760" w:type="pct"/>
            <w:noWrap/>
            <w:vAlign w:val="center"/>
          </w:tcPr>
          <w:p w14:paraId="6913E0F8">
            <w:pPr>
              <w:pStyle w:val="94"/>
              <w:rPr>
                <w:rFonts w:ascii="Arial" w:hAnsi="Arial"/>
                <w:color w:val="auto"/>
              </w:rPr>
            </w:pPr>
            <w:r>
              <w:rPr>
                <w:rFonts w:ascii="Arial" w:hAnsi="Arial"/>
                <w:color w:val="auto"/>
              </w:rPr>
              <w:t>园地</w:t>
            </w:r>
          </w:p>
        </w:tc>
        <w:tc>
          <w:tcPr>
            <w:tcW w:w="684" w:type="pct"/>
            <w:noWrap/>
            <w:vAlign w:val="center"/>
          </w:tcPr>
          <w:p w14:paraId="3AAA819B">
            <w:pPr>
              <w:pStyle w:val="94"/>
              <w:rPr>
                <w:color w:val="auto"/>
              </w:rPr>
            </w:pPr>
            <w:r>
              <w:rPr>
                <w:color w:val="auto"/>
              </w:rPr>
              <w:t>0201</w:t>
            </w:r>
          </w:p>
        </w:tc>
        <w:tc>
          <w:tcPr>
            <w:tcW w:w="684" w:type="pct"/>
            <w:noWrap/>
            <w:vAlign w:val="center"/>
          </w:tcPr>
          <w:p w14:paraId="3A3AE649">
            <w:pPr>
              <w:pStyle w:val="94"/>
              <w:rPr>
                <w:rFonts w:ascii="Arial" w:hAnsi="Arial"/>
                <w:color w:val="auto"/>
              </w:rPr>
            </w:pPr>
            <w:r>
              <w:rPr>
                <w:rFonts w:ascii="Arial" w:hAnsi="Arial"/>
                <w:color w:val="auto"/>
              </w:rPr>
              <w:t>果园</w:t>
            </w:r>
          </w:p>
        </w:tc>
        <w:tc>
          <w:tcPr>
            <w:tcW w:w="751" w:type="pct"/>
            <w:noWrap/>
            <w:vAlign w:val="center"/>
          </w:tcPr>
          <w:p w14:paraId="00A1433C">
            <w:pPr>
              <w:pStyle w:val="94"/>
              <w:rPr>
                <w:color w:val="auto"/>
              </w:rPr>
            </w:pPr>
            <w:r>
              <w:rPr>
                <w:color w:val="auto"/>
              </w:rPr>
              <w:t xml:space="preserve">0.03 </w:t>
            </w:r>
          </w:p>
        </w:tc>
        <w:tc>
          <w:tcPr>
            <w:tcW w:w="751" w:type="pct"/>
            <w:noWrap/>
            <w:vAlign w:val="center"/>
          </w:tcPr>
          <w:p w14:paraId="459CF790">
            <w:pPr>
              <w:pStyle w:val="94"/>
              <w:rPr>
                <w:color w:val="auto"/>
              </w:rPr>
            </w:pPr>
            <w:r>
              <w:rPr>
                <w:color w:val="auto"/>
              </w:rPr>
              <w:t xml:space="preserve">2.78 </w:t>
            </w:r>
          </w:p>
        </w:tc>
      </w:tr>
      <w:tr w14:paraId="6EEBAC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498" w:type="pct"/>
            <w:gridSpan w:val="5"/>
            <w:noWrap/>
            <w:vAlign w:val="center"/>
          </w:tcPr>
          <w:p w14:paraId="681F87AE">
            <w:pPr>
              <w:pStyle w:val="94"/>
              <w:rPr>
                <w:color w:val="auto"/>
              </w:rPr>
            </w:pPr>
            <w:r>
              <w:rPr>
                <w:rFonts w:hint="eastAsia"/>
                <w:color w:val="auto"/>
              </w:rPr>
              <w:t>小计</w:t>
            </w:r>
          </w:p>
        </w:tc>
        <w:tc>
          <w:tcPr>
            <w:tcW w:w="751" w:type="pct"/>
            <w:noWrap/>
            <w:vAlign w:val="center"/>
          </w:tcPr>
          <w:p w14:paraId="1CA503F7">
            <w:pPr>
              <w:pStyle w:val="94"/>
              <w:rPr>
                <w:color w:val="auto"/>
              </w:rPr>
            </w:pPr>
            <w:r>
              <w:rPr>
                <w:color w:val="auto"/>
              </w:rPr>
              <w:t>1.2</w:t>
            </w:r>
            <w:r>
              <w:rPr>
                <w:rFonts w:hint="eastAsia"/>
                <w:color w:val="auto"/>
              </w:rPr>
              <w:t>2</w:t>
            </w:r>
          </w:p>
        </w:tc>
        <w:tc>
          <w:tcPr>
            <w:tcW w:w="751" w:type="pct"/>
            <w:noWrap/>
            <w:vAlign w:val="center"/>
          </w:tcPr>
          <w:p w14:paraId="0195E7D6">
            <w:pPr>
              <w:pStyle w:val="94"/>
              <w:rPr>
                <w:color w:val="auto"/>
              </w:rPr>
            </w:pPr>
            <w:r>
              <w:rPr>
                <w:color w:val="auto"/>
              </w:rPr>
              <w:t xml:space="preserve">100.00 </w:t>
            </w:r>
          </w:p>
        </w:tc>
      </w:tr>
      <w:tr w14:paraId="72C047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498" w:type="pct"/>
            <w:gridSpan w:val="5"/>
            <w:noWrap/>
            <w:vAlign w:val="center"/>
          </w:tcPr>
          <w:p w14:paraId="624D0C18">
            <w:pPr>
              <w:pStyle w:val="94"/>
              <w:rPr>
                <w:color w:val="auto"/>
              </w:rPr>
            </w:pPr>
            <w:r>
              <w:rPr>
                <w:rFonts w:hint="eastAsia"/>
                <w:color w:val="auto"/>
              </w:rPr>
              <w:t>合计</w:t>
            </w:r>
          </w:p>
        </w:tc>
        <w:tc>
          <w:tcPr>
            <w:tcW w:w="751" w:type="pct"/>
            <w:noWrap/>
            <w:vAlign w:val="center"/>
          </w:tcPr>
          <w:p w14:paraId="40D5DB98">
            <w:pPr>
              <w:pStyle w:val="94"/>
              <w:rPr>
                <w:color w:val="auto"/>
              </w:rPr>
            </w:pPr>
            <w:r>
              <w:rPr>
                <w:color w:val="auto"/>
              </w:rPr>
              <w:t>22.</w:t>
            </w:r>
            <w:r>
              <w:rPr>
                <w:rFonts w:hint="eastAsia"/>
                <w:color w:val="auto"/>
              </w:rPr>
              <w:t>91</w:t>
            </w:r>
          </w:p>
        </w:tc>
        <w:tc>
          <w:tcPr>
            <w:tcW w:w="751" w:type="pct"/>
            <w:noWrap/>
            <w:vAlign w:val="center"/>
          </w:tcPr>
          <w:p w14:paraId="67563F1E">
            <w:pPr>
              <w:pStyle w:val="94"/>
              <w:rPr>
                <w:color w:val="auto"/>
              </w:rPr>
            </w:pPr>
            <w:r>
              <w:rPr>
                <w:color w:val="auto"/>
              </w:rPr>
              <w:t xml:space="preserve">100.00 </w:t>
            </w:r>
          </w:p>
        </w:tc>
      </w:tr>
    </w:tbl>
    <w:p w14:paraId="42980743">
      <w:pPr>
        <w:pStyle w:val="19"/>
        <w:keepNext/>
      </w:pPr>
      <w:bookmarkStart w:id="143" w:name="_Ref169207109"/>
      <w:bookmarkStart w:id="144" w:name="_Ref169207121"/>
      <w:r>
        <w:t xml:space="preserve">表 </w:t>
      </w:r>
      <w:r>
        <w:fldChar w:fldCharType="begin"/>
      </w:r>
      <w:r>
        <w:instrText xml:space="preserve"> SEQ 表 \* ARABIC </w:instrText>
      </w:r>
      <w:r>
        <w:fldChar w:fldCharType="separate"/>
      </w:r>
      <w:r>
        <w:t>51</w:t>
      </w:r>
      <w:r>
        <w:fldChar w:fldCharType="end"/>
      </w:r>
      <w:bookmarkEnd w:id="143"/>
      <w:r>
        <w:rPr>
          <w:rFonts w:hint="eastAsia"/>
        </w:rPr>
        <w:t>项目井场占地范围内土地利用类型面积统计表</w:t>
      </w:r>
      <w:bookmarkEnd w:id="144"/>
    </w:p>
    <w:tbl>
      <w:tblPr>
        <w:tblStyle w:val="114"/>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72"/>
        <w:gridCol w:w="3232"/>
        <w:gridCol w:w="3232"/>
        <w:gridCol w:w="1081"/>
        <w:gridCol w:w="976"/>
        <w:gridCol w:w="1189"/>
      </w:tblGrid>
      <w:tr w14:paraId="5CE6DE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523A0E17">
            <w:pPr>
              <w:pStyle w:val="94"/>
            </w:pPr>
            <w:r>
              <w:rPr>
                <w:rFonts w:hint="eastAsia"/>
              </w:rPr>
              <w:t>序号</w:t>
            </w:r>
          </w:p>
        </w:tc>
        <w:tc>
          <w:tcPr>
            <w:tcW w:w="1513" w:type="pct"/>
            <w:noWrap/>
            <w:vAlign w:val="center"/>
          </w:tcPr>
          <w:p w14:paraId="183B5888">
            <w:pPr>
              <w:pStyle w:val="94"/>
            </w:pPr>
            <w:r>
              <w:rPr>
                <w:rFonts w:hint="eastAsia"/>
              </w:rPr>
              <w:t>井场名</w:t>
            </w:r>
          </w:p>
        </w:tc>
        <w:tc>
          <w:tcPr>
            <w:tcW w:w="1513" w:type="pct"/>
            <w:noWrap/>
            <w:vAlign w:val="center"/>
          </w:tcPr>
          <w:p w14:paraId="37C01A85">
            <w:pPr>
              <w:pStyle w:val="94"/>
            </w:pPr>
            <w:r>
              <w:t>地类名称</w:t>
            </w:r>
          </w:p>
        </w:tc>
        <w:tc>
          <w:tcPr>
            <w:tcW w:w="506" w:type="pct"/>
            <w:noWrap/>
            <w:vAlign w:val="center"/>
          </w:tcPr>
          <w:p w14:paraId="5FC6343C">
            <w:pPr>
              <w:pStyle w:val="94"/>
            </w:pPr>
            <w:r>
              <w:rPr>
                <w:rFonts w:hint="eastAsia"/>
              </w:rPr>
              <w:t>面积m</w:t>
            </w:r>
            <w:r>
              <w:rPr>
                <w:rFonts w:hint="eastAsia"/>
                <w:vertAlign w:val="superscript"/>
              </w:rPr>
              <w:t>2</w:t>
            </w:r>
          </w:p>
        </w:tc>
        <w:tc>
          <w:tcPr>
            <w:tcW w:w="457" w:type="pct"/>
            <w:noWrap/>
            <w:vAlign w:val="center"/>
          </w:tcPr>
          <w:p w14:paraId="51CECC6B">
            <w:pPr>
              <w:pStyle w:val="94"/>
            </w:pPr>
            <w:r>
              <w:rPr>
                <w:rFonts w:hint="eastAsia"/>
              </w:rPr>
              <w:t>占比%</w:t>
            </w:r>
          </w:p>
        </w:tc>
        <w:tc>
          <w:tcPr>
            <w:tcW w:w="556" w:type="pct"/>
            <w:noWrap/>
            <w:vAlign w:val="center"/>
          </w:tcPr>
          <w:p w14:paraId="058510EC">
            <w:pPr>
              <w:pStyle w:val="94"/>
            </w:pPr>
            <w:r>
              <w:rPr>
                <w:rFonts w:hint="eastAsia"/>
              </w:rPr>
              <w:t>总面积m</w:t>
            </w:r>
            <w:r>
              <w:rPr>
                <w:rFonts w:hint="eastAsia"/>
                <w:vertAlign w:val="superscript"/>
              </w:rPr>
              <w:t>2</w:t>
            </w:r>
          </w:p>
        </w:tc>
      </w:tr>
      <w:tr w14:paraId="5BA546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1FED6B35">
            <w:pPr>
              <w:pStyle w:val="94"/>
            </w:pPr>
            <w:r>
              <w:t>1</w:t>
            </w:r>
          </w:p>
        </w:tc>
        <w:tc>
          <w:tcPr>
            <w:tcW w:w="1513" w:type="pct"/>
            <w:vMerge w:val="restart"/>
            <w:noWrap/>
            <w:vAlign w:val="center"/>
          </w:tcPr>
          <w:p w14:paraId="7236866D">
            <w:pPr>
              <w:pStyle w:val="94"/>
            </w:pPr>
            <w:r>
              <w:t>LXD1-18</w:t>
            </w:r>
          </w:p>
        </w:tc>
        <w:tc>
          <w:tcPr>
            <w:tcW w:w="1513" w:type="pct"/>
            <w:noWrap/>
            <w:vAlign w:val="center"/>
          </w:tcPr>
          <w:p w14:paraId="30CFE9F3">
            <w:pPr>
              <w:pStyle w:val="94"/>
            </w:pPr>
            <w:r>
              <w:t>裸岩石砾地</w:t>
            </w:r>
          </w:p>
        </w:tc>
        <w:tc>
          <w:tcPr>
            <w:tcW w:w="506" w:type="pct"/>
            <w:noWrap/>
            <w:vAlign w:val="center"/>
          </w:tcPr>
          <w:p w14:paraId="334EEDEA">
            <w:pPr>
              <w:pStyle w:val="94"/>
            </w:pPr>
            <w:r>
              <w:t xml:space="preserve">7998.95 </w:t>
            </w:r>
          </w:p>
        </w:tc>
        <w:tc>
          <w:tcPr>
            <w:tcW w:w="457" w:type="pct"/>
            <w:noWrap/>
            <w:vAlign w:val="center"/>
          </w:tcPr>
          <w:p w14:paraId="7609ED4A">
            <w:pPr>
              <w:pStyle w:val="94"/>
            </w:pPr>
            <w:r>
              <w:t xml:space="preserve">95.64 </w:t>
            </w:r>
          </w:p>
        </w:tc>
        <w:tc>
          <w:tcPr>
            <w:tcW w:w="556" w:type="pct"/>
            <w:vMerge w:val="restart"/>
            <w:noWrap/>
            <w:vAlign w:val="center"/>
          </w:tcPr>
          <w:p w14:paraId="75E1346E">
            <w:pPr>
              <w:pStyle w:val="94"/>
            </w:pPr>
            <w:r>
              <w:t xml:space="preserve">8363.72 </w:t>
            </w:r>
          </w:p>
        </w:tc>
      </w:tr>
      <w:tr w14:paraId="3E130F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6E8469C0">
            <w:pPr>
              <w:pStyle w:val="94"/>
            </w:pPr>
            <w:r>
              <w:t>2</w:t>
            </w:r>
          </w:p>
        </w:tc>
        <w:tc>
          <w:tcPr>
            <w:tcW w:w="1513" w:type="pct"/>
            <w:vMerge w:val="continue"/>
            <w:vAlign w:val="center"/>
          </w:tcPr>
          <w:p w14:paraId="68D9D18D">
            <w:pPr>
              <w:pStyle w:val="94"/>
            </w:pPr>
          </w:p>
        </w:tc>
        <w:tc>
          <w:tcPr>
            <w:tcW w:w="1513" w:type="pct"/>
            <w:noWrap/>
            <w:vAlign w:val="center"/>
          </w:tcPr>
          <w:p w14:paraId="0748F028">
            <w:pPr>
              <w:pStyle w:val="94"/>
            </w:pPr>
            <w:r>
              <w:t>其他园地</w:t>
            </w:r>
          </w:p>
        </w:tc>
        <w:tc>
          <w:tcPr>
            <w:tcW w:w="506" w:type="pct"/>
            <w:noWrap/>
            <w:vAlign w:val="center"/>
          </w:tcPr>
          <w:p w14:paraId="1431F185">
            <w:pPr>
              <w:pStyle w:val="94"/>
            </w:pPr>
            <w:r>
              <w:t xml:space="preserve">364.77 </w:t>
            </w:r>
          </w:p>
        </w:tc>
        <w:tc>
          <w:tcPr>
            <w:tcW w:w="457" w:type="pct"/>
            <w:noWrap/>
            <w:vAlign w:val="center"/>
          </w:tcPr>
          <w:p w14:paraId="5B0B3DA0">
            <w:pPr>
              <w:pStyle w:val="94"/>
            </w:pPr>
            <w:r>
              <w:t xml:space="preserve">4.36 </w:t>
            </w:r>
          </w:p>
        </w:tc>
        <w:tc>
          <w:tcPr>
            <w:tcW w:w="556" w:type="pct"/>
            <w:vMerge w:val="continue"/>
            <w:vAlign w:val="center"/>
          </w:tcPr>
          <w:p w14:paraId="594819CF">
            <w:pPr>
              <w:pStyle w:val="94"/>
            </w:pPr>
          </w:p>
        </w:tc>
      </w:tr>
      <w:tr w14:paraId="56F993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7C4AC5B6">
            <w:pPr>
              <w:pStyle w:val="94"/>
            </w:pPr>
            <w:r>
              <w:t>3</w:t>
            </w:r>
          </w:p>
        </w:tc>
        <w:tc>
          <w:tcPr>
            <w:tcW w:w="1513" w:type="pct"/>
            <w:vMerge w:val="restart"/>
            <w:noWrap/>
            <w:vAlign w:val="center"/>
          </w:tcPr>
          <w:p w14:paraId="5B8FC27D">
            <w:pPr>
              <w:pStyle w:val="94"/>
            </w:pPr>
            <w:r>
              <w:t>LXD11-25</w:t>
            </w:r>
          </w:p>
        </w:tc>
        <w:tc>
          <w:tcPr>
            <w:tcW w:w="1513" w:type="pct"/>
            <w:noWrap/>
            <w:vAlign w:val="center"/>
          </w:tcPr>
          <w:p w14:paraId="35251A7D">
            <w:pPr>
              <w:pStyle w:val="94"/>
            </w:pPr>
            <w:r>
              <w:t>旱地</w:t>
            </w:r>
          </w:p>
        </w:tc>
        <w:tc>
          <w:tcPr>
            <w:tcW w:w="506" w:type="pct"/>
            <w:noWrap/>
            <w:vAlign w:val="center"/>
          </w:tcPr>
          <w:p w14:paraId="6B760885">
            <w:pPr>
              <w:pStyle w:val="94"/>
            </w:pPr>
            <w:r>
              <w:t xml:space="preserve">6768.65 </w:t>
            </w:r>
          </w:p>
        </w:tc>
        <w:tc>
          <w:tcPr>
            <w:tcW w:w="457" w:type="pct"/>
            <w:noWrap/>
            <w:vAlign w:val="center"/>
          </w:tcPr>
          <w:p w14:paraId="2A31D1BA">
            <w:pPr>
              <w:pStyle w:val="94"/>
            </w:pPr>
            <w:r>
              <w:t xml:space="preserve">51.25 </w:t>
            </w:r>
          </w:p>
        </w:tc>
        <w:tc>
          <w:tcPr>
            <w:tcW w:w="556" w:type="pct"/>
            <w:vMerge w:val="restart"/>
            <w:noWrap/>
            <w:vAlign w:val="center"/>
          </w:tcPr>
          <w:p w14:paraId="54478657">
            <w:pPr>
              <w:pStyle w:val="94"/>
            </w:pPr>
            <w:r>
              <w:t xml:space="preserve">13207.40 </w:t>
            </w:r>
          </w:p>
        </w:tc>
      </w:tr>
      <w:tr w14:paraId="39B3D2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3F8FB11D">
            <w:pPr>
              <w:pStyle w:val="94"/>
            </w:pPr>
            <w:r>
              <w:t>4</w:t>
            </w:r>
          </w:p>
        </w:tc>
        <w:tc>
          <w:tcPr>
            <w:tcW w:w="1513" w:type="pct"/>
            <w:vMerge w:val="continue"/>
            <w:vAlign w:val="center"/>
          </w:tcPr>
          <w:p w14:paraId="068A6CDF">
            <w:pPr>
              <w:pStyle w:val="94"/>
            </w:pPr>
          </w:p>
        </w:tc>
        <w:tc>
          <w:tcPr>
            <w:tcW w:w="1513" w:type="pct"/>
            <w:noWrap/>
            <w:vAlign w:val="center"/>
          </w:tcPr>
          <w:p w14:paraId="077F577E">
            <w:pPr>
              <w:pStyle w:val="94"/>
            </w:pPr>
            <w:r>
              <w:t>其他林地</w:t>
            </w:r>
          </w:p>
        </w:tc>
        <w:tc>
          <w:tcPr>
            <w:tcW w:w="506" w:type="pct"/>
            <w:noWrap/>
            <w:vAlign w:val="center"/>
          </w:tcPr>
          <w:p w14:paraId="3B4C4441">
            <w:pPr>
              <w:pStyle w:val="94"/>
            </w:pPr>
            <w:r>
              <w:t xml:space="preserve">6438.75 </w:t>
            </w:r>
          </w:p>
        </w:tc>
        <w:tc>
          <w:tcPr>
            <w:tcW w:w="457" w:type="pct"/>
            <w:noWrap/>
            <w:vAlign w:val="center"/>
          </w:tcPr>
          <w:p w14:paraId="77E35664">
            <w:pPr>
              <w:pStyle w:val="94"/>
            </w:pPr>
            <w:r>
              <w:t xml:space="preserve">48.75 </w:t>
            </w:r>
          </w:p>
        </w:tc>
        <w:tc>
          <w:tcPr>
            <w:tcW w:w="556" w:type="pct"/>
            <w:vMerge w:val="continue"/>
            <w:vAlign w:val="center"/>
          </w:tcPr>
          <w:p w14:paraId="67761FEE">
            <w:pPr>
              <w:pStyle w:val="94"/>
            </w:pPr>
          </w:p>
        </w:tc>
      </w:tr>
      <w:tr w14:paraId="493DA9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42B21278">
            <w:pPr>
              <w:pStyle w:val="94"/>
            </w:pPr>
            <w:r>
              <w:t>5</w:t>
            </w:r>
          </w:p>
        </w:tc>
        <w:tc>
          <w:tcPr>
            <w:tcW w:w="1513" w:type="pct"/>
            <w:vMerge w:val="restart"/>
            <w:noWrap/>
            <w:vAlign w:val="center"/>
          </w:tcPr>
          <w:p w14:paraId="447B6846">
            <w:pPr>
              <w:pStyle w:val="94"/>
            </w:pPr>
            <w:r>
              <w:t>LXD12-21</w:t>
            </w:r>
          </w:p>
        </w:tc>
        <w:tc>
          <w:tcPr>
            <w:tcW w:w="1513" w:type="pct"/>
            <w:noWrap/>
            <w:vAlign w:val="center"/>
          </w:tcPr>
          <w:p w14:paraId="4D5C27BC">
            <w:pPr>
              <w:pStyle w:val="94"/>
            </w:pPr>
            <w:r>
              <w:t>公路用地</w:t>
            </w:r>
          </w:p>
        </w:tc>
        <w:tc>
          <w:tcPr>
            <w:tcW w:w="506" w:type="pct"/>
            <w:noWrap/>
            <w:vAlign w:val="center"/>
          </w:tcPr>
          <w:p w14:paraId="636D3D1F">
            <w:pPr>
              <w:pStyle w:val="94"/>
            </w:pPr>
            <w:r>
              <w:t xml:space="preserve">8.60 </w:t>
            </w:r>
          </w:p>
        </w:tc>
        <w:tc>
          <w:tcPr>
            <w:tcW w:w="457" w:type="pct"/>
            <w:noWrap/>
            <w:vAlign w:val="center"/>
          </w:tcPr>
          <w:p w14:paraId="70CEC8B1">
            <w:pPr>
              <w:pStyle w:val="94"/>
            </w:pPr>
            <w:r>
              <w:t xml:space="preserve">0.12 </w:t>
            </w:r>
          </w:p>
        </w:tc>
        <w:tc>
          <w:tcPr>
            <w:tcW w:w="556" w:type="pct"/>
            <w:vMerge w:val="restart"/>
            <w:noWrap/>
            <w:vAlign w:val="center"/>
          </w:tcPr>
          <w:p w14:paraId="47F626DC">
            <w:pPr>
              <w:pStyle w:val="94"/>
            </w:pPr>
            <w:r>
              <w:t xml:space="preserve">7292.67 </w:t>
            </w:r>
          </w:p>
        </w:tc>
      </w:tr>
      <w:tr w14:paraId="354662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5DA7FC2E">
            <w:pPr>
              <w:pStyle w:val="94"/>
            </w:pPr>
            <w:r>
              <w:t>6</w:t>
            </w:r>
          </w:p>
        </w:tc>
        <w:tc>
          <w:tcPr>
            <w:tcW w:w="1513" w:type="pct"/>
            <w:vMerge w:val="continue"/>
            <w:vAlign w:val="center"/>
          </w:tcPr>
          <w:p w14:paraId="10826155">
            <w:pPr>
              <w:pStyle w:val="94"/>
            </w:pPr>
          </w:p>
        </w:tc>
        <w:tc>
          <w:tcPr>
            <w:tcW w:w="1513" w:type="pct"/>
            <w:noWrap/>
            <w:vAlign w:val="center"/>
          </w:tcPr>
          <w:p w14:paraId="74DCAD94">
            <w:pPr>
              <w:pStyle w:val="94"/>
            </w:pPr>
            <w:r>
              <w:t>旱地</w:t>
            </w:r>
          </w:p>
        </w:tc>
        <w:tc>
          <w:tcPr>
            <w:tcW w:w="506" w:type="pct"/>
            <w:noWrap/>
            <w:vAlign w:val="center"/>
          </w:tcPr>
          <w:p w14:paraId="50FBED57">
            <w:pPr>
              <w:pStyle w:val="94"/>
            </w:pPr>
            <w:r>
              <w:t xml:space="preserve">7284.07 </w:t>
            </w:r>
          </w:p>
        </w:tc>
        <w:tc>
          <w:tcPr>
            <w:tcW w:w="457" w:type="pct"/>
            <w:noWrap/>
            <w:vAlign w:val="center"/>
          </w:tcPr>
          <w:p w14:paraId="6BCD1611">
            <w:pPr>
              <w:pStyle w:val="94"/>
            </w:pPr>
            <w:r>
              <w:t xml:space="preserve">99.88 </w:t>
            </w:r>
          </w:p>
        </w:tc>
        <w:tc>
          <w:tcPr>
            <w:tcW w:w="556" w:type="pct"/>
            <w:vMerge w:val="continue"/>
            <w:vAlign w:val="center"/>
          </w:tcPr>
          <w:p w14:paraId="35D486DB">
            <w:pPr>
              <w:pStyle w:val="94"/>
            </w:pPr>
          </w:p>
        </w:tc>
      </w:tr>
      <w:tr w14:paraId="6D68DC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68505F2C">
            <w:pPr>
              <w:pStyle w:val="94"/>
            </w:pPr>
            <w:r>
              <w:t>7</w:t>
            </w:r>
          </w:p>
        </w:tc>
        <w:tc>
          <w:tcPr>
            <w:tcW w:w="1513" w:type="pct"/>
            <w:vMerge w:val="restart"/>
            <w:noWrap/>
            <w:vAlign w:val="center"/>
          </w:tcPr>
          <w:p w14:paraId="6E5FFDF6">
            <w:pPr>
              <w:pStyle w:val="94"/>
            </w:pPr>
            <w:r>
              <w:t>LXD12-26</w:t>
            </w:r>
          </w:p>
        </w:tc>
        <w:tc>
          <w:tcPr>
            <w:tcW w:w="1513" w:type="pct"/>
            <w:noWrap/>
            <w:vAlign w:val="center"/>
          </w:tcPr>
          <w:p w14:paraId="739EC48B">
            <w:pPr>
              <w:pStyle w:val="94"/>
            </w:pPr>
            <w:r>
              <w:t>果园</w:t>
            </w:r>
          </w:p>
        </w:tc>
        <w:tc>
          <w:tcPr>
            <w:tcW w:w="506" w:type="pct"/>
            <w:noWrap/>
            <w:vAlign w:val="center"/>
          </w:tcPr>
          <w:p w14:paraId="2CE70434">
            <w:pPr>
              <w:pStyle w:val="94"/>
            </w:pPr>
            <w:r>
              <w:t xml:space="preserve">451.92 </w:t>
            </w:r>
          </w:p>
        </w:tc>
        <w:tc>
          <w:tcPr>
            <w:tcW w:w="457" w:type="pct"/>
            <w:noWrap/>
            <w:vAlign w:val="center"/>
          </w:tcPr>
          <w:p w14:paraId="35991489">
            <w:pPr>
              <w:pStyle w:val="94"/>
            </w:pPr>
            <w:r>
              <w:t xml:space="preserve">7.07 </w:t>
            </w:r>
          </w:p>
        </w:tc>
        <w:tc>
          <w:tcPr>
            <w:tcW w:w="556" w:type="pct"/>
            <w:vMerge w:val="restart"/>
            <w:noWrap/>
            <w:vAlign w:val="center"/>
          </w:tcPr>
          <w:p w14:paraId="4CB596D9">
            <w:pPr>
              <w:pStyle w:val="94"/>
            </w:pPr>
            <w:r>
              <w:t xml:space="preserve">6394.12 </w:t>
            </w:r>
          </w:p>
        </w:tc>
      </w:tr>
      <w:tr w14:paraId="2E638C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6AEC43E5">
            <w:pPr>
              <w:pStyle w:val="94"/>
            </w:pPr>
            <w:r>
              <w:t>8</w:t>
            </w:r>
          </w:p>
        </w:tc>
        <w:tc>
          <w:tcPr>
            <w:tcW w:w="1513" w:type="pct"/>
            <w:vMerge w:val="continue"/>
            <w:vAlign w:val="center"/>
          </w:tcPr>
          <w:p w14:paraId="04F59FB5">
            <w:pPr>
              <w:pStyle w:val="94"/>
            </w:pPr>
          </w:p>
        </w:tc>
        <w:tc>
          <w:tcPr>
            <w:tcW w:w="1513" w:type="pct"/>
            <w:noWrap/>
            <w:vAlign w:val="center"/>
          </w:tcPr>
          <w:p w14:paraId="5DFC8B70">
            <w:pPr>
              <w:pStyle w:val="94"/>
            </w:pPr>
            <w:r>
              <w:t>其他草地</w:t>
            </w:r>
          </w:p>
        </w:tc>
        <w:tc>
          <w:tcPr>
            <w:tcW w:w="506" w:type="pct"/>
            <w:noWrap/>
            <w:vAlign w:val="center"/>
          </w:tcPr>
          <w:p w14:paraId="3C7E39BB">
            <w:pPr>
              <w:pStyle w:val="94"/>
            </w:pPr>
            <w:r>
              <w:t xml:space="preserve">5942.20 </w:t>
            </w:r>
          </w:p>
        </w:tc>
        <w:tc>
          <w:tcPr>
            <w:tcW w:w="457" w:type="pct"/>
            <w:noWrap/>
            <w:vAlign w:val="center"/>
          </w:tcPr>
          <w:p w14:paraId="51797FF1">
            <w:pPr>
              <w:pStyle w:val="94"/>
            </w:pPr>
            <w:r>
              <w:t xml:space="preserve">92.93 </w:t>
            </w:r>
          </w:p>
        </w:tc>
        <w:tc>
          <w:tcPr>
            <w:tcW w:w="556" w:type="pct"/>
            <w:vMerge w:val="continue"/>
            <w:vAlign w:val="center"/>
          </w:tcPr>
          <w:p w14:paraId="3D2E258E">
            <w:pPr>
              <w:pStyle w:val="94"/>
            </w:pPr>
          </w:p>
        </w:tc>
      </w:tr>
      <w:tr w14:paraId="45237D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3C1ABB19">
            <w:pPr>
              <w:pStyle w:val="94"/>
            </w:pPr>
            <w:r>
              <w:t>9</w:t>
            </w:r>
          </w:p>
        </w:tc>
        <w:tc>
          <w:tcPr>
            <w:tcW w:w="1513" w:type="pct"/>
            <w:vMerge w:val="restart"/>
            <w:noWrap/>
            <w:vAlign w:val="center"/>
          </w:tcPr>
          <w:p w14:paraId="68888DC3">
            <w:pPr>
              <w:pStyle w:val="94"/>
            </w:pPr>
            <w:r>
              <w:t>LXD12-7</w:t>
            </w:r>
          </w:p>
        </w:tc>
        <w:tc>
          <w:tcPr>
            <w:tcW w:w="1513" w:type="pct"/>
            <w:noWrap/>
            <w:vAlign w:val="center"/>
          </w:tcPr>
          <w:p w14:paraId="59B37051">
            <w:pPr>
              <w:pStyle w:val="94"/>
            </w:pPr>
            <w:r>
              <w:t>旱地</w:t>
            </w:r>
          </w:p>
        </w:tc>
        <w:tc>
          <w:tcPr>
            <w:tcW w:w="506" w:type="pct"/>
            <w:noWrap/>
            <w:vAlign w:val="center"/>
          </w:tcPr>
          <w:p w14:paraId="53E8C4A4">
            <w:pPr>
              <w:pStyle w:val="94"/>
            </w:pPr>
            <w:r>
              <w:t xml:space="preserve">4187.26 </w:t>
            </w:r>
          </w:p>
        </w:tc>
        <w:tc>
          <w:tcPr>
            <w:tcW w:w="457" w:type="pct"/>
            <w:noWrap/>
            <w:vAlign w:val="center"/>
          </w:tcPr>
          <w:p w14:paraId="23CCB307">
            <w:pPr>
              <w:pStyle w:val="94"/>
            </w:pPr>
            <w:r>
              <w:t xml:space="preserve">93.03 </w:t>
            </w:r>
          </w:p>
        </w:tc>
        <w:tc>
          <w:tcPr>
            <w:tcW w:w="556" w:type="pct"/>
            <w:vMerge w:val="restart"/>
            <w:noWrap/>
            <w:vAlign w:val="center"/>
          </w:tcPr>
          <w:p w14:paraId="7EFCD926">
            <w:pPr>
              <w:pStyle w:val="94"/>
            </w:pPr>
            <w:r>
              <w:t xml:space="preserve">4500.88 </w:t>
            </w:r>
          </w:p>
        </w:tc>
      </w:tr>
      <w:tr w14:paraId="73C010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7D869A56">
            <w:pPr>
              <w:pStyle w:val="94"/>
            </w:pPr>
            <w:r>
              <w:t>10</w:t>
            </w:r>
          </w:p>
        </w:tc>
        <w:tc>
          <w:tcPr>
            <w:tcW w:w="1513" w:type="pct"/>
            <w:vMerge w:val="continue"/>
            <w:vAlign w:val="center"/>
          </w:tcPr>
          <w:p w14:paraId="2FDBD7C5">
            <w:pPr>
              <w:pStyle w:val="94"/>
            </w:pPr>
          </w:p>
        </w:tc>
        <w:tc>
          <w:tcPr>
            <w:tcW w:w="1513" w:type="pct"/>
            <w:noWrap/>
            <w:vAlign w:val="center"/>
          </w:tcPr>
          <w:p w14:paraId="1FF1643B">
            <w:pPr>
              <w:pStyle w:val="94"/>
            </w:pPr>
            <w:r>
              <w:t>其他草地</w:t>
            </w:r>
          </w:p>
        </w:tc>
        <w:tc>
          <w:tcPr>
            <w:tcW w:w="506" w:type="pct"/>
            <w:noWrap/>
            <w:vAlign w:val="center"/>
          </w:tcPr>
          <w:p w14:paraId="0A9EDFBD">
            <w:pPr>
              <w:pStyle w:val="94"/>
            </w:pPr>
            <w:r>
              <w:t xml:space="preserve">313.62 </w:t>
            </w:r>
          </w:p>
        </w:tc>
        <w:tc>
          <w:tcPr>
            <w:tcW w:w="457" w:type="pct"/>
            <w:noWrap/>
            <w:vAlign w:val="center"/>
          </w:tcPr>
          <w:p w14:paraId="0BFA00E6">
            <w:pPr>
              <w:pStyle w:val="94"/>
            </w:pPr>
            <w:r>
              <w:t xml:space="preserve">6.97 </w:t>
            </w:r>
          </w:p>
        </w:tc>
        <w:tc>
          <w:tcPr>
            <w:tcW w:w="556" w:type="pct"/>
            <w:vMerge w:val="continue"/>
            <w:vAlign w:val="center"/>
          </w:tcPr>
          <w:p w14:paraId="1101239E">
            <w:pPr>
              <w:pStyle w:val="94"/>
            </w:pPr>
          </w:p>
        </w:tc>
      </w:tr>
      <w:tr w14:paraId="2EBD3C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2A414AFB">
            <w:pPr>
              <w:pStyle w:val="94"/>
            </w:pPr>
            <w:r>
              <w:t>11</w:t>
            </w:r>
          </w:p>
        </w:tc>
        <w:tc>
          <w:tcPr>
            <w:tcW w:w="1513" w:type="pct"/>
            <w:noWrap/>
            <w:vAlign w:val="center"/>
          </w:tcPr>
          <w:p w14:paraId="25E64ED6">
            <w:pPr>
              <w:pStyle w:val="94"/>
            </w:pPr>
            <w:r>
              <w:t>LXD12-8</w:t>
            </w:r>
          </w:p>
        </w:tc>
        <w:tc>
          <w:tcPr>
            <w:tcW w:w="1513" w:type="pct"/>
            <w:noWrap/>
            <w:vAlign w:val="center"/>
          </w:tcPr>
          <w:p w14:paraId="0F6B1E71">
            <w:pPr>
              <w:pStyle w:val="94"/>
            </w:pPr>
            <w:r>
              <w:t>其他草地</w:t>
            </w:r>
          </w:p>
        </w:tc>
        <w:tc>
          <w:tcPr>
            <w:tcW w:w="506" w:type="pct"/>
            <w:noWrap/>
            <w:vAlign w:val="center"/>
          </w:tcPr>
          <w:p w14:paraId="1B7B9F75">
            <w:pPr>
              <w:pStyle w:val="94"/>
            </w:pPr>
            <w:r>
              <w:t xml:space="preserve">8951.02 </w:t>
            </w:r>
          </w:p>
        </w:tc>
        <w:tc>
          <w:tcPr>
            <w:tcW w:w="457" w:type="pct"/>
            <w:noWrap/>
            <w:vAlign w:val="center"/>
          </w:tcPr>
          <w:p w14:paraId="70A10D23">
            <w:pPr>
              <w:pStyle w:val="94"/>
            </w:pPr>
            <w:r>
              <w:t xml:space="preserve">100.00 </w:t>
            </w:r>
          </w:p>
        </w:tc>
        <w:tc>
          <w:tcPr>
            <w:tcW w:w="556" w:type="pct"/>
            <w:noWrap/>
            <w:vAlign w:val="center"/>
          </w:tcPr>
          <w:p w14:paraId="6D81FC69">
            <w:pPr>
              <w:pStyle w:val="94"/>
            </w:pPr>
            <w:r>
              <w:t xml:space="preserve">8951.02 </w:t>
            </w:r>
          </w:p>
        </w:tc>
      </w:tr>
      <w:tr w14:paraId="179340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2CC164C6">
            <w:pPr>
              <w:pStyle w:val="94"/>
            </w:pPr>
            <w:r>
              <w:t>12</w:t>
            </w:r>
          </w:p>
        </w:tc>
        <w:tc>
          <w:tcPr>
            <w:tcW w:w="1513" w:type="pct"/>
            <w:vMerge w:val="restart"/>
            <w:noWrap/>
            <w:vAlign w:val="center"/>
          </w:tcPr>
          <w:p w14:paraId="1243C11F">
            <w:pPr>
              <w:pStyle w:val="94"/>
            </w:pPr>
            <w:r>
              <w:t>LXD2-25</w:t>
            </w:r>
          </w:p>
        </w:tc>
        <w:tc>
          <w:tcPr>
            <w:tcW w:w="1513" w:type="pct"/>
            <w:noWrap/>
            <w:vAlign w:val="center"/>
          </w:tcPr>
          <w:p w14:paraId="4C5476C9">
            <w:pPr>
              <w:pStyle w:val="94"/>
            </w:pPr>
            <w:r>
              <w:t>公路用地</w:t>
            </w:r>
          </w:p>
        </w:tc>
        <w:tc>
          <w:tcPr>
            <w:tcW w:w="506" w:type="pct"/>
            <w:noWrap/>
            <w:vAlign w:val="center"/>
          </w:tcPr>
          <w:p w14:paraId="5F5DE385">
            <w:pPr>
              <w:pStyle w:val="94"/>
            </w:pPr>
            <w:r>
              <w:t xml:space="preserve">420.09 </w:t>
            </w:r>
          </w:p>
        </w:tc>
        <w:tc>
          <w:tcPr>
            <w:tcW w:w="457" w:type="pct"/>
            <w:noWrap/>
            <w:vAlign w:val="center"/>
          </w:tcPr>
          <w:p w14:paraId="2FEE51BD">
            <w:pPr>
              <w:pStyle w:val="94"/>
            </w:pPr>
            <w:r>
              <w:t xml:space="preserve">4.22 </w:t>
            </w:r>
          </w:p>
        </w:tc>
        <w:tc>
          <w:tcPr>
            <w:tcW w:w="556" w:type="pct"/>
            <w:vMerge w:val="restart"/>
            <w:noWrap/>
            <w:vAlign w:val="center"/>
          </w:tcPr>
          <w:p w14:paraId="64C29321">
            <w:pPr>
              <w:pStyle w:val="94"/>
            </w:pPr>
            <w:r>
              <w:t xml:space="preserve">9952.79 </w:t>
            </w:r>
          </w:p>
        </w:tc>
      </w:tr>
      <w:tr w14:paraId="32DF6B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071169AC">
            <w:pPr>
              <w:pStyle w:val="94"/>
            </w:pPr>
            <w:r>
              <w:t>13</w:t>
            </w:r>
          </w:p>
        </w:tc>
        <w:tc>
          <w:tcPr>
            <w:tcW w:w="1513" w:type="pct"/>
            <w:vMerge w:val="continue"/>
            <w:vAlign w:val="center"/>
          </w:tcPr>
          <w:p w14:paraId="420F99DD">
            <w:pPr>
              <w:pStyle w:val="94"/>
            </w:pPr>
          </w:p>
        </w:tc>
        <w:tc>
          <w:tcPr>
            <w:tcW w:w="1513" w:type="pct"/>
            <w:noWrap/>
            <w:vAlign w:val="center"/>
          </w:tcPr>
          <w:p w14:paraId="6B8E9DD5">
            <w:pPr>
              <w:pStyle w:val="94"/>
            </w:pPr>
            <w:r>
              <w:t>灌木林地</w:t>
            </w:r>
          </w:p>
        </w:tc>
        <w:tc>
          <w:tcPr>
            <w:tcW w:w="506" w:type="pct"/>
            <w:noWrap/>
            <w:vAlign w:val="center"/>
          </w:tcPr>
          <w:p w14:paraId="5949D975">
            <w:pPr>
              <w:pStyle w:val="94"/>
            </w:pPr>
            <w:r>
              <w:t xml:space="preserve">1796.21 </w:t>
            </w:r>
          </w:p>
        </w:tc>
        <w:tc>
          <w:tcPr>
            <w:tcW w:w="457" w:type="pct"/>
            <w:noWrap/>
            <w:vAlign w:val="center"/>
          </w:tcPr>
          <w:p w14:paraId="012838B2">
            <w:pPr>
              <w:pStyle w:val="94"/>
            </w:pPr>
            <w:r>
              <w:t xml:space="preserve">18.05 </w:t>
            </w:r>
          </w:p>
        </w:tc>
        <w:tc>
          <w:tcPr>
            <w:tcW w:w="556" w:type="pct"/>
            <w:vMerge w:val="continue"/>
            <w:vAlign w:val="center"/>
          </w:tcPr>
          <w:p w14:paraId="7F13BA4F">
            <w:pPr>
              <w:pStyle w:val="94"/>
            </w:pPr>
          </w:p>
        </w:tc>
      </w:tr>
      <w:tr w14:paraId="256D33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4018BF95">
            <w:pPr>
              <w:pStyle w:val="94"/>
            </w:pPr>
            <w:r>
              <w:t>14</w:t>
            </w:r>
          </w:p>
        </w:tc>
        <w:tc>
          <w:tcPr>
            <w:tcW w:w="1513" w:type="pct"/>
            <w:vMerge w:val="continue"/>
            <w:vAlign w:val="center"/>
          </w:tcPr>
          <w:p w14:paraId="107A9624">
            <w:pPr>
              <w:pStyle w:val="94"/>
            </w:pPr>
          </w:p>
        </w:tc>
        <w:tc>
          <w:tcPr>
            <w:tcW w:w="1513" w:type="pct"/>
            <w:noWrap/>
            <w:vAlign w:val="center"/>
          </w:tcPr>
          <w:p w14:paraId="49DEA2D8">
            <w:pPr>
              <w:pStyle w:val="94"/>
            </w:pPr>
            <w:r>
              <w:t>旱地</w:t>
            </w:r>
          </w:p>
        </w:tc>
        <w:tc>
          <w:tcPr>
            <w:tcW w:w="506" w:type="pct"/>
            <w:noWrap/>
            <w:vAlign w:val="center"/>
          </w:tcPr>
          <w:p w14:paraId="7D1A020C">
            <w:pPr>
              <w:pStyle w:val="94"/>
            </w:pPr>
            <w:r>
              <w:t xml:space="preserve">7736.49 </w:t>
            </w:r>
          </w:p>
        </w:tc>
        <w:tc>
          <w:tcPr>
            <w:tcW w:w="457" w:type="pct"/>
            <w:noWrap/>
            <w:vAlign w:val="center"/>
          </w:tcPr>
          <w:p w14:paraId="69CD6E6F">
            <w:pPr>
              <w:pStyle w:val="94"/>
            </w:pPr>
            <w:r>
              <w:t xml:space="preserve">77.73 </w:t>
            </w:r>
          </w:p>
        </w:tc>
        <w:tc>
          <w:tcPr>
            <w:tcW w:w="556" w:type="pct"/>
            <w:vMerge w:val="continue"/>
            <w:vAlign w:val="center"/>
          </w:tcPr>
          <w:p w14:paraId="09127DB5">
            <w:pPr>
              <w:pStyle w:val="94"/>
            </w:pPr>
          </w:p>
        </w:tc>
      </w:tr>
      <w:tr w14:paraId="24C08D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694AE503">
            <w:pPr>
              <w:pStyle w:val="94"/>
            </w:pPr>
            <w:r>
              <w:t>15</w:t>
            </w:r>
          </w:p>
        </w:tc>
        <w:tc>
          <w:tcPr>
            <w:tcW w:w="1513" w:type="pct"/>
            <w:vMerge w:val="restart"/>
            <w:noWrap/>
            <w:vAlign w:val="center"/>
          </w:tcPr>
          <w:p w14:paraId="794085A5">
            <w:pPr>
              <w:pStyle w:val="94"/>
            </w:pPr>
            <w:r>
              <w:t>LXD3-14</w:t>
            </w:r>
          </w:p>
        </w:tc>
        <w:tc>
          <w:tcPr>
            <w:tcW w:w="1513" w:type="pct"/>
            <w:noWrap/>
            <w:vAlign w:val="center"/>
          </w:tcPr>
          <w:p w14:paraId="3B53F7D0">
            <w:pPr>
              <w:pStyle w:val="94"/>
            </w:pPr>
            <w:r>
              <w:t>旱地</w:t>
            </w:r>
          </w:p>
        </w:tc>
        <w:tc>
          <w:tcPr>
            <w:tcW w:w="506" w:type="pct"/>
            <w:noWrap/>
            <w:vAlign w:val="center"/>
          </w:tcPr>
          <w:p w14:paraId="1F56BD8E">
            <w:pPr>
              <w:pStyle w:val="94"/>
            </w:pPr>
            <w:r>
              <w:t xml:space="preserve">13465.96 </w:t>
            </w:r>
          </w:p>
        </w:tc>
        <w:tc>
          <w:tcPr>
            <w:tcW w:w="457" w:type="pct"/>
            <w:noWrap/>
            <w:vAlign w:val="center"/>
          </w:tcPr>
          <w:p w14:paraId="5DB2C601">
            <w:pPr>
              <w:pStyle w:val="94"/>
            </w:pPr>
            <w:r>
              <w:t xml:space="preserve">95.03 </w:t>
            </w:r>
          </w:p>
        </w:tc>
        <w:tc>
          <w:tcPr>
            <w:tcW w:w="556" w:type="pct"/>
            <w:vMerge w:val="restart"/>
            <w:noWrap/>
            <w:vAlign w:val="center"/>
          </w:tcPr>
          <w:p w14:paraId="2E62F0E7">
            <w:pPr>
              <w:pStyle w:val="94"/>
            </w:pPr>
            <w:r>
              <w:t xml:space="preserve">14170.06 </w:t>
            </w:r>
          </w:p>
        </w:tc>
      </w:tr>
      <w:tr w14:paraId="78EF97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0A10DBC5">
            <w:pPr>
              <w:pStyle w:val="94"/>
            </w:pPr>
            <w:r>
              <w:t>16</w:t>
            </w:r>
          </w:p>
        </w:tc>
        <w:tc>
          <w:tcPr>
            <w:tcW w:w="1513" w:type="pct"/>
            <w:vMerge w:val="continue"/>
            <w:vAlign w:val="center"/>
          </w:tcPr>
          <w:p w14:paraId="43CBC9EA">
            <w:pPr>
              <w:pStyle w:val="94"/>
            </w:pPr>
          </w:p>
        </w:tc>
        <w:tc>
          <w:tcPr>
            <w:tcW w:w="1513" w:type="pct"/>
            <w:noWrap/>
            <w:vAlign w:val="center"/>
          </w:tcPr>
          <w:p w14:paraId="7C0DFC6E">
            <w:pPr>
              <w:pStyle w:val="94"/>
            </w:pPr>
            <w:r>
              <w:t>农村道路</w:t>
            </w:r>
          </w:p>
        </w:tc>
        <w:tc>
          <w:tcPr>
            <w:tcW w:w="506" w:type="pct"/>
            <w:noWrap/>
            <w:vAlign w:val="center"/>
          </w:tcPr>
          <w:p w14:paraId="3F9A13C7">
            <w:pPr>
              <w:pStyle w:val="94"/>
            </w:pPr>
            <w:r>
              <w:t xml:space="preserve">550.82 </w:t>
            </w:r>
          </w:p>
        </w:tc>
        <w:tc>
          <w:tcPr>
            <w:tcW w:w="457" w:type="pct"/>
            <w:noWrap/>
            <w:vAlign w:val="center"/>
          </w:tcPr>
          <w:p w14:paraId="14F59109">
            <w:pPr>
              <w:pStyle w:val="94"/>
            </w:pPr>
            <w:r>
              <w:t xml:space="preserve">3.89 </w:t>
            </w:r>
          </w:p>
        </w:tc>
        <w:tc>
          <w:tcPr>
            <w:tcW w:w="556" w:type="pct"/>
            <w:vMerge w:val="continue"/>
            <w:vAlign w:val="center"/>
          </w:tcPr>
          <w:p w14:paraId="2BC9D4A5">
            <w:pPr>
              <w:pStyle w:val="94"/>
            </w:pPr>
          </w:p>
        </w:tc>
      </w:tr>
      <w:tr w14:paraId="11E79F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1A98E597">
            <w:pPr>
              <w:pStyle w:val="94"/>
            </w:pPr>
            <w:r>
              <w:t>17</w:t>
            </w:r>
          </w:p>
        </w:tc>
        <w:tc>
          <w:tcPr>
            <w:tcW w:w="1513" w:type="pct"/>
            <w:vMerge w:val="continue"/>
            <w:vAlign w:val="center"/>
          </w:tcPr>
          <w:p w14:paraId="76AC8D1F">
            <w:pPr>
              <w:pStyle w:val="94"/>
            </w:pPr>
          </w:p>
        </w:tc>
        <w:tc>
          <w:tcPr>
            <w:tcW w:w="1513" w:type="pct"/>
            <w:noWrap/>
            <w:vAlign w:val="center"/>
          </w:tcPr>
          <w:p w14:paraId="54AED21A">
            <w:pPr>
              <w:pStyle w:val="94"/>
            </w:pPr>
            <w:r>
              <w:t>其他草地</w:t>
            </w:r>
          </w:p>
        </w:tc>
        <w:tc>
          <w:tcPr>
            <w:tcW w:w="506" w:type="pct"/>
            <w:noWrap/>
            <w:vAlign w:val="center"/>
          </w:tcPr>
          <w:p w14:paraId="51BF0264">
            <w:pPr>
              <w:pStyle w:val="94"/>
            </w:pPr>
            <w:r>
              <w:t xml:space="preserve">153.28 </w:t>
            </w:r>
          </w:p>
        </w:tc>
        <w:tc>
          <w:tcPr>
            <w:tcW w:w="457" w:type="pct"/>
            <w:noWrap/>
            <w:vAlign w:val="center"/>
          </w:tcPr>
          <w:p w14:paraId="27CB9317">
            <w:pPr>
              <w:pStyle w:val="94"/>
            </w:pPr>
            <w:r>
              <w:t xml:space="preserve">1.08 </w:t>
            </w:r>
          </w:p>
        </w:tc>
        <w:tc>
          <w:tcPr>
            <w:tcW w:w="556" w:type="pct"/>
            <w:vMerge w:val="continue"/>
            <w:vAlign w:val="center"/>
          </w:tcPr>
          <w:p w14:paraId="47D6AE40">
            <w:pPr>
              <w:pStyle w:val="94"/>
            </w:pPr>
          </w:p>
        </w:tc>
      </w:tr>
      <w:tr w14:paraId="62F416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7DD9DC58">
            <w:pPr>
              <w:pStyle w:val="94"/>
            </w:pPr>
            <w:r>
              <w:t>18</w:t>
            </w:r>
          </w:p>
        </w:tc>
        <w:tc>
          <w:tcPr>
            <w:tcW w:w="1513" w:type="pct"/>
            <w:noWrap/>
            <w:vAlign w:val="center"/>
          </w:tcPr>
          <w:p w14:paraId="29E71E32">
            <w:pPr>
              <w:pStyle w:val="94"/>
            </w:pPr>
            <w:r>
              <w:t>LXD3-9</w:t>
            </w:r>
          </w:p>
        </w:tc>
        <w:tc>
          <w:tcPr>
            <w:tcW w:w="1513" w:type="pct"/>
            <w:noWrap/>
            <w:vAlign w:val="center"/>
          </w:tcPr>
          <w:p w14:paraId="227E3251">
            <w:pPr>
              <w:pStyle w:val="94"/>
            </w:pPr>
            <w:r>
              <w:t>裸岩石砾地</w:t>
            </w:r>
          </w:p>
        </w:tc>
        <w:tc>
          <w:tcPr>
            <w:tcW w:w="506" w:type="pct"/>
            <w:noWrap/>
            <w:vAlign w:val="center"/>
          </w:tcPr>
          <w:p w14:paraId="5E5D1235">
            <w:pPr>
              <w:pStyle w:val="94"/>
            </w:pPr>
            <w:r>
              <w:t xml:space="preserve">37230.70 </w:t>
            </w:r>
          </w:p>
        </w:tc>
        <w:tc>
          <w:tcPr>
            <w:tcW w:w="457" w:type="pct"/>
            <w:noWrap/>
            <w:vAlign w:val="center"/>
          </w:tcPr>
          <w:p w14:paraId="339071B7">
            <w:pPr>
              <w:pStyle w:val="94"/>
            </w:pPr>
            <w:r>
              <w:t xml:space="preserve">100.00 </w:t>
            </w:r>
          </w:p>
        </w:tc>
        <w:tc>
          <w:tcPr>
            <w:tcW w:w="556" w:type="pct"/>
            <w:noWrap/>
            <w:vAlign w:val="center"/>
          </w:tcPr>
          <w:p w14:paraId="476759FD">
            <w:pPr>
              <w:pStyle w:val="94"/>
            </w:pPr>
            <w:r>
              <w:t xml:space="preserve">37230.70 </w:t>
            </w:r>
          </w:p>
        </w:tc>
      </w:tr>
      <w:tr w14:paraId="6226FE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49215287">
            <w:pPr>
              <w:pStyle w:val="94"/>
            </w:pPr>
            <w:r>
              <w:t>19</w:t>
            </w:r>
          </w:p>
        </w:tc>
        <w:tc>
          <w:tcPr>
            <w:tcW w:w="1513" w:type="pct"/>
            <w:vMerge w:val="restart"/>
            <w:noWrap/>
            <w:vAlign w:val="center"/>
          </w:tcPr>
          <w:p w14:paraId="1E67CE40">
            <w:pPr>
              <w:pStyle w:val="94"/>
            </w:pPr>
            <w:r>
              <w:t>LXD5-22</w:t>
            </w:r>
          </w:p>
        </w:tc>
        <w:tc>
          <w:tcPr>
            <w:tcW w:w="1513" w:type="pct"/>
            <w:noWrap/>
            <w:vAlign w:val="center"/>
          </w:tcPr>
          <w:p w14:paraId="0F60327D">
            <w:pPr>
              <w:pStyle w:val="94"/>
            </w:pPr>
            <w:r>
              <w:t>其他草地</w:t>
            </w:r>
          </w:p>
        </w:tc>
        <w:tc>
          <w:tcPr>
            <w:tcW w:w="506" w:type="pct"/>
            <w:noWrap/>
            <w:vAlign w:val="center"/>
          </w:tcPr>
          <w:p w14:paraId="787D9297">
            <w:pPr>
              <w:pStyle w:val="94"/>
            </w:pPr>
            <w:r>
              <w:t xml:space="preserve">100.82 </w:t>
            </w:r>
          </w:p>
        </w:tc>
        <w:tc>
          <w:tcPr>
            <w:tcW w:w="457" w:type="pct"/>
            <w:noWrap/>
            <w:vAlign w:val="center"/>
          </w:tcPr>
          <w:p w14:paraId="046D9901">
            <w:pPr>
              <w:pStyle w:val="94"/>
            </w:pPr>
            <w:r>
              <w:t xml:space="preserve">1.23 </w:t>
            </w:r>
          </w:p>
        </w:tc>
        <w:tc>
          <w:tcPr>
            <w:tcW w:w="556" w:type="pct"/>
            <w:vMerge w:val="restart"/>
            <w:noWrap/>
            <w:vAlign w:val="center"/>
          </w:tcPr>
          <w:p w14:paraId="7B936F6F">
            <w:pPr>
              <w:pStyle w:val="94"/>
            </w:pPr>
            <w:r>
              <w:t xml:space="preserve">8213.86 </w:t>
            </w:r>
          </w:p>
        </w:tc>
      </w:tr>
      <w:tr w14:paraId="5964E0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0D079DF6">
            <w:pPr>
              <w:pStyle w:val="94"/>
            </w:pPr>
            <w:r>
              <w:t>20</w:t>
            </w:r>
          </w:p>
        </w:tc>
        <w:tc>
          <w:tcPr>
            <w:tcW w:w="1513" w:type="pct"/>
            <w:vMerge w:val="continue"/>
            <w:vAlign w:val="center"/>
          </w:tcPr>
          <w:p w14:paraId="78439F29">
            <w:pPr>
              <w:pStyle w:val="94"/>
            </w:pPr>
          </w:p>
        </w:tc>
        <w:tc>
          <w:tcPr>
            <w:tcW w:w="1513" w:type="pct"/>
            <w:noWrap/>
            <w:vAlign w:val="center"/>
          </w:tcPr>
          <w:p w14:paraId="553DDBF5">
            <w:pPr>
              <w:pStyle w:val="94"/>
            </w:pPr>
            <w:r>
              <w:t>其他林地</w:t>
            </w:r>
          </w:p>
        </w:tc>
        <w:tc>
          <w:tcPr>
            <w:tcW w:w="506" w:type="pct"/>
            <w:noWrap/>
            <w:vAlign w:val="center"/>
          </w:tcPr>
          <w:p w14:paraId="412C2DC8">
            <w:pPr>
              <w:pStyle w:val="94"/>
            </w:pPr>
            <w:r>
              <w:t xml:space="preserve">8113.04 </w:t>
            </w:r>
          </w:p>
        </w:tc>
        <w:tc>
          <w:tcPr>
            <w:tcW w:w="457" w:type="pct"/>
            <w:noWrap/>
            <w:vAlign w:val="center"/>
          </w:tcPr>
          <w:p w14:paraId="56E51B16">
            <w:pPr>
              <w:pStyle w:val="94"/>
            </w:pPr>
            <w:r>
              <w:t xml:space="preserve">98.77 </w:t>
            </w:r>
          </w:p>
        </w:tc>
        <w:tc>
          <w:tcPr>
            <w:tcW w:w="556" w:type="pct"/>
            <w:vMerge w:val="continue"/>
            <w:vAlign w:val="center"/>
          </w:tcPr>
          <w:p w14:paraId="2E4CF522">
            <w:pPr>
              <w:pStyle w:val="94"/>
            </w:pPr>
          </w:p>
        </w:tc>
      </w:tr>
      <w:tr w14:paraId="2211E1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0E06B0AE">
            <w:pPr>
              <w:pStyle w:val="94"/>
            </w:pPr>
            <w:r>
              <w:t>21</w:t>
            </w:r>
          </w:p>
        </w:tc>
        <w:tc>
          <w:tcPr>
            <w:tcW w:w="1513" w:type="pct"/>
            <w:vMerge w:val="restart"/>
            <w:noWrap/>
            <w:vAlign w:val="center"/>
          </w:tcPr>
          <w:p w14:paraId="31B4AC93">
            <w:pPr>
              <w:pStyle w:val="94"/>
            </w:pPr>
            <w:r>
              <w:t>LXD5-26</w:t>
            </w:r>
          </w:p>
        </w:tc>
        <w:tc>
          <w:tcPr>
            <w:tcW w:w="1513" w:type="pct"/>
            <w:noWrap/>
            <w:vAlign w:val="center"/>
          </w:tcPr>
          <w:p w14:paraId="7B4D4111">
            <w:pPr>
              <w:pStyle w:val="94"/>
            </w:pPr>
            <w:r>
              <w:t>旱地</w:t>
            </w:r>
          </w:p>
        </w:tc>
        <w:tc>
          <w:tcPr>
            <w:tcW w:w="506" w:type="pct"/>
            <w:noWrap/>
            <w:vAlign w:val="center"/>
          </w:tcPr>
          <w:p w14:paraId="5DC615D2">
            <w:pPr>
              <w:pStyle w:val="94"/>
            </w:pPr>
            <w:r>
              <w:t xml:space="preserve">5443.44 </w:t>
            </w:r>
          </w:p>
        </w:tc>
        <w:tc>
          <w:tcPr>
            <w:tcW w:w="457" w:type="pct"/>
            <w:noWrap/>
            <w:vAlign w:val="center"/>
          </w:tcPr>
          <w:p w14:paraId="134001D1">
            <w:pPr>
              <w:pStyle w:val="94"/>
            </w:pPr>
            <w:r>
              <w:t xml:space="preserve">67.38 </w:t>
            </w:r>
          </w:p>
        </w:tc>
        <w:tc>
          <w:tcPr>
            <w:tcW w:w="556" w:type="pct"/>
            <w:vMerge w:val="restart"/>
            <w:noWrap/>
            <w:vAlign w:val="center"/>
          </w:tcPr>
          <w:p w14:paraId="19927151">
            <w:pPr>
              <w:pStyle w:val="94"/>
            </w:pPr>
            <w:r>
              <w:t xml:space="preserve">8078.85 </w:t>
            </w:r>
          </w:p>
        </w:tc>
      </w:tr>
      <w:tr w14:paraId="252731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22FF2AFD">
            <w:pPr>
              <w:pStyle w:val="94"/>
            </w:pPr>
            <w:r>
              <w:t>22</w:t>
            </w:r>
          </w:p>
        </w:tc>
        <w:tc>
          <w:tcPr>
            <w:tcW w:w="1513" w:type="pct"/>
            <w:vMerge w:val="continue"/>
            <w:vAlign w:val="center"/>
          </w:tcPr>
          <w:p w14:paraId="3220F7F7">
            <w:pPr>
              <w:pStyle w:val="94"/>
            </w:pPr>
          </w:p>
        </w:tc>
        <w:tc>
          <w:tcPr>
            <w:tcW w:w="1513" w:type="pct"/>
            <w:noWrap/>
            <w:vAlign w:val="center"/>
          </w:tcPr>
          <w:p w14:paraId="35D58038">
            <w:pPr>
              <w:pStyle w:val="94"/>
            </w:pPr>
            <w:r>
              <w:t>其他草地</w:t>
            </w:r>
          </w:p>
        </w:tc>
        <w:tc>
          <w:tcPr>
            <w:tcW w:w="506" w:type="pct"/>
            <w:noWrap/>
            <w:vAlign w:val="center"/>
          </w:tcPr>
          <w:p w14:paraId="5AA4B4BE">
            <w:pPr>
              <w:pStyle w:val="94"/>
            </w:pPr>
            <w:r>
              <w:t xml:space="preserve">79.44 </w:t>
            </w:r>
          </w:p>
        </w:tc>
        <w:tc>
          <w:tcPr>
            <w:tcW w:w="457" w:type="pct"/>
            <w:noWrap/>
            <w:vAlign w:val="center"/>
          </w:tcPr>
          <w:p w14:paraId="7BB6B30A">
            <w:pPr>
              <w:pStyle w:val="94"/>
            </w:pPr>
            <w:r>
              <w:t xml:space="preserve">0.98 </w:t>
            </w:r>
          </w:p>
        </w:tc>
        <w:tc>
          <w:tcPr>
            <w:tcW w:w="556" w:type="pct"/>
            <w:vMerge w:val="continue"/>
            <w:vAlign w:val="center"/>
          </w:tcPr>
          <w:p w14:paraId="2AFF748E">
            <w:pPr>
              <w:pStyle w:val="94"/>
            </w:pPr>
          </w:p>
        </w:tc>
      </w:tr>
      <w:tr w14:paraId="760E9E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6B915B72">
            <w:pPr>
              <w:pStyle w:val="94"/>
            </w:pPr>
            <w:r>
              <w:t>23</w:t>
            </w:r>
          </w:p>
        </w:tc>
        <w:tc>
          <w:tcPr>
            <w:tcW w:w="1513" w:type="pct"/>
            <w:vMerge w:val="continue"/>
            <w:vAlign w:val="center"/>
          </w:tcPr>
          <w:p w14:paraId="426E0632">
            <w:pPr>
              <w:pStyle w:val="94"/>
            </w:pPr>
          </w:p>
        </w:tc>
        <w:tc>
          <w:tcPr>
            <w:tcW w:w="1513" w:type="pct"/>
            <w:noWrap/>
            <w:vAlign w:val="center"/>
          </w:tcPr>
          <w:p w14:paraId="11F087A8">
            <w:pPr>
              <w:pStyle w:val="94"/>
            </w:pPr>
            <w:r>
              <w:t>其他林地</w:t>
            </w:r>
          </w:p>
        </w:tc>
        <w:tc>
          <w:tcPr>
            <w:tcW w:w="506" w:type="pct"/>
            <w:noWrap/>
            <w:vAlign w:val="center"/>
          </w:tcPr>
          <w:p w14:paraId="5390E330">
            <w:pPr>
              <w:pStyle w:val="94"/>
            </w:pPr>
            <w:r>
              <w:t xml:space="preserve">2555.97 </w:t>
            </w:r>
          </w:p>
        </w:tc>
        <w:tc>
          <w:tcPr>
            <w:tcW w:w="457" w:type="pct"/>
            <w:noWrap/>
            <w:vAlign w:val="center"/>
          </w:tcPr>
          <w:p w14:paraId="78689A40">
            <w:pPr>
              <w:pStyle w:val="94"/>
            </w:pPr>
            <w:r>
              <w:t xml:space="preserve">31.64 </w:t>
            </w:r>
          </w:p>
        </w:tc>
        <w:tc>
          <w:tcPr>
            <w:tcW w:w="556" w:type="pct"/>
            <w:vMerge w:val="continue"/>
            <w:vAlign w:val="center"/>
          </w:tcPr>
          <w:p w14:paraId="5FF28614">
            <w:pPr>
              <w:pStyle w:val="94"/>
            </w:pPr>
          </w:p>
        </w:tc>
      </w:tr>
      <w:tr w14:paraId="1D7891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29EE3F9D">
            <w:pPr>
              <w:pStyle w:val="94"/>
            </w:pPr>
            <w:r>
              <w:t>24</w:t>
            </w:r>
          </w:p>
        </w:tc>
        <w:tc>
          <w:tcPr>
            <w:tcW w:w="1513" w:type="pct"/>
            <w:noWrap/>
            <w:vAlign w:val="center"/>
          </w:tcPr>
          <w:p w14:paraId="340B45AC">
            <w:pPr>
              <w:pStyle w:val="94"/>
            </w:pPr>
            <w:r>
              <w:t>LXD7-20</w:t>
            </w:r>
          </w:p>
        </w:tc>
        <w:tc>
          <w:tcPr>
            <w:tcW w:w="1513" w:type="pct"/>
            <w:noWrap/>
            <w:vAlign w:val="center"/>
          </w:tcPr>
          <w:p w14:paraId="2F7CB6F2">
            <w:pPr>
              <w:pStyle w:val="94"/>
            </w:pPr>
            <w:r>
              <w:t>其他林地</w:t>
            </w:r>
          </w:p>
        </w:tc>
        <w:tc>
          <w:tcPr>
            <w:tcW w:w="506" w:type="pct"/>
            <w:noWrap/>
            <w:vAlign w:val="center"/>
          </w:tcPr>
          <w:p w14:paraId="5E832520">
            <w:pPr>
              <w:pStyle w:val="94"/>
            </w:pPr>
            <w:r>
              <w:t xml:space="preserve">4862.28 </w:t>
            </w:r>
          </w:p>
        </w:tc>
        <w:tc>
          <w:tcPr>
            <w:tcW w:w="457" w:type="pct"/>
            <w:noWrap/>
            <w:vAlign w:val="center"/>
          </w:tcPr>
          <w:p w14:paraId="683413D7">
            <w:pPr>
              <w:pStyle w:val="94"/>
            </w:pPr>
            <w:r>
              <w:t xml:space="preserve">100.00 </w:t>
            </w:r>
          </w:p>
        </w:tc>
        <w:tc>
          <w:tcPr>
            <w:tcW w:w="556" w:type="pct"/>
            <w:noWrap/>
            <w:vAlign w:val="center"/>
          </w:tcPr>
          <w:p w14:paraId="30EA096E">
            <w:pPr>
              <w:pStyle w:val="94"/>
            </w:pPr>
            <w:r>
              <w:t xml:space="preserve">4862.28 </w:t>
            </w:r>
          </w:p>
        </w:tc>
      </w:tr>
      <w:tr w14:paraId="688050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3564ACD4">
            <w:pPr>
              <w:pStyle w:val="94"/>
            </w:pPr>
            <w:r>
              <w:t>25</w:t>
            </w:r>
          </w:p>
        </w:tc>
        <w:tc>
          <w:tcPr>
            <w:tcW w:w="1513" w:type="pct"/>
            <w:vMerge w:val="restart"/>
            <w:noWrap/>
            <w:vAlign w:val="center"/>
          </w:tcPr>
          <w:p w14:paraId="724714EF">
            <w:pPr>
              <w:pStyle w:val="94"/>
            </w:pPr>
            <w:r>
              <w:t>LXD8-11</w:t>
            </w:r>
          </w:p>
        </w:tc>
        <w:tc>
          <w:tcPr>
            <w:tcW w:w="1513" w:type="pct"/>
            <w:noWrap/>
            <w:vAlign w:val="center"/>
          </w:tcPr>
          <w:p w14:paraId="2BFAFF73">
            <w:pPr>
              <w:pStyle w:val="94"/>
            </w:pPr>
            <w:r>
              <w:t>旱地</w:t>
            </w:r>
          </w:p>
        </w:tc>
        <w:tc>
          <w:tcPr>
            <w:tcW w:w="506" w:type="pct"/>
            <w:noWrap/>
            <w:vAlign w:val="center"/>
          </w:tcPr>
          <w:p w14:paraId="5726A489">
            <w:pPr>
              <w:pStyle w:val="94"/>
            </w:pPr>
            <w:r>
              <w:t xml:space="preserve">1241.97 </w:t>
            </w:r>
          </w:p>
        </w:tc>
        <w:tc>
          <w:tcPr>
            <w:tcW w:w="457" w:type="pct"/>
            <w:noWrap/>
            <w:vAlign w:val="center"/>
          </w:tcPr>
          <w:p w14:paraId="0082F9BC">
            <w:pPr>
              <w:pStyle w:val="94"/>
            </w:pPr>
            <w:r>
              <w:t xml:space="preserve">12.15 </w:t>
            </w:r>
          </w:p>
        </w:tc>
        <w:tc>
          <w:tcPr>
            <w:tcW w:w="556" w:type="pct"/>
            <w:vMerge w:val="restart"/>
            <w:noWrap/>
            <w:vAlign w:val="center"/>
          </w:tcPr>
          <w:p w14:paraId="3BB34C3B">
            <w:pPr>
              <w:pStyle w:val="94"/>
            </w:pPr>
            <w:r>
              <w:t xml:space="preserve">10221.69 </w:t>
            </w:r>
          </w:p>
        </w:tc>
      </w:tr>
      <w:tr w14:paraId="7238A7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1D972E44">
            <w:pPr>
              <w:pStyle w:val="94"/>
            </w:pPr>
            <w:r>
              <w:t>26</w:t>
            </w:r>
          </w:p>
        </w:tc>
        <w:tc>
          <w:tcPr>
            <w:tcW w:w="1513" w:type="pct"/>
            <w:vMerge w:val="continue"/>
            <w:vAlign w:val="center"/>
          </w:tcPr>
          <w:p w14:paraId="4BD6A891">
            <w:pPr>
              <w:pStyle w:val="94"/>
            </w:pPr>
          </w:p>
        </w:tc>
        <w:tc>
          <w:tcPr>
            <w:tcW w:w="1513" w:type="pct"/>
            <w:noWrap/>
            <w:vAlign w:val="center"/>
          </w:tcPr>
          <w:p w14:paraId="050D8F8E">
            <w:pPr>
              <w:pStyle w:val="94"/>
            </w:pPr>
            <w:r>
              <w:t>其他林地</w:t>
            </w:r>
          </w:p>
        </w:tc>
        <w:tc>
          <w:tcPr>
            <w:tcW w:w="506" w:type="pct"/>
            <w:noWrap/>
            <w:vAlign w:val="center"/>
          </w:tcPr>
          <w:p w14:paraId="7448FBFF">
            <w:pPr>
              <w:pStyle w:val="94"/>
            </w:pPr>
            <w:r>
              <w:t xml:space="preserve">8979.72 </w:t>
            </w:r>
          </w:p>
        </w:tc>
        <w:tc>
          <w:tcPr>
            <w:tcW w:w="457" w:type="pct"/>
            <w:noWrap/>
            <w:vAlign w:val="center"/>
          </w:tcPr>
          <w:p w14:paraId="2EF8556E">
            <w:pPr>
              <w:pStyle w:val="94"/>
            </w:pPr>
            <w:r>
              <w:t xml:space="preserve">87.85 </w:t>
            </w:r>
          </w:p>
        </w:tc>
        <w:tc>
          <w:tcPr>
            <w:tcW w:w="556" w:type="pct"/>
            <w:vMerge w:val="continue"/>
            <w:vAlign w:val="center"/>
          </w:tcPr>
          <w:p w14:paraId="07F2371A">
            <w:pPr>
              <w:pStyle w:val="94"/>
            </w:pPr>
          </w:p>
        </w:tc>
      </w:tr>
      <w:tr w14:paraId="079FEE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02839466">
            <w:pPr>
              <w:pStyle w:val="94"/>
            </w:pPr>
            <w:r>
              <w:t>27</w:t>
            </w:r>
          </w:p>
        </w:tc>
        <w:tc>
          <w:tcPr>
            <w:tcW w:w="1513" w:type="pct"/>
            <w:vMerge w:val="restart"/>
            <w:noWrap/>
            <w:vAlign w:val="center"/>
          </w:tcPr>
          <w:p w14:paraId="0CE0B67E">
            <w:pPr>
              <w:pStyle w:val="94"/>
            </w:pPr>
            <w:r>
              <w:t>LXD8-18</w:t>
            </w:r>
          </w:p>
        </w:tc>
        <w:tc>
          <w:tcPr>
            <w:tcW w:w="1513" w:type="pct"/>
            <w:noWrap/>
            <w:vAlign w:val="center"/>
          </w:tcPr>
          <w:p w14:paraId="23C5C46A">
            <w:pPr>
              <w:pStyle w:val="94"/>
            </w:pPr>
            <w:r>
              <w:t>旱地</w:t>
            </w:r>
          </w:p>
        </w:tc>
        <w:tc>
          <w:tcPr>
            <w:tcW w:w="506" w:type="pct"/>
            <w:noWrap/>
            <w:vAlign w:val="center"/>
          </w:tcPr>
          <w:p w14:paraId="750CC94C">
            <w:pPr>
              <w:pStyle w:val="94"/>
            </w:pPr>
            <w:r>
              <w:t xml:space="preserve">3584.87 </w:t>
            </w:r>
          </w:p>
        </w:tc>
        <w:tc>
          <w:tcPr>
            <w:tcW w:w="457" w:type="pct"/>
            <w:noWrap/>
            <w:vAlign w:val="center"/>
          </w:tcPr>
          <w:p w14:paraId="06935F69">
            <w:pPr>
              <w:pStyle w:val="94"/>
            </w:pPr>
            <w:r>
              <w:t xml:space="preserve">42.10 </w:t>
            </w:r>
          </w:p>
        </w:tc>
        <w:tc>
          <w:tcPr>
            <w:tcW w:w="556" w:type="pct"/>
            <w:vMerge w:val="restart"/>
            <w:noWrap/>
            <w:vAlign w:val="center"/>
          </w:tcPr>
          <w:p w14:paraId="5EC00580">
            <w:pPr>
              <w:pStyle w:val="94"/>
            </w:pPr>
            <w:r>
              <w:t xml:space="preserve">8515.52 </w:t>
            </w:r>
          </w:p>
        </w:tc>
      </w:tr>
      <w:tr w14:paraId="0F31B7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1D9AAB2A">
            <w:pPr>
              <w:pStyle w:val="94"/>
            </w:pPr>
            <w:r>
              <w:t>28</w:t>
            </w:r>
          </w:p>
        </w:tc>
        <w:tc>
          <w:tcPr>
            <w:tcW w:w="1513" w:type="pct"/>
            <w:vMerge w:val="continue"/>
            <w:vAlign w:val="center"/>
          </w:tcPr>
          <w:p w14:paraId="51A523CD">
            <w:pPr>
              <w:pStyle w:val="94"/>
            </w:pPr>
          </w:p>
        </w:tc>
        <w:tc>
          <w:tcPr>
            <w:tcW w:w="1513" w:type="pct"/>
            <w:noWrap/>
            <w:vAlign w:val="center"/>
          </w:tcPr>
          <w:p w14:paraId="475B5C7E">
            <w:pPr>
              <w:pStyle w:val="94"/>
            </w:pPr>
            <w:r>
              <w:t>其他草地</w:t>
            </w:r>
          </w:p>
        </w:tc>
        <w:tc>
          <w:tcPr>
            <w:tcW w:w="506" w:type="pct"/>
            <w:noWrap/>
            <w:vAlign w:val="center"/>
          </w:tcPr>
          <w:p w14:paraId="16F832A1">
            <w:pPr>
              <w:pStyle w:val="94"/>
            </w:pPr>
            <w:r>
              <w:t xml:space="preserve">2299.49 </w:t>
            </w:r>
          </w:p>
        </w:tc>
        <w:tc>
          <w:tcPr>
            <w:tcW w:w="457" w:type="pct"/>
            <w:noWrap/>
            <w:vAlign w:val="center"/>
          </w:tcPr>
          <w:p w14:paraId="4ABB10B2">
            <w:pPr>
              <w:pStyle w:val="94"/>
            </w:pPr>
            <w:r>
              <w:t xml:space="preserve">27.00 </w:t>
            </w:r>
          </w:p>
        </w:tc>
        <w:tc>
          <w:tcPr>
            <w:tcW w:w="556" w:type="pct"/>
            <w:vMerge w:val="continue"/>
            <w:vAlign w:val="center"/>
          </w:tcPr>
          <w:p w14:paraId="057C5E13">
            <w:pPr>
              <w:pStyle w:val="94"/>
            </w:pPr>
          </w:p>
        </w:tc>
      </w:tr>
      <w:tr w14:paraId="11559C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01587C1F">
            <w:pPr>
              <w:pStyle w:val="94"/>
            </w:pPr>
            <w:r>
              <w:t>29</w:t>
            </w:r>
          </w:p>
        </w:tc>
        <w:tc>
          <w:tcPr>
            <w:tcW w:w="1513" w:type="pct"/>
            <w:vMerge w:val="continue"/>
            <w:vAlign w:val="center"/>
          </w:tcPr>
          <w:p w14:paraId="3A9E589A">
            <w:pPr>
              <w:pStyle w:val="94"/>
            </w:pPr>
          </w:p>
        </w:tc>
        <w:tc>
          <w:tcPr>
            <w:tcW w:w="1513" w:type="pct"/>
            <w:noWrap/>
            <w:vAlign w:val="center"/>
          </w:tcPr>
          <w:p w14:paraId="67B9CD48">
            <w:pPr>
              <w:pStyle w:val="94"/>
            </w:pPr>
            <w:r>
              <w:t>其他园地</w:t>
            </w:r>
          </w:p>
        </w:tc>
        <w:tc>
          <w:tcPr>
            <w:tcW w:w="506" w:type="pct"/>
            <w:noWrap/>
            <w:vAlign w:val="center"/>
          </w:tcPr>
          <w:p w14:paraId="5E053772">
            <w:pPr>
              <w:pStyle w:val="94"/>
            </w:pPr>
            <w:r>
              <w:t xml:space="preserve">2631.17 </w:t>
            </w:r>
          </w:p>
        </w:tc>
        <w:tc>
          <w:tcPr>
            <w:tcW w:w="457" w:type="pct"/>
            <w:noWrap/>
            <w:vAlign w:val="center"/>
          </w:tcPr>
          <w:p w14:paraId="092CE6A9">
            <w:pPr>
              <w:pStyle w:val="94"/>
            </w:pPr>
            <w:r>
              <w:t xml:space="preserve">30.90 </w:t>
            </w:r>
          </w:p>
        </w:tc>
        <w:tc>
          <w:tcPr>
            <w:tcW w:w="556" w:type="pct"/>
            <w:vMerge w:val="continue"/>
            <w:vAlign w:val="center"/>
          </w:tcPr>
          <w:p w14:paraId="1A99977F">
            <w:pPr>
              <w:pStyle w:val="94"/>
            </w:pPr>
          </w:p>
        </w:tc>
      </w:tr>
      <w:tr w14:paraId="4A59E1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1C548D24">
            <w:pPr>
              <w:pStyle w:val="94"/>
            </w:pPr>
            <w:r>
              <w:t>30</w:t>
            </w:r>
          </w:p>
        </w:tc>
        <w:tc>
          <w:tcPr>
            <w:tcW w:w="1513" w:type="pct"/>
            <w:noWrap/>
            <w:vAlign w:val="center"/>
          </w:tcPr>
          <w:p w14:paraId="72B7530D">
            <w:pPr>
              <w:pStyle w:val="94"/>
            </w:pPr>
            <w:r>
              <w:t>LXD9-23</w:t>
            </w:r>
          </w:p>
        </w:tc>
        <w:tc>
          <w:tcPr>
            <w:tcW w:w="1513" w:type="pct"/>
            <w:noWrap/>
            <w:vAlign w:val="center"/>
          </w:tcPr>
          <w:p w14:paraId="7DFA03AB">
            <w:pPr>
              <w:pStyle w:val="94"/>
            </w:pPr>
            <w:r>
              <w:t>其他林地</w:t>
            </w:r>
          </w:p>
        </w:tc>
        <w:tc>
          <w:tcPr>
            <w:tcW w:w="506" w:type="pct"/>
            <w:noWrap/>
            <w:vAlign w:val="center"/>
          </w:tcPr>
          <w:p w14:paraId="7B6BB153">
            <w:pPr>
              <w:pStyle w:val="94"/>
            </w:pPr>
            <w:r>
              <w:t xml:space="preserve">8762.23 </w:t>
            </w:r>
          </w:p>
        </w:tc>
        <w:tc>
          <w:tcPr>
            <w:tcW w:w="457" w:type="pct"/>
            <w:noWrap/>
            <w:vAlign w:val="center"/>
          </w:tcPr>
          <w:p w14:paraId="6D7EC73E">
            <w:pPr>
              <w:pStyle w:val="94"/>
            </w:pPr>
            <w:r>
              <w:t xml:space="preserve">100.00 </w:t>
            </w:r>
          </w:p>
        </w:tc>
        <w:tc>
          <w:tcPr>
            <w:tcW w:w="556" w:type="pct"/>
            <w:noWrap/>
            <w:vAlign w:val="center"/>
          </w:tcPr>
          <w:p w14:paraId="33AE8CBC">
            <w:pPr>
              <w:pStyle w:val="94"/>
            </w:pPr>
            <w:r>
              <w:t xml:space="preserve">8762.23 </w:t>
            </w:r>
          </w:p>
        </w:tc>
      </w:tr>
      <w:tr w14:paraId="36FAB6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7539AAE7">
            <w:pPr>
              <w:pStyle w:val="94"/>
            </w:pPr>
            <w:r>
              <w:t>31</w:t>
            </w:r>
          </w:p>
        </w:tc>
        <w:tc>
          <w:tcPr>
            <w:tcW w:w="1513" w:type="pct"/>
            <w:vMerge w:val="restart"/>
            <w:noWrap/>
            <w:vAlign w:val="center"/>
          </w:tcPr>
          <w:p w14:paraId="405E49CB">
            <w:pPr>
              <w:pStyle w:val="94"/>
            </w:pPr>
            <w:r>
              <w:t>LXDG-05</w:t>
            </w:r>
          </w:p>
        </w:tc>
        <w:tc>
          <w:tcPr>
            <w:tcW w:w="1513" w:type="pct"/>
            <w:noWrap/>
            <w:vAlign w:val="center"/>
          </w:tcPr>
          <w:p w14:paraId="7C41BD8B">
            <w:pPr>
              <w:pStyle w:val="94"/>
            </w:pPr>
            <w:r>
              <w:t>公路用地</w:t>
            </w:r>
          </w:p>
        </w:tc>
        <w:tc>
          <w:tcPr>
            <w:tcW w:w="506" w:type="pct"/>
            <w:noWrap/>
            <w:vAlign w:val="center"/>
          </w:tcPr>
          <w:p w14:paraId="011184AC">
            <w:pPr>
              <w:pStyle w:val="94"/>
            </w:pPr>
            <w:r>
              <w:t xml:space="preserve">123.65 </w:t>
            </w:r>
          </w:p>
        </w:tc>
        <w:tc>
          <w:tcPr>
            <w:tcW w:w="457" w:type="pct"/>
            <w:noWrap/>
            <w:vAlign w:val="center"/>
          </w:tcPr>
          <w:p w14:paraId="181B61AD">
            <w:pPr>
              <w:pStyle w:val="94"/>
            </w:pPr>
            <w:r>
              <w:t xml:space="preserve">3.12 </w:t>
            </w:r>
          </w:p>
        </w:tc>
        <w:tc>
          <w:tcPr>
            <w:tcW w:w="556" w:type="pct"/>
            <w:vMerge w:val="restart"/>
            <w:noWrap/>
            <w:vAlign w:val="center"/>
          </w:tcPr>
          <w:p w14:paraId="6D7EDD3F">
            <w:pPr>
              <w:pStyle w:val="94"/>
            </w:pPr>
            <w:r>
              <w:t xml:space="preserve">3957.73 </w:t>
            </w:r>
          </w:p>
        </w:tc>
      </w:tr>
      <w:tr w14:paraId="673C82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4B366C69">
            <w:pPr>
              <w:pStyle w:val="94"/>
            </w:pPr>
            <w:r>
              <w:t>32</w:t>
            </w:r>
          </w:p>
        </w:tc>
        <w:tc>
          <w:tcPr>
            <w:tcW w:w="1513" w:type="pct"/>
            <w:vMerge w:val="continue"/>
            <w:vAlign w:val="center"/>
          </w:tcPr>
          <w:p w14:paraId="01E9E40C">
            <w:pPr>
              <w:pStyle w:val="94"/>
            </w:pPr>
          </w:p>
        </w:tc>
        <w:tc>
          <w:tcPr>
            <w:tcW w:w="1513" w:type="pct"/>
            <w:noWrap/>
            <w:vAlign w:val="center"/>
          </w:tcPr>
          <w:p w14:paraId="04DE430E">
            <w:pPr>
              <w:pStyle w:val="94"/>
            </w:pPr>
            <w:r>
              <w:t>旱地</w:t>
            </w:r>
          </w:p>
        </w:tc>
        <w:tc>
          <w:tcPr>
            <w:tcW w:w="506" w:type="pct"/>
            <w:noWrap/>
            <w:vAlign w:val="center"/>
          </w:tcPr>
          <w:p w14:paraId="5DBF2762">
            <w:pPr>
              <w:pStyle w:val="94"/>
            </w:pPr>
            <w:r>
              <w:t xml:space="preserve">2600.27 </w:t>
            </w:r>
          </w:p>
        </w:tc>
        <w:tc>
          <w:tcPr>
            <w:tcW w:w="457" w:type="pct"/>
            <w:noWrap/>
            <w:vAlign w:val="center"/>
          </w:tcPr>
          <w:p w14:paraId="0956CD63">
            <w:pPr>
              <w:pStyle w:val="94"/>
            </w:pPr>
            <w:r>
              <w:t xml:space="preserve">65.70 </w:t>
            </w:r>
          </w:p>
        </w:tc>
        <w:tc>
          <w:tcPr>
            <w:tcW w:w="556" w:type="pct"/>
            <w:vMerge w:val="continue"/>
            <w:vAlign w:val="center"/>
          </w:tcPr>
          <w:p w14:paraId="6211FDA5">
            <w:pPr>
              <w:pStyle w:val="94"/>
            </w:pPr>
          </w:p>
        </w:tc>
      </w:tr>
      <w:tr w14:paraId="3E7D32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177A6B99">
            <w:pPr>
              <w:pStyle w:val="94"/>
            </w:pPr>
            <w:r>
              <w:t>33</w:t>
            </w:r>
          </w:p>
        </w:tc>
        <w:tc>
          <w:tcPr>
            <w:tcW w:w="1513" w:type="pct"/>
            <w:vMerge w:val="continue"/>
            <w:vAlign w:val="center"/>
          </w:tcPr>
          <w:p w14:paraId="4E7E82D4">
            <w:pPr>
              <w:pStyle w:val="94"/>
            </w:pPr>
          </w:p>
        </w:tc>
        <w:tc>
          <w:tcPr>
            <w:tcW w:w="1513" w:type="pct"/>
            <w:noWrap/>
            <w:vAlign w:val="center"/>
          </w:tcPr>
          <w:p w14:paraId="666DEC55">
            <w:pPr>
              <w:pStyle w:val="94"/>
            </w:pPr>
            <w:r>
              <w:t>其他草地</w:t>
            </w:r>
          </w:p>
        </w:tc>
        <w:tc>
          <w:tcPr>
            <w:tcW w:w="506" w:type="pct"/>
            <w:noWrap/>
            <w:vAlign w:val="center"/>
          </w:tcPr>
          <w:p w14:paraId="2210799C">
            <w:pPr>
              <w:pStyle w:val="94"/>
            </w:pPr>
            <w:r>
              <w:t xml:space="preserve">1170.85 </w:t>
            </w:r>
          </w:p>
        </w:tc>
        <w:tc>
          <w:tcPr>
            <w:tcW w:w="457" w:type="pct"/>
            <w:noWrap/>
            <w:vAlign w:val="center"/>
          </w:tcPr>
          <w:p w14:paraId="6D160B65">
            <w:pPr>
              <w:pStyle w:val="94"/>
            </w:pPr>
            <w:r>
              <w:t xml:space="preserve">29.58 </w:t>
            </w:r>
          </w:p>
        </w:tc>
        <w:tc>
          <w:tcPr>
            <w:tcW w:w="556" w:type="pct"/>
            <w:vMerge w:val="continue"/>
            <w:vAlign w:val="center"/>
          </w:tcPr>
          <w:p w14:paraId="01C0049A">
            <w:pPr>
              <w:pStyle w:val="94"/>
            </w:pPr>
          </w:p>
        </w:tc>
      </w:tr>
      <w:tr w14:paraId="44D86E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64047F6D">
            <w:pPr>
              <w:pStyle w:val="94"/>
            </w:pPr>
            <w:r>
              <w:t>34</w:t>
            </w:r>
          </w:p>
        </w:tc>
        <w:tc>
          <w:tcPr>
            <w:tcW w:w="1513" w:type="pct"/>
            <w:vMerge w:val="continue"/>
            <w:vAlign w:val="center"/>
          </w:tcPr>
          <w:p w14:paraId="1B9964CC">
            <w:pPr>
              <w:pStyle w:val="94"/>
            </w:pPr>
          </w:p>
        </w:tc>
        <w:tc>
          <w:tcPr>
            <w:tcW w:w="1513" w:type="pct"/>
            <w:noWrap/>
            <w:vAlign w:val="center"/>
          </w:tcPr>
          <w:p w14:paraId="66BCA4AC">
            <w:pPr>
              <w:pStyle w:val="94"/>
            </w:pPr>
            <w:r>
              <w:t>其他园地</w:t>
            </w:r>
          </w:p>
        </w:tc>
        <w:tc>
          <w:tcPr>
            <w:tcW w:w="506" w:type="pct"/>
            <w:noWrap/>
            <w:vAlign w:val="center"/>
          </w:tcPr>
          <w:p w14:paraId="6E064E05">
            <w:pPr>
              <w:pStyle w:val="94"/>
            </w:pPr>
            <w:r>
              <w:t xml:space="preserve">62.96 </w:t>
            </w:r>
          </w:p>
        </w:tc>
        <w:tc>
          <w:tcPr>
            <w:tcW w:w="457" w:type="pct"/>
            <w:noWrap/>
            <w:vAlign w:val="center"/>
          </w:tcPr>
          <w:p w14:paraId="02EC1978">
            <w:pPr>
              <w:pStyle w:val="94"/>
            </w:pPr>
            <w:r>
              <w:t xml:space="preserve">1.59 </w:t>
            </w:r>
          </w:p>
        </w:tc>
        <w:tc>
          <w:tcPr>
            <w:tcW w:w="556" w:type="pct"/>
            <w:vMerge w:val="continue"/>
            <w:vAlign w:val="center"/>
          </w:tcPr>
          <w:p w14:paraId="3699C99D">
            <w:pPr>
              <w:pStyle w:val="94"/>
            </w:pPr>
          </w:p>
        </w:tc>
      </w:tr>
      <w:tr w14:paraId="6D738A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3E197BEB">
            <w:pPr>
              <w:pStyle w:val="94"/>
            </w:pPr>
            <w:r>
              <w:t>35</w:t>
            </w:r>
          </w:p>
        </w:tc>
        <w:tc>
          <w:tcPr>
            <w:tcW w:w="1513" w:type="pct"/>
            <w:vMerge w:val="restart"/>
            <w:noWrap/>
            <w:vAlign w:val="center"/>
          </w:tcPr>
          <w:p w14:paraId="72B3C740">
            <w:pPr>
              <w:pStyle w:val="94"/>
            </w:pPr>
            <w:r>
              <w:t>LXDG-13</w:t>
            </w:r>
          </w:p>
        </w:tc>
        <w:tc>
          <w:tcPr>
            <w:tcW w:w="1513" w:type="pct"/>
            <w:noWrap/>
            <w:vAlign w:val="center"/>
          </w:tcPr>
          <w:p w14:paraId="75EFDD21">
            <w:pPr>
              <w:pStyle w:val="94"/>
            </w:pPr>
            <w:r>
              <w:t>公路用地</w:t>
            </w:r>
          </w:p>
        </w:tc>
        <w:tc>
          <w:tcPr>
            <w:tcW w:w="506" w:type="pct"/>
            <w:noWrap/>
            <w:vAlign w:val="center"/>
          </w:tcPr>
          <w:p w14:paraId="0E0336FF">
            <w:pPr>
              <w:pStyle w:val="94"/>
            </w:pPr>
            <w:r>
              <w:t xml:space="preserve">0.25 </w:t>
            </w:r>
          </w:p>
        </w:tc>
        <w:tc>
          <w:tcPr>
            <w:tcW w:w="457" w:type="pct"/>
            <w:noWrap/>
            <w:vAlign w:val="center"/>
          </w:tcPr>
          <w:p w14:paraId="2C619FCB">
            <w:pPr>
              <w:pStyle w:val="94"/>
            </w:pPr>
            <w:r>
              <w:t xml:space="preserve">0.01 </w:t>
            </w:r>
          </w:p>
        </w:tc>
        <w:tc>
          <w:tcPr>
            <w:tcW w:w="556" w:type="pct"/>
            <w:vMerge w:val="restart"/>
            <w:noWrap/>
            <w:vAlign w:val="center"/>
          </w:tcPr>
          <w:p w14:paraId="383BE957">
            <w:pPr>
              <w:pStyle w:val="94"/>
            </w:pPr>
            <w:r>
              <w:t xml:space="preserve">3689.23 </w:t>
            </w:r>
          </w:p>
        </w:tc>
      </w:tr>
      <w:tr w14:paraId="69DE74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04858C3F">
            <w:pPr>
              <w:pStyle w:val="94"/>
            </w:pPr>
            <w:r>
              <w:t>36</w:t>
            </w:r>
          </w:p>
        </w:tc>
        <w:tc>
          <w:tcPr>
            <w:tcW w:w="1513" w:type="pct"/>
            <w:vMerge w:val="continue"/>
            <w:vAlign w:val="center"/>
          </w:tcPr>
          <w:p w14:paraId="1261F1FB">
            <w:pPr>
              <w:pStyle w:val="94"/>
            </w:pPr>
          </w:p>
        </w:tc>
        <w:tc>
          <w:tcPr>
            <w:tcW w:w="1513" w:type="pct"/>
            <w:noWrap/>
            <w:vAlign w:val="center"/>
          </w:tcPr>
          <w:p w14:paraId="528CDA49">
            <w:pPr>
              <w:pStyle w:val="94"/>
            </w:pPr>
            <w:r>
              <w:t>旱地</w:t>
            </w:r>
          </w:p>
        </w:tc>
        <w:tc>
          <w:tcPr>
            <w:tcW w:w="506" w:type="pct"/>
            <w:noWrap/>
            <w:vAlign w:val="center"/>
          </w:tcPr>
          <w:p w14:paraId="009F13E4">
            <w:pPr>
              <w:pStyle w:val="94"/>
            </w:pPr>
            <w:r>
              <w:t xml:space="preserve">3609.75 </w:t>
            </w:r>
          </w:p>
        </w:tc>
        <w:tc>
          <w:tcPr>
            <w:tcW w:w="457" w:type="pct"/>
            <w:noWrap/>
            <w:vAlign w:val="center"/>
          </w:tcPr>
          <w:p w14:paraId="71CABE7C">
            <w:pPr>
              <w:pStyle w:val="94"/>
            </w:pPr>
            <w:r>
              <w:t xml:space="preserve">97.85 </w:t>
            </w:r>
          </w:p>
        </w:tc>
        <w:tc>
          <w:tcPr>
            <w:tcW w:w="556" w:type="pct"/>
            <w:vMerge w:val="continue"/>
            <w:vAlign w:val="center"/>
          </w:tcPr>
          <w:p w14:paraId="09FA7EC8">
            <w:pPr>
              <w:pStyle w:val="94"/>
            </w:pPr>
          </w:p>
        </w:tc>
      </w:tr>
      <w:tr w14:paraId="297CFF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162F0FA1">
            <w:pPr>
              <w:pStyle w:val="94"/>
            </w:pPr>
            <w:r>
              <w:t>37</w:t>
            </w:r>
          </w:p>
        </w:tc>
        <w:tc>
          <w:tcPr>
            <w:tcW w:w="1513" w:type="pct"/>
            <w:vMerge w:val="continue"/>
            <w:vAlign w:val="center"/>
          </w:tcPr>
          <w:p w14:paraId="267753DB">
            <w:pPr>
              <w:pStyle w:val="94"/>
            </w:pPr>
          </w:p>
        </w:tc>
        <w:tc>
          <w:tcPr>
            <w:tcW w:w="1513" w:type="pct"/>
            <w:noWrap/>
            <w:vAlign w:val="center"/>
          </w:tcPr>
          <w:p w14:paraId="4AD8AD28">
            <w:pPr>
              <w:pStyle w:val="94"/>
            </w:pPr>
            <w:r>
              <w:t>其他林地</w:t>
            </w:r>
          </w:p>
        </w:tc>
        <w:tc>
          <w:tcPr>
            <w:tcW w:w="506" w:type="pct"/>
            <w:noWrap/>
            <w:vAlign w:val="center"/>
          </w:tcPr>
          <w:p w14:paraId="7577C500">
            <w:pPr>
              <w:pStyle w:val="94"/>
            </w:pPr>
            <w:r>
              <w:t xml:space="preserve">79.23 </w:t>
            </w:r>
          </w:p>
        </w:tc>
        <w:tc>
          <w:tcPr>
            <w:tcW w:w="457" w:type="pct"/>
            <w:noWrap/>
            <w:vAlign w:val="center"/>
          </w:tcPr>
          <w:p w14:paraId="0ECD794E">
            <w:pPr>
              <w:pStyle w:val="94"/>
            </w:pPr>
            <w:r>
              <w:t xml:space="preserve">2.15 </w:t>
            </w:r>
          </w:p>
        </w:tc>
        <w:tc>
          <w:tcPr>
            <w:tcW w:w="556" w:type="pct"/>
            <w:vMerge w:val="continue"/>
            <w:vAlign w:val="center"/>
          </w:tcPr>
          <w:p w14:paraId="7BB352D0">
            <w:pPr>
              <w:pStyle w:val="94"/>
            </w:pPr>
          </w:p>
        </w:tc>
      </w:tr>
      <w:tr w14:paraId="7636CF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3B65C115">
            <w:pPr>
              <w:pStyle w:val="94"/>
            </w:pPr>
            <w:r>
              <w:t>38</w:t>
            </w:r>
          </w:p>
        </w:tc>
        <w:tc>
          <w:tcPr>
            <w:tcW w:w="1513" w:type="pct"/>
            <w:vMerge w:val="restart"/>
            <w:noWrap/>
            <w:vAlign w:val="center"/>
          </w:tcPr>
          <w:p w14:paraId="49AD272F">
            <w:pPr>
              <w:pStyle w:val="94"/>
            </w:pPr>
            <w:r>
              <w:t>LXDG-14</w:t>
            </w:r>
          </w:p>
        </w:tc>
        <w:tc>
          <w:tcPr>
            <w:tcW w:w="1513" w:type="pct"/>
            <w:noWrap/>
            <w:vAlign w:val="center"/>
          </w:tcPr>
          <w:p w14:paraId="12C506C6">
            <w:pPr>
              <w:pStyle w:val="94"/>
            </w:pPr>
            <w:r>
              <w:t>裸岩石砾地</w:t>
            </w:r>
          </w:p>
        </w:tc>
        <w:tc>
          <w:tcPr>
            <w:tcW w:w="506" w:type="pct"/>
            <w:noWrap/>
            <w:vAlign w:val="center"/>
          </w:tcPr>
          <w:p w14:paraId="2BA1A575">
            <w:pPr>
              <w:pStyle w:val="94"/>
            </w:pPr>
            <w:r>
              <w:t xml:space="preserve">1153.36 </w:t>
            </w:r>
          </w:p>
        </w:tc>
        <w:tc>
          <w:tcPr>
            <w:tcW w:w="457" w:type="pct"/>
            <w:noWrap/>
            <w:vAlign w:val="center"/>
          </w:tcPr>
          <w:p w14:paraId="735556F0">
            <w:pPr>
              <w:pStyle w:val="94"/>
            </w:pPr>
            <w:r>
              <w:t xml:space="preserve">10.83 </w:t>
            </w:r>
          </w:p>
        </w:tc>
        <w:tc>
          <w:tcPr>
            <w:tcW w:w="556" w:type="pct"/>
            <w:vMerge w:val="restart"/>
            <w:noWrap/>
            <w:vAlign w:val="center"/>
          </w:tcPr>
          <w:p w14:paraId="2BF5226F">
            <w:pPr>
              <w:pStyle w:val="94"/>
            </w:pPr>
            <w:r>
              <w:t xml:space="preserve">10648.39 </w:t>
            </w:r>
          </w:p>
        </w:tc>
      </w:tr>
      <w:tr w14:paraId="372E7D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2FD165CB">
            <w:pPr>
              <w:pStyle w:val="94"/>
            </w:pPr>
            <w:r>
              <w:t>39</w:t>
            </w:r>
          </w:p>
        </w:tc>
        <w:tc>
          <w:tcPr>
            <w:tcW w:w="1513" w:type="pct"/>
            <w:vMerge w:val="continue"/>
            <w:vAlign w:val="center"/>
          </w:tcPr>
          <w:p w14:paraId="0F3AF730">
            <w:pPr>
              <w:pStyle w:val="94"/>
            </w:pPr>
          </w:p>
        </w:tc>
        <w:tc>
          <w:tcPr>
            <w:tcW w:w="1513" w:type="pct"/>
            <w:noWrap/>
            <w:vAlign w:val="center"/>
          </w:tcPr>
          <w:p w14:paraId="6429A921">
            <w:pPr>
              <w:pStyle w:val="94"/>
            </w:pPr>
            <w:r>
              <w:t>其他园地</w:t>
            </w:r>
          </w:p>
        </w:tc>
        <w:tc>
          <w:tcPr>
            <w:tcW w:w="506" w:type="pct"/>
            <w:noWrap/>
            <w:vAlign w:val="center"/>
          </w:tcPr>
          <w:p w14:paraId="2D4A35C6">
            <w:pPr>
              <w:pStyle w:val="94"/>
            </w:pPr>
            <w:r>
              <w:t xml:space="preserve">9495.03 </w:t>
            </w:r>
          </w:p>
        </w:tc>
        <w:tc>
          <w:tcPr>
            <w:tcW w:w="457" w:type="pct"/>
            <w:noWrap/>
            <w:vAlign w:val="center"/>
          </w:tcPr>
          <w:p w14:paraId="12FDBE28">
            <w:pPr>
              <w:pStyle w:val="94"/>
            </w:pPr>
            <w:r>
              <w:t xml:space="preserve">89.17 </w:t>
            </w:r>
          </w:p>
        </w:tc>
        <w:tc>
          <w:tcPr>
            <w:tcW w:w="556" w:type="pct"/>
            <w:vMerge w:val="continue"/>
            <w:vAlign w:val="center"/>
          </w:tcPr>
          <w:p w14:paraId="2B74B41D">
            <w:pPr>
              <w:pStyle w:val="94"/>
            </w:pPr>
          </w:p>
        </w:tc>
      </w:tr>
      <w:tr w14:paraId="04D3D0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0D82FE22">
            <w:pPr>
              <w:pStyle w:val="94"/>
            </w:pPr>
            <w:r>
              <w:t>40</w:t>
            </w:r>
          </w:p>
        </w:tc>
        <w:tc>
          <w:tcPr>
            <w:tcW w:w="1513" w:type="pct"/>
            <w:noWrap/>
            <w:vAlign w:val="center"/>
          </w:tcPr>
          <w:p w14:paraId="755C1918">
            <w:pPr>
              <w:pStyle w:val="94"/>
            </w:pPr>
            <w:r>
              <w:t>LXDG-15</w:t>
            </w:r>
          </w:p>
        </w:tc>
        <w:tc>
          <w:tcPr>
            <w:tcW w:w="1513" w:type="pct"/>
            <w:noWrap/>
            <w:vAlign w:val="center"/>
          </w:tcPr>
          <w:p w14:paraId="693B9724">
            <w:pPr>
              <w:pStyle w:val="94"/>
            </w:pPr>
            <w:r>
              <w:t>果园</w:t>
            </w:r>
          </w:p>
        </w:tc>
        <w:tc>
          <w:tcPr>
            <w:tcW w:w="506" w:type="pct"/>
            <w:noWrap/>
            <w:vAlign w:val="center"/>
          </w:tcPr>
          <w:p w14:paraId="2E222FCC">
            <w:pPr>
              <w:pStyle w:val="94"/>
            </w:pPr>
            <w:r>
              <w:t xml:space="preserve">15752.09 </w:t>
            </w:r>
          </w:p>
        </w:tc>
        <w:tc>
          <w:tcPr>
            <w:tcW w:w="457" w:type="pct"/>
            <w:noWrap/>
            <w:vAlign w:val="center"/>
          </w:tcPr>
          <w:p w14:paraId="70907847">
            <w:pPr>
              <w:pStyle w:val="94"/>
            </w:pPr>
            <w:r>
              <w:t xml:space="preserve">100.00 </w:t>
            </w:r>
          </w:p>
        </w:tc>
        <w:tc>
          <w:tcPr>
            <w:tcW w:w="556" w:type="pct"/>
            <w:noWrap/>
            <w:vAlign w:val="center"/>
          </w:tcPr>
          <w:p w14:paraId="71632D75">
            <w:pPr>
              <w:pStyle w:val="94"/>
            </w:pPr>
            <w:r>
              <w:t xml:space="preserve">15752.09 </w:t>
            </w:r>
          </w:p>
        </w:tc>
      </w:tr>
      <w:tr w14:paraId="6104C3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4CF18C3F">
            <w:pPr>
              <w:pStyle w:val="94"/>
            </w:pPr>
            <w:r>
              <w:t>41</w:t>
            </w:r>
          </w:p>
        </w:tc>
        <w:tc>
          <w:tcPr>
            <w:tcW w:w="1513" w:type="pct"/>
            <w:vMerge w:val="restart"/>
            <w:noWrap/>
            <w:vAlign w:val="center"/>
          </w:tcPr>
          <w:p w14:paraId="699E2201">
            <w:pPr>
              <w:pStyle w:val="94"/>
            </w:pPr>
            <w:r>
              <w:t>LXDG-16</w:t>
            </w:r>
          </w:p>
        </w:tc>
        <w:tc>
          <w:tcPr>
            <w:tcW w:w="1513" w:type="pct"/>
            <w:noWrap/>
            <w:vAlign w:val="center"/>
          </w:tcPr>
          <w:p w14:paraId="728B6763">
            <w:pPr>
              <w:pStyle w:val="94"/>
            </w:pPr>
            <w:r>
              <w:t>旱地</w:t>
            </w:r>
          </w:p>
        </w:tc>
        <w:tc>
          <w:tcPr>
            <w:tcW w:w="506" w:type="pct"/>
            <w:noWrap/>
            <w:vAlign w:val="center"/>
          </w:tcPr>
          <w:p w14:paraId="690A37CD">
            <w:pPr>
              <w:pStyle w:val="94"/>
            </w:pPr>
            <w:r>
              <w:t xml:space="preserve">10833.98 </w:t>
            </w:r>
          </w:p>
        </w:tc>
        <w:tc>
          <w:tcPr>
            <w:tcW w:w="457" w:type="pct"/>
            <w:noWrap/>
            <w:vAlign w:val="center"/>
          </w:tcPr>
          <w:p w14:paraId="480B909C">
            <w:pPr>
              <w:pStyle w:val="94"/>
            </w:pPr>
            <w:r>
              <w:t xml:space="preserve">100.00 </w:t>
            </w:r>
          </w:p>
        </w:tc>
        <w:tc>
          <w:tcPr>
            <w:tcW w:w="556" w:type="pct"/>
            <w:vMerge w:val="restart"/>
            <w:noWrap/>
            <w:vAlign w:val="center"/>
          </w:tcPr>
          <w:p w14:paraId="7EB7820A">
            <w:pPr>
              <w:pStyle w:val="94"/>
            </w:pPr>
            <w:r>
              <w:t xml:space="preserve">10834.01 </w:t>
            </w:r>
          </w:p>
        </w:tc>
      </w:tr>
      <w:tr w14:paraId="3AF899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0EDB472A">
            <w:pPr>
              <w:pStyle w:val="94"/>
            </w:pPr>
            <w:r>
              <w:t>42</w:t>
            </w:r>
          </w:p>
        </w:tc>
        <w:tc>
          <w:tcPr>
            <w:tcW w:w="1513" w:type="pct"/>
            <w:vMerge w:val="continue"/>
            <w:vAlign w:val="center"/>
          </w:tcPr>
          <w:p w14:paraId="0D45C11F">
            <w:pPr>
              <w:pStyle w:val="94"/>
            </w:pPr>
          </w:p>
        </w:tc>
        <w:tc>
          <w:tcPr>
            <w:tcW w:w="1513" w:type="pct"/>
            <w:noWrap/>
            <w:vAlign w:val="center"/>
          </w:tcPr>
          <w:p w14:paraId="480E71D7">
            <w:pPr>
              <w:pStyle w:val="94"/>
            </w:pPr>
            <w:r>
              <w:t>其他草地</w:t>
            </w:r>
          </w:p>
        </w:tc>
        <w:tc>
          <w:tcPr>
            <w:tcW w:w="506" w:type="pct"/>
            <w:noWrap/>
            <w:vAlign w:val="center"/>
          </w:tcPr>
          <w:p w14:paraId="6D322C0E">
            <w:pPr>
              <w:pStyle w:val="94"/>
            </w:pPr>
            <w:r>
              <w:t xml:space="preserve">0.03 </w:t>
            </w:r>
          </w:p>
        </w:tc>
        <w:tc>
          <w:tcPr>
            <w:tcW w:w="457" w:type="pct"/>
            <w:noWrap/>
            <w:vAlign w:val="center"/>
          </w:tcPr>
          <w:p w14:paraId="38D104F4">
            <w:pPr>
              <w:pStyle w:val="94"/>
            </w:pPr>
            <w:r>
              <w:t xml:space="preserve">0.00 </w:t>
            </w:r>
          </w:p>
        </w:tc>
        <w:tc>
          <w:tcPr>
            <w:tcW w:w="556" w:type="pct"/>
            <w:vMerge w:val="continue"/>
            <w:vAlign w:val="center"/>
          </w:tcPr>
          <w:p w14:paraId="45B7E5D3">
            <w:pPr>
              <w:pStyle w:val="94"/>
            </w:pPr>
          </w:p>
        </w:tc>
      </w:tr>
      <w:tr w14:paraId="08FA1E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6E2C93BB">
            <w:pPr>
              <w:pStyle w:val="94"/>
            </w:pPr>
            <w:r>
              <w:t>43</w:t>
            </w:r>
          </w:p>
        </w:tc>
        <w:tc>
          <w:tcPr>
            <w:tcW w:w="1513" w:type="pct"/>
            <w:vMerge w:val="restart"/>
            <w:noWrap/>
            <w:vAlign w:val="center"/>
          </w:tcPr>
          <w:p w14:paraId="3F2C5FE0">
            <w:pPr>
              <w:pStyle w:val="94"/>
            </w:pPr>
            <w:r>
              <w:t>LXDG-17</w:t>
            </w:r>
          </w:p>
        </w:tc>
        <w:tc>
          <w:tcPr>
            <w:tcW w:w="1513" w:type="pct"/>
            <w:noWrap/>
            <w:vAlign w:val="center"/>
          </w:tcPr>
          <w:p w14:paraId="2466E06E">
            <w:pPr>
              <w:pStyle w:val="94"/>
            </w:pPr>
            <w:r>
              <w:t>其他草地</w:t>
            </w:r>
          </w:p>
        </w:tc>
        <w:tc>
          <w:tcPr>
            <w:tcW w:w="506" w:type="pct"/>
            <w:noWrap/>
            <w:vAlign w:val="center"/>
          </w:tcPr>
          <w:p w14:paraId="19BC9D73">
            <w:pPr>
              <w:pStyle w:val="94"/>
            </w:pPr>
            <w:r>
              <w:t xml:space="preserve">857.85 </w:t>
            </w:r>
          </w:p>
        </w:tc>
        <w:tc>
          <w:tcPr>
            <w:tcW w:w="457" w:type="pct"/>
            <w:noWrap/>
            <w:vAlign w:val="center"/>
          </w:tcPr>
          <w:p w14:paraId="73F1152C">
            <w:pPr>
              <w:pStyle w:val="94"/>
            </w:pPr>
            <w:r>
              <w:t xml:space="preserve">6.58 </w:t>
            </w:r>
          </w:p>
        </w:tc>
        <w:tc>
          <w:tcPr>
            <w:tcW w:w="556" w:type="pct"/>
            <w:vMerge w:val="restart"/>
            <w:noWrap/>
            <w:vAlign w:val="center"/>
          </w:tcPr>
          <w:p w14:paraId="02C6355F">
            <w:pPr>
              <w:pStyle w:val="94"/>
            </w:pPr>
            <w:r>
              <w:t xml:space="preserve">13044.67 </w:t>
            </w:r>
          </w:p>
        </w:tc>
      </w:tr>
      <w:tr w14:paraId="5BCA96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55" w:type="pct"/>
            <w:noWrap/>
            <w:vAlign w:val="center"/>
          </w:tcPr>
          <w:p w14:paraId="7E78CB23">
            <w:pPr>
              <w:pStyle w:val="94"/>
            </w:pPr>
            <w:r>
              <w:t>44</w:t>
            </w:r>
          </w:p>
        </w:tc>
        <w:tc>
          <w:tcPr>
            <w:tcW w:w="1513" w:type="pct"/>
            <w:vMerge w:val="continue"/>
            <w:vAlign w:val="center"/>
          </w:tcPr>
          <w:p w14:paraId="7B15F630">
            <w:pPr>
              <w:pStyle w:val="94"/>
            </w:pPr>
          </w:p>
        </w:tc>
        <w:tc>
          <w:tcPr>
            <w:tcW w:w="1513" w:type="pct"/>
            <w:noWrap/>
            <w:vAlign w:val="center"/>
          </w:tcPr>
          <w:p w14:paraId="14928381">
            <w:pPr>
              <w:pStyle w:val="94"/>
            </w:pPr>
            <w:r>
              <w:t>其他林地</w:t>
            </w:r>
          </w:p>
        </w:tc>
        <w:tc>
          <w:tcPr>
            <w:tcW w:w="506" w:type="pct"/>
            <w:noWrap/>
            <w:vAlign w:val="center"/>
          </w:tcPr>
          <w:p w14:paraId="53CBAD46">
            <w:pPr>
              <w:pStyle w:val="94"/>
            </w:pPr>
            <w:r>
              <w:t xml:space="preserve">12186.82 </w:t>
            </w:r>
          </w:p>
        </w:tc>
        <w:tc>
          <w:tcPr>
            <w:tcW w:w="457" w:type="pct"/>
            <w:noWrap/>
            <w:vAlign w:val="center"/>
          </w:tcPr>
          <w:p w14:paraId="47C34639">
            <w:pPr>
              <w:pStyle w:val="94"/>
            </w:pPr>
            <w:r>
              <w:t xml:space="preserve">93.42 </w:t>
            </w:r>
          </w:p>
        </w:tc>
        <w:tc>
          <w:tcPr>
            <w:tcW w:w="556" w:type="pct"/>
            <w:vMerge w:val="continue"/>
            <w:vAlign w:val="center"/>
          </w:tcPr>
          <w:p w14:paraId="2969D2D9">
            <w:pPr>
              <w:pStyle w:val="94"/>
            </w:pPr>
          </w:p>
        </w:tc>
      </w:tr>
      <w:tr w14:paraId="5572E4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444" w:type="pct"/>
            <w:gridSpan w:val="5"/>
            <w:noWrap/>
            <w:vAlign w:val="center"/>
          </w:tcPr>
          <w:p w14:paraId="05E9E05D">
            <w:pPr>
              <w:pStyle w:val="94"/>
            </w:pPr>
            <w:r>
              <w:rPr>
                <w:rFonts w:hint="eastAsia"/>
              </w:rPr>
              <w:t>合计</w:t>
            </w:r>
          </w:p>
        </w:tc>
        <w:tc>
          <w:tcPr>
            <w:tcW w:w="556" w:type="pct"/>
            <w:noWrap/>
            <w:vAlign w:val="center"/>
          </w:tcPr>
          <w:p w14:paraId="7850F924">
            <w:pPr>
              <w:pStyle w:val="94"/>
            </w:pPr>
            <w:r>
              <w:t xml:space="preserve">216943.92 </w:t>
            </w:r>
          </w:p>
        </w:tc>
      </w:tr>
    </w:tbl>
    <w:p w14:paraId="6C33EE5D">
      <w:pPr>
        <w:pStyle w:val="96"/>
        <w:ind w:firstLine="480"/>
      </w:pPr>
    </w:p>
    <w:p w14:paraId="55757FAC">
      <w:pPr>
        <w:pStyle w:val="96"/>
        <w:ind w:firstLine="480"/>
      </w:pPr>
      <w:r>
        <w:t>根据图表显示，评价区土地利用以</w:t>
      </w:r>
      <w:r>
        <w:rPr>
          <w:rFonts w:hint="eastAsia"/>
        </w:rPr>
        <w:t>其他草地</w:t>
      </w:r>
      <w:r>
        <w:t>为主，</w:t>
      </w:r>
      <w:r>
        <w:rPr>
          <w:rFonts w:hint="eastAsia"/>
        </w:rPr>
        <w:t>面积约为</w:t>
      </w:r>
      <w:r>
        <w:t>211.31</w:t>
      </w:r>
      <w:r>
        <w:rPr>
          <w:rFonts w:hint="eastAsia"/>
        </w:rPr>
        <w:t>ha，</w:t>
      </w:r>
      <w:r>
        <w:t>占评价区总面积的40.21%</w:t>
      </w:r>
      <w:bookmarkStart w:id="145" w:name="OLE_LINK34"/>
      <w:r>
        <w:rPr>
          <w:rFonts w:hint="eastAsia"/>
        </w:rPr>
        <w:t>。</w:t>
      </w:r>
    </w:p>
    <w:bookmarkEnd w:id="145"/>
    <w:p w14:paraId="17AFDCCD">
      <w:pPr>
        <w:pStyle w:val="96"/>
        <w:ind w:firstLine="480"/>
      </w:pPr>
      <w:r>
        <w:rPr>
          <w:rFonts w:hint="eastAsia"/>
        </w:rPr>
        <w:t>井场占地范围内以旱地为主，面积约为</w:t>
      </w:r>
      <w:r>
        <w:t>6.68</w:t>
      </w:r>
      <w:r>
        <w:rPr>
          <w:rFonts w:hint="eastAsia"/>
        </w:rPr>
        <w:t>ha，占比为</w:t>
      </w:r>
      <w:r>
        <w:t>30.81</w:t>
      </w:r>
      <w:r>
        <w:rPr>
          <w:rFonts w:hint="eastAsia"/>
        </w:rPr>
        <w:t>%，井场道路主要占地类型为其他草地，面积约为0</w:t>
      </w:r>
      <w:r>
        <w:t>.50</w:t>
      </w:r>
      <w:r>
        <w:rPr>
          <w:rFonts w:hint="eastAsia"/>
        </w:rPr>
        <w:t>ha，占比为</w:t>
      </w:r>
      <w:r>
        <w:t>40.67</w:t>
      </w:r>
      <w:r>
        <w:rPr>
          <w:rFonts w:hint="eastAsia"/>
        </w:rPr>
        <w:t>%。</w:t>
      </w:r>
    </w:p>
    <w:p w14:paraId="50B66CDA">
      <w:pPr>
        <w:pStyle w:val="4"/>
      </w:pPr>
      <w:bookmarkStart w:id="146" w:name="_Toc171579822"/>
      <w:bookmarkStart w:id="147" w:name="_Ref153670684"/>
      <w:r>
        <w:rPr>
          <w:rFonts w:hint="eastAsia"/>
        </w:rPr>
        <w:t>植被及植物资源现状</w:t>
      </w:r>
      <w:bookmarkEnd w:id="146"/>
      <w:bookmarkEnd w:id="147"/>
    </w:p>
    <w:p w14:paraId="017AD2DF">
      <w:pPr>
        <w:pStyle w:val="5"/>
      </w:pPr>
      <w:r>
        <w:rPr>
          <w:rFonts w:hint="eastAsia"/>
        </w:rPr>
        <w:t>植被覆盖度调查</w:t>
      </w:r>
    </w:p>
    <w:p w14:paraId="5FF86929">
      <w:pPr>
        <w:pStyle w:val="96"/>
        <w:ind w:firstLine="480"/>
      </w:pPr>
      <w:r>
        <w:rPr>
          <w:rFonts w:hint="eastAsia"/>
        </w:rPr>
        <w:t>本次评价采用高分二号卫星影像，截取时间为202</w:t>
      </w:r>
      <w:r>
        <w:t>3</w:t>
      </w:r>
      <w:r>
        <w:rPr>
          <w:rFonts w:hint="eastAsia"/>
        </w:rPr>
        <w:t>年9月，通过ENVI波段运算计算评价区植被覆盖率，然后按照0-30%；30%-45%；45%-60%；60%-75%；75%-100%分为5个等级，据见下表。</w:t>
      </w:r>
    </w:p>
    <w:p w14:paraId="57E733EB">
      <w:pPr>
        <w:pStyle w:val="19"/>
        <w:keepNext/>
      </w:pPr>
      <w:r>
        <w:t xml:space="preserve">表 </w:t>
      </w:r>
      <w:r>
        <w:fldChar w:fldCharType="begin"/>
      </w:r>
      <w:r>
        <w:instrText xml:space="preserve"> SEQ 表 \* ARABIC </w:instrText>
      </w:r>
      <w:r>
        <w:fldChar w:fldCharType="separate"/>
      </w:r>
      <w:r>
        <w:t>52</w:t>
      </w:r>
      <w:r>
        <w:fldChar w:fldCharType="end"/>
      </w:r>
      <w:r>
        <w:rPr>
          <w:rFonts w:hint="eastAsia"/>
        </w:rPr>
        <w:t>本项目评价范围植被覆盖度统计表</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309"/>
        <w:gridCol w:w="2147"/>
        <w:gridCol w:w="2613"/>
        <w:gridCol w:w="2613"/>
      </w:tblGrid>
      <w:tr w14:paraId="0EC745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1549" w:type="pct"/>
            <w:noWrap/>
            <w:vAlign w:val="center"/>
          </w:tcPr>
          <w:p w14:paraId="5BBFA47F">
            <w:pPr>
              <w:pStyle w:val="94"/>
              <w:rPr>
                <w:color w:val="auto"/>
              </w:rPr>
            </w:pPr>
            <w:r>
              <w:rPr>
                <w:color w:val="auto"/>
              </w:rPr>
              <w:t>植被覆盖度分级</w:t>
            </w:r>
          </w:p>
        </w:tc>
        <w:tc>
          <w:tcPr>
            <w:tcW w:w="1005" w:type="pct"/>
            <w:noWrap/>
            <w:vAlign w:val="center"/>
          </w:tcPr>
          <w:p w14:paraId="62168C14">
            <w:pPr>
              <w:pStyle w:val="94"/>
              <w:rPr>
                <w:color w:val="auto"/>
              </w:rPr>
            </w:pPr>
            <w:r>
              <w:rPr>
                <w:color w:val="auto"/>
              </w:rPr>
              <w:t>分级标准</w:t>
            </w:r>
          </w:p>
        </w:tc>
        <w:tc>
          <w:tcPr>
            <w:tcW w:w="1223" w:type="pct"/>
            <w:noWrap/>
            <w:vAlign w:val="center"/>
          </w:tcPr>
          <w:p w14:paraId="1608C358">
            <w:pPr>
              <w:pStyle w:val="94"/>
              <w:rPr>
                <w:color w:val="auto"/>
              </w:rPr>
            </w:pPr>
            <w:r>
              <w:rPr>
                <w:color w:val="auto"/>
              </w:rPr>
              <w:t>面积ha</w:t>
            </w:r>
          </w:p>
        </w:tc>
        <w:tc>
          <w:tcPr>
            <w:tcW w:w="1223" w:type="pct"/>
            <w:noWrap/>
            <w:vAlign w:val="center"/>
          </w:tcPr>
          <w:p w14:paraId="693AC5E8">
            <w:pPr>
              <w:pStyle w:val="94"/>
              <w:rPr>
                <w:color w:val="auto"/>
              </w:rPr>
            </w:pPr>
            <w:r>
              <w:rPr>
                <w:rFonts w:hint="eastAsia"/>
                <w:color w:val="auto"/>
              </w:rPr>
              <w:t>占比%</w:t>
            </w:r>
          </w:p>
        </w:tc>
      </w:tr>
      <w:tr w14:paraId="6EACB5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1549" w:type="pct"/>
            <w:noWrap/>
            <w:vAlign w:val="center"/>
          </w:tcPr>
          <w:p w14:paraId="0DBA63A8">
            <w:pPr>
              <w:pStyle w:val="94"/>
              <w:rPr>
                <w:color w:val="auto"/>
              </w:rPr>
            </w:pPr>
            <w:r>
              <w:rPr>
                <w:color w:val="auto"/>
              </w:rPr>
              <w:t>低植被覆盖度</w:t>
            </w:r>
          </w:p>
        </w:tc>
        <w:tc>
          <w:tcPr>
            <w:tcW w:w="1005" w:type="pct"/>
            <w:noWrap/>
            <w:vAlign w:val="center"/>
          </w:tcPr>
          <w:p w14:paraId="428DDEDA">
            <w:pPr>
              <w:pStyle w:val="94"/>
              <w:rPr>
                <w:color w:val="auto"/>
              </w:rPr>
            </w:pPr>
            <w:r>
              <w:rPr>
                <w:color w:val="auto"/>
              </w:rPr>
              <w:t>0-30%</w:t>
            </w:r>
          </w:p>
        </w:tc>
        <w:tc>
          <w:tcPr>
            <w:tcW w:w="1223" w:type="pct"/>
            <w:noWrap/>
            <w:vAlign w:val="center"/>
          </w:tcPr>
          <w:p w14:paraId="57AB1B39">
            <w:pPr>
              <w:pStyle w:val="94"/>
              <w:rPr>
                <w:color w:val="auto"/>
              </w:rPr>
            </w:pPr>
            <w:r>
              <w:rPr>
                <w:color w:val="auto"/>
              </w:rPr>
              <w:t xml:space="preserve">253.49 </w:t>
            </w:r>
          </w:p>
        </w:tc>
        <w:tc>
          <w:tcPr>
            <w:tcW w:w="1223" w:type="pct"/>
            <w:noWrap/>
            <w:vAlign w:val="center"/>
          </w:tcPr>
          <w:p w14:paraId="5A40453A">
            <w:pPr>
              <w:pStyle w:val="94"/>
              <w:rPr>
                <w:color w:val="auto"/>
              </w:rPr>
            </w:pPr>
            <w:r>
              <w:rPr>
                <w:color w:val="auto"/>
              </w:rPr>
              <w:t xml:space="preserve">48.24 </w:t>
            </w:r>
          </w:p>
        </w:tc>
      </w:tr>
      <w:tr w14:paraId="6669AF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1549" w:type="pct"/>
            <w:noWrap/>
            <w:vAlign w:val="center"/>
          </w:tcPr>
          <w:p w14:paraId="72A8FFFD">
            <w:pPr>
              <w:pStyle w:val="94"/>
              <w:rPr>
                <w:color w:val="auto"/>
              </w:rPr>
            </w:pPr>
            <w:r>
              <w:rPr>
                <w:color w:val="auto"/>
              </w:rPr>
              <w:t>中低植被覆盖度</w:t>
            </w:r>
          </w:p>
        </w:tc>
        <w:tc>
          <w:tcPr>
            <w:tcW w:w="1005" w:type="pct"/>
            <w:noWrap/>
            <w:vAlign w:val="center"/>
          </w:tcPr>
          <w:p w14:paraId="58718D43">
            <w:pPr>
              <w:pStyle w:val="94"/>
              <w:rPr>
                <w:color w:val="auto"/>
              </w:rPr>
            </w:pPr>
            <w:r>
              <w:rPr>
                <w:color w:val="auto"/>
              </w:rPr>
              <w:t>30%-45%</w:t>
            </w:r>
          </w:p>
        </w:tc>
        <w:tc>
          <w:tcPr>
            <w:tcW w:w="1223" w:type="pct"/>
            <w:noWrap/>
            <w:vAlign w:val="center"/>
          </w:tcPr>
          <w:p w14:paraId="17452307">
            <w:pPr>
              <w:pStyle w:val="94"/>
              <w:rPr>
                <w:color w:val="auto"/>
              </w:rPr>
            </w:pPr>
            <w:r>
              <w:rPr>
                <w:color w:val="auto"/>
              </w:rPr>
              <w:t xml:space="preserve">209.78 </w:t>
            </w:r>
          </w:p>
        </w:tc>
        <w:tc>
          <w:tcPr>
            <w:tcW w:w="1223" w:type="pct"/>
            <w:noWrap/>
            <w:vAlign w:val="center"/>
          </w:tcPr>
          <w:p w14:paraId="525D754B">
            <w:pPr>
              <w:pStyle w:val="94"/>
              <w:rPr>
                <w:color w:val="auto"/>
              </w:rPr>
            </w:pPr>
            <w:r>
              <w:rPr>
                <w:color w:val="auto"/>
              </w:rPr>
              <w:t xml:space="preserve">39.92 </w:t>
            </w:r>
          </w:p>
        </w:tc>
      </w:tr>
      <w:tr w14:paraId="58A9EC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1549" w:type="pct"/>
            <w:noWrap/>
            <w:vAlign w:val="center"/>
          </w:tcPr>
          <w:p w14:paraId="7F7D2D50">
            <w:pPr>
              <w:pStyle w:val="94"/>
              <w:rPr>
                <w:color w:val="auto"/>
              </w:rPr>
            </w:pPr>
            <w:r>
              <w:rPr>
                <w:color w:val="auto"/>
              </w:rPr>
              <w:t>中等植被覆盖度</w:t>
            </w:r>
          </w:p>
        </w:tc>
        <w:tc>
          <w:tcPr>
            <w:tcW w:w="1005" w:type="pct"/>
            <w:noWrap/>
            <w:vAlign w:val="center"/>
          </w:tcPr>
          <w:p w14:paraId="0040420A">
            <w:pPr>
              <w:pStyle w:val="94"/>
              <w:rPr>
                <w:color w:val="auto"/>
              </w:rPr>
            </w:pPr>
            <w:r>
              <w:rPr>
                <w:color w:val="auto"/>
              </w:rPr>
              <w:t>45%-60%</w:t>
            </w:r>
          </w:p>
        </w:tc>
        <w:tc>
          <w:tcPr>
            <w:tcW w:w="1223" w:type="pct"/>
            <w:noWrap/>
            <w:vAlign w:val="center"/>
          </w:tcPr>
          <w:p w14:paraId="3C32235E">
            <w:pPr>
              <w:pStyle w:val="94"/>
              <w:rPr>
                <w:color w:val="auto"/>
              </w:rPr>
            </w:pPr>
            <w:r>
              <w:rPr>
                <w:color w:val="auto"/>
              </w:rPr>
              <w:t xml:space="preserve">56.88 </w:t>
            </w:r>
          </w:p>
        </w:tc>
        <w:tc>
          <w:tcPr>
            <w:tcW w:w="1223" w:type="pct"/>
            <w:noWrap/>
            <w:vAlign w:val="center"/>
          </w:tcPr>
          <w:p w14:paraId="6A83ADA8">
            <w:pPr>
              <w:pStyle w:val="94"/>
              <w:rPr>
                <w:color w:val="auto"/>
              </w:rPr>
            </w:pPr>
            <w:r>
              <w:rPr>
                <w:color w:val="auto"/>
              </w:rPr>
              <w:t xml:space="preserve">10.82 </w:t>
            </w:r>
          </w:p>
        </w:tc>
      </w:tr>
      <w:tr w14:paraId="7EB5E2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1549" w:type="pct"/>
            <w:noWrap/>
            <w:vAlign w:val="center"/>
          </w:tcPr>
          <w:p w14:paraId="09E129F6">
            <w:pPr>
              <w:pStyle w:val="94"/>
              <w:rPr>
                <w:color w:val="auto"/>
              </w:rPr>
            </w:pPr>
            <w:r>
              <w:rPr>
                <w:color w:val="auto"/>
              </w:rPr>
              <w:t>中高植被覆盖度</w:t>
            </w:r>
          </w:p>
        </w:tc>
        <w:tc>
          <w:tcPr>
            <w:tcW w:w="1005" w:type="pct"/>
            <w:noWrap/>
            <w:vAlign w:val="center"/>
          </w:tcPr>
          <w:p w14:paraId="1E137399">
            <w:pPr>
              <w:pStyle w:val="94"/>
              <w:rPr>
                <w:color w:val="auto"/>
              </w:rPr>
            </w:pPr>
            <w:r>
              <w:rPr>
                <w:color w:val="auto"/>
              </w:rPr>
              <w:t>60%-75%</w:t>
            </w:r>
          </w:p>
        </w:tc>
        <w:tc>
          <w:tcPr>
            <w:tcW w:w="1223" w:type="pct"/>
            <w:noWrap/>
            <w:vAlign w:val="center"/>
          </w:tcPr>
          <w:p w14:paraId="6B467505">
            <w:pPr>
              <w:pStyle w:val="94"/>
              <w:rPr>
                <w:color w:val="auto"/>
              </w:rPr>
            </w:pPr>
            <w:r>
              <w:rPr>
                <w:color w:val="auto"/>
              </w:rPr>
              <w:t xml:space="preserve">4.70 </w:t>
            </w:r>
          </w:p>
        </w:tc>
        <w:tc>
          <w:tcPr>
            <w:tcW w:w="1223" w:type="pct"/>
            <w:noWrap/>
            <w:vAlign w:val="center"/>
          </w:tcPr>
          <w:p w14:paraId="090422C0">
            <w:pPr>
              <w:pStyle w:val="94"/>
              <w:rPr>
                <w:color w:val="auto"/>
              </w:rPr>
            </w:pPr>
            <w:r>
              <w:rPr>
                <w:color w:val="auto"/>
              </w:rPr>
              <w:t xml:space="preserve">0.89 </w:t>
            </w:r>
          </w:p>
        </w:tc>
      </w:tr>
      <w:tr w14:paraId="57EA16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1549" w:type="pct"/>
            <w:noWrap/>
            <w:vAlign w:val="center"/>
          </w:tcPr>
          <w:p w14:paraId="22CB0ED8">
            <w:pPr>
              <w:pStyle w:val="94"/>
              <w:rPr>
                <w:color w:val="auto"/>
              </w:rPr>
            </w:pPr>
            <w:r>
              <w:rPr>
                <w:color w:val="auto"/>
              </w:rPr>
              <w:t>高植被覆盖度</w:t>
            </w:r>
          </w:p>
        </w:tc>
        <w:tc>
          <w:tcPr>
            <w:tcW w:w="1005" w:type="pct"/>
            <w:noWrap/>
            <w:vAlign w:val="center"/>
          </w:tcPr>
          <w:p w14:paraId="630540D2">
            <w:pPr>
              <w:pStyle w:val="94"/>
              <w:rPr>
                <w:color w:val="auto"/>
              </w:rPr>
            </w:pPr>
            <w:r>
              <w:rPr>
                <w:color w:val="auto"/>
              </w:rPr>
              <w:t>75%-100%</w:t>
            </w:r>
          </w:p>
        </w:tc>
        <w:tc>
          <w:tcPr>
            <w:tcW w:w="1223" w:type="pct"/>
            <w:noWrap/>
            <w:vAlign w:val="center"/>
          </w:tcPr>
          <w:p w14:paraId="5B9495A6">
            <w:pPr>
              <w:pStyle w:val="94"/>
              <w:rPr>
                <w:color w:val="auto"/>
              </w:rPr>
            </w:pPr>
            <w:r>
              <w:rPr>
                <w:color w:val="auto"/>
              </w:rPr>
              <w:t xml:space="preserve">0.64 </w:t>
            </w:r>
          </w:p>
        </w:tc>
        <w:tc>
          <w:tcPr>
            <w:tcW w:w="1223" w:type="pct"/>
            <w:noWrap/>
            <w:vAlign w:val="center"/>
          </w:tcPr>
          <w:p w14:paraId="6E3DE794">
            <w:pPr>
              <w:pStyle w:val="94"/>
              <w:rPr>
                <w:color w:val="auto"/>
              </w:rPr>
            </w:pPr>
            <w:r>
              <w:rPr>
                <w:color w:val="auto"/>
              </w:rPr>
              <w:t xml:space="preserve">0.12 </w:t>
            </w:r>
          </w:p>
        </w:tc>
      </w:tr>
      <w:tr w14:paraId="240464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2554" w:type="pct"/>
            <w:gridSpan w:val="2"/>
            <w:noWrap/>
            <w:vAlign w:val="center"/>
          </w:tcPr>
          <w:p w14:paraId="4A7397C6">
            <w:pPr>
              <w:pStyle w:val="94"/>
              <w:rPr>
                <w:color w:val="auto"/>
              </w:rPr>
            </w:pPr>
            <w:r>
              <w:rPr>
                <w:rFonts w:hint="eastAsia"/>
                <w:color w:val="auto"/>
              </w:rPr>
              <w:t>合计</w:t>
            </w:r>
          </w:p>
        </w:tc>
        <w:tc>
          <w:tcPr>
            <w:tcW w:w="1223" w:type="pct"/>
            <w:noWrap/>
            <w:vAlign w:val="center"/>
          </w:tcPr>
          <w:p w14:paraId="4F926CFB">
            <w:pPr>
              <w:pStyle w:val="94"/>
              <w:rPr>
                <w:color w:val="auto"/>
              </w:rPr>
            </w:pPr>
            <w:r>
              <w:rPr>
                <w:color w:val="auto"/>
              </w:rPr>
              <w:t xml:space="preserve">525.49 </w:t>
            </w:r>
          </w:p>
        </w:tc>
        <w:tc>
          <w:tcPr>
            <w:tcW w:w="1223" w:type="pct"/>
            <w:noWrap/>
            <w:vAlign w:val="center"/>
          </w:tcPr>
          <w:p w14:paraId="3F6BC229">
            <w:pPr>
              <w:pStyle w:val="94"/>
              <w:rPr>
                <w:color w:val="auto"/>
              </w:rPr>
            </w:pPr>
            <w:r>
              <w:rPr>
                <w:color w:val="auto"/>
              </w:rPr>
              <w:t xml:space="preserve">100.00 </w:t>
            </w:r>
          </w:p>
        </w:tc>
      </w:tr>
    </w:tbl>
    <w:p w14:paraId="5799187F">
      <w:pPr>
        <w:pStyle w:val="19"/>
        <w:keepNext/>
      </w:pPr>
      <w:r>
        <w:t xml:space="preserve">表 </w:t>
      </w:r>
      <w:r>
        <w:fldChar w:fldCharType="begin"/>
      </w:r>
      <w:r>
        <w:instrText xml:space="preserve"> SEQ 表 \* ARABIC </w:instrText>
      </w:r>
      <w:r>
        <w:fldChar w:fldCharType="separate"/>
      </w:r>
      <w:r>
        <w:t>53</w:t>
      </w:r>
      <w:r>
        <w:fldChar w:fldCharType="end"/>
      </w:r>
      <w:r>
        <w:rPr>
          <w:rFonts w:hint="eastAsia"/>
        </w:rPr>
        <w:t>本项目占地范围内植被覆盖度统计表</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98"/>
        <w:gridCol w:w="3074"/>
        <w:gridCol w:w="2000"/>
        <w:gridCol w:w="1483"/>
        <w:gridCol w:w="2427"/>
      </w:tblGrid>
      <w:tr w14:paraId="6036CC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95" w:type="pct"/>
            <w:noWrap/>
            <w:vAlign w:val="center"/>
          </w:tcPr>
          <w:p w14:paraId="274DB3AE">
            <w:pPr>
              <w:pStyle w:val="94"/>
              <w:rPr>
                <w:color w:val="auto"/>
              </w:rPr>
            </w:pPr>
            <w:r>
              <w:rPr>
                <w:rFonts w:hint="eastAsia"/>
                <w:color w:val="auto"/>
              </w:rPr>
              <w:t>名称</w:t>
            </w:r>
          </w:p>
        </w:tc>
        <w:tc>
          <w:tcPr>
            <w:tcW w:w="1439" w:type="pct"/>
            <w:noWrap/>
            <w:vAlign w:val="center"/>
          </w:tcPr>
          <w:p w14:paraId="6AF2D122">
            <w:pPr>
              <w:pStyle w:val="94"/>
              <w:rPr>
                <w:rFonts w:ascii="Arial" w:hAnsi="Arial"/>
                <w:color w:val="auto"/>
              </w:rPr>
            </w:pPr>
            <w:r>
              <w:rPr>
                <w:rFonts w:ascii="Arial" w:hAnsi="Arial"/>
                <w:color w:val="auto"/>
              </w:rPr>
              <w:t>植被覆盖度分级</w:t>
            </w:r>
          </w:p>
        </w:tc>
        <w:tc>
          <w:tcPr>
            <w:tcW w:w="935" w:type="pct"/>
            <w:noWrap/>
            <w:vAlign w:val="center"/>
          </w:tcPr>
          <w:p w14:paraId="004DE4AA">
            <w:pPr>
              <w:pStyle w:val="94"/>
              <w:rPr>
                <w:rFonts w:ascii="Arial" w:hAnsi="Arial"/>
                <w:color w:val="auto"/>
              </w:rPr>
            </w:pPr>
            <w:r>
              <w:rPr>
                <w:rFonts w:ascii="Arial" w:hAnsi="Arial"/>
                <w:color w:val="auto"/>
              </w:rPr>
              <w:t>分级标准</w:t>
            </w:r>
          </w:p>
        </w:tc>
        <w:tc>
          <w:tcPr>
            <w:tcW w:w="694" w:type="pct"/>
            <w:noWrap/>
            <w:vAlign w:val="center"/>
          </w:tcPr>
          <w:p w14:paraId="474A0308">
            <w:pPr>
              <w:pStyle w:val="94"/>
              <w:rPr>
                <w:rFonts w:ascii="Arial" w:hAnsi="Arial"/>
                <w:color w:val="auto"/>
              </w:rPr>
            </w:pPr>
            <w:r>
              <w:rPr>
                <w:rFonts w:ascii="Arial" w:hAnsi="Arial"/>
                <w:color w:val="auto"/>
              </w:rPr>
              <w:t>面积ha</w:t>
            </w:r>
          </w:p>
        </w:tc>
        <w:tc>
          <w:tcPr>
            <w:tcW w:w="1136" w:type="pct"/>
            <w:noWrap/>
            <w:vAlign w:val="center"/>
          </w:tcPr>
          <w:p w14:paraId="7D63295D">
            <w:pPr>
              <w:pStyle w:val="94"/>
              <w:rPr>
                <w:color w:val="auto"/>
              </w:rPr>
            </w:pPr>
            <w:r>
              <w:rPr>
                <w:rFonts w:hint="eastAsia"/>
                <w:color w:val="auto"/>
              </w:rPr>
              <w:t>占比%</w:t>
            </w:r>
          </w:p>
        </w:tc>
      </w:tr>
      <w:tr w14:paraId="472DD6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95" w:type="pct"/>
            <w:vMerge w:val="restart"/>
            <w:noWrap/>
            <w:vAlign w:val="center"/>
          </w:tcPr>
          <w:p w14:paraId="31598DE2">
            <w:pPr>
              <w:pStyle w:val="94"/>
              <w:rPr>
                <w:rFonts w:ascii="Arial" w:hAnsi="Arial"/>
                <w:color w:val="auto"/>
              </w:rPr>
            </w:pPr>
            <w:r>
              <w:rPr>
                <w:rFonts w:ascii="Arial" w:hAnsi="Arial"/>
                <w:color w:val="auto"/>
              </w:rPr>
              <w:t>井场</w:t>
            </w:r>
          </w:p>
        </w:tc>
        <w:tc>
          <w:tcPr>
            <w:tcW w:w="1439" w:type="pct"/>
            <w:noWrap/>
            <w:vAlign w:val="center"/>
          </w:tcPr>
          <w:p w14:paraId="53A4F06A">
            <w:pPr>
              <w:pStyle w:val="94"/>
              <w:rPr>
                <w:rFonts w:ascii="Arial" w:hAnsi="Arial"/>
                <w:color w:val="auto"/>
              </w:rPr>
            </w:pPr>
            <w:r>
              <w:rPr>
                <w:rFonts w:ascii="Arial" w:hAnsi="Arial"/>
                <w:color w:val="auto"/>
              </w:rPr>
              <w:t>低植被覆盖度</w:t>
            </w:r>
          </w:p>
        </w:tc>
        <w:tc>
          <w:tcPr>
            <w:tcW w:w="935" w:type="pct"/>
            <w:noWrap/>
            <w:vAlign w:val="center"/>
          </w:tcPr>
          <w:p w14:paraId="79A80020">
            <w:pPr>
              <w:pStyle w:val="94"/>
              <w:rPr>
                <w:color w:val="auto"/>
              </w:rPr>
            </w:pPr>
            <w:r>
              <w:rPr>
                <w:color w:val="auto"/>
              </w:rPr>
              <w:t>0-30%</w:t>
            </w:r>
          </w:p>
        </w:tc>
        <w:tc>
          <w:tcPr>
            <w:tcW w:w="694" w:type="pct"/>
            <w:noWrap/>
            <w:vAlign w:val="center"/>
          </w:tcPr>
          <w:p w14:paraId="3D19C1DD">
            <w:pPr>
              <w:pStyle w:val="94"/>
              <w:rPr>
                <w:color w:val="auto"/>
              </w:rPr>
            </w:pPr>
            <w:r>
              <w:rPr>
                <w:color w:val="auto"/>
              </w:rPr>
              <w:t xml:space="preserve">14.24 </w:t>
            </w:r>
          </w:p>
        </w:tc>
        <w:tc>
          <w:tcPr>
            <w:tcW w:w="1136" w:type="pct"/>
            <w:noWrap/>
            <w:vAlign w:val="center"/>
          </w:tcPr>
          <w:p w14:paraId="202F070A">
            <w:pPr>
              <w:pStyle w:val="94"/>
              <w:rPr>
                <w:color w:val="auto"/>
              </w:rPr>
            </w:pPr>
            <w:r>
              <w:rPr>
                <w:color w:val="auto"/>
              </w:rPr>
              <w:t xml:space="preserve">65.75 </w:t>
            </w:r>
          </w:p>
        </w:tc>
      </w:tr>
      <w:tr w14:paraId="15CECB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95" w:type="pct"/>
            <w:vMerge w:val="continue"/>
            <w:vAlign w:val="center"/>
          </w:tcPr>
          <w:p w14:paraId="448EFF8E">
            <w:pPr>
              <w:pStyle w:val="94"/>
              <w:rPr>
                <w:rFonts w:ascii="Arial" w:hAnsi="Arial"/>
                <w:color w:val="auto"/>
              </w:rPr>
            </w:pPr>
          </w:p>
        </w:tc>
        <w:tc>
          <w:tcPr>
            <w:tcW w:w="1439" w:type="pct"/>
            <w:noWrap/>
            <w:vAlign w:val="center"/>
          </w:tcPr>
          <w:p w14:paraId="3CEEBF1B">
            <w:pPr>
              <w:pStyle w:val="94"/>
              <w:rPr>
                <w:rFonts w:ascii="Arial" w:hAnsi="Arial"/>
                <w:color w:val="auto"/>
              </w:rPr>
            </w:pPr>
            <w:r>
              <w:rPr>
                <w:rFonts w:ascii="Arial" w:hAnsi="Arial"/>
                <w:color w:val="auto"/>
              </w:rPr>
              <w:t>中低植被覆盖度</w:t>
            </w:r>
          </w:p>
        </w:tc>
        <w:tc>
          <w:tcPr>
            <w:tcW w:w="935" w:type="pct"/>
            <w:noWrap/>
            <w:vAlign w:val="center"/>
          </w:tcPr>
          <w:p w14:paraId="2E264474">
            <w:pPr>
              <w:pStyle w:val="94"/>
              <w:rPr>
                <w:color w:val="auto"/>
              </w:rPr>
            </w:pPr>
            <w:r>
              <w:rPr>
                <w:color w:val="auto"/>
              </w:rPr>
              <w:t>30%-45%</w:t>
            </w:r>
          </w:p>
        </w:tc>
        <w:tc>
          <w:tcPr>
            <w:tcW w:w="694" w:type="pct"/>
            <w:noWrap/>
            <w:vAlign w:val="center"/>
          </w:tcPr>
          <w:p w14:paraId="0D1CE139">
            <w:pPr>
              <w:pStyle w:val="94"/>
              <w:rPr>
                <w:color w:val="auto"/>
              </w:rPr>
            </w:pPr>
            <w:r>
              <w:rPr>
                <w:color w:val="auto"/>
              </w:rPr>
              <w:t xml:space="preserve">5.66 </w:t>
            </w:r>
          </w:p>
        </w:tc>
        <w:tc>
          <w:tcPr>
            <w:tcW w:w="1136" w:type="pct"/>
            <w:noWrap/>
            <w:vAlign w:val="center"/>
          </w:tcPr>
          <w:p w14:paraId="27F8FB56">
            <w:pPr>
              <w:pStyle w:val="94"/>
              <w:rPr>
                <w:color w:val="auto"/>
              </w:rPr>
            </w:pPr>
            <w:r>
              <w:rPr>
                <w:color w:val="auto"/>
              </w:rPr>
              <w:t xml:space="preserve">26.14 </w:t>
            </w:r>
          </w:p>
        </w:tc>
      </w:tr>
      <w:tr w14:paraId="2B7FA3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95" w:type="pct"/>
            <w:vMerge w:val="continue"/>
            <w:vAlign w:val="center"/>
          </w:tcPr>
          <w:p w14:paraId="39614B8F">
            <w:pPr>
              <w:pStyle w:val="94"/>
              <w:rPr>
                <w:rFonts w:ascii="Arial" w:hAnsi="Arial"/>
                <w:color w:val="auto"/>
              </w:rPr>
            </w:pPr>
          </w:p>
        </w:tc>
        <w:tc>
          <w:tcPr>
            <w:tcW w:w="1439" w:type="pct"/>
            <w:noWrap/>
            <w:vAlign w:val="center"/>
          </w:tcPr>
          <w:p w14:paraId="649C7BEC">
            <w:pPr>
              <w:pStyle w:val="94"/>
              <w:rPr>
                <w:rFonts w:ascii="Arial" w:hAnsi="Arial"/>
                <w:color w:val="auto"/>
              </w:rPr>
            </w:pPr>
            <w:r>
              <w:rPr>
                <w:rFonts w:ascii="Arial" w:hAnsi="Arial"/>
                <w:color w:val="auto"/>
              </w:rPr>
              <w:t>中等植被覆盖度</w:t>
            </w:r>
          </w:p>
        </w:tc>
        <w:tc>
          <w:tcPr>
            <w:tcW w:w="935" w:type="pct"/>
            <w:noWrap/>
            <w:vAlign w:val="center"/>
          </w:tcPr>
          <w:p w14:paraId="624AF7CE">
            <w:pPr>
              <w:pStyle w:val="94"/>
              <w:rPr>
                <w:color w:val="auto"/>
              </w:rPr>
            </w:pPr>
            <w:r>
              <w:rPr>
                <w:color w:val="auto"/>
              </w:rPr>
              <w:t>45%-60%</w:t>
            </w:r>
          </w:p>
        </w:tc>
        <w:tc>
          <w:tcPr>
            <w:tcW w:w="694" w:type="pct"/>
            <w:noWrap/>
            <w:vAlign w:val="center"/>
          </w:tcPr>
          <w:p w14:paraId="71118954">
            <w:pPr>
              <w:pStyle w:val="94"/>
              <w:rPr>
                <w:color w:val="auto"/>
              </w:rPr>
            </w:pPr>
            <w:r>
              <w:rPr>
                <w:color w:val="auto"/>
              </w:rPr>
              <w:t xml:space="preserve">1.58 </w:t>
            </w:r>
          </w:p>
        </w:tc>
        <w:tc>
          <w:tcPr>
            <w:tcW w:w="1136" w:type="pct"/>
            <w:noWrap/>
            <w:vAlign w:val="center"/>
          </w:tcPr>
          <w:p w14:paraId="48CE4025">
            <w:pPr>
              <w:pStyle w:val="94"/>
              <w:rPr>
                <w:color w:val="auto"/>
              </w:rPr>
            </w:pPr>
            <w:r>
              <w:rPr>
                <w:color w:val="auto"/>
              </w:rPr>
              <w:t xml:space="preserve">7.30 </w:t>
            </w:r>
          </w:p>
        </w:tc>
      </w:tr>
      <w:tr w14:paraId="69B7A7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95" w:type="pct"/>
            <w:vMerge w:val="continue"/>
            <w:vAlign w:val="center"/>
          </w:tcPr>
          <w:p w14:paraId="5AA41073">
            <w:pPr>
              <w:pStyle w:val="94"/>
              <w:rPr>
                <w:rFonts w:ascii="Arial" w:hAnsi="Arial"/>
                <w:color w:val="auto"/>
              </w:rPr>
            </w:pPr>
          </w:p>
        </w:tc>
        <w:tc>
          <w:tcPr>
            <w:tcW w:w="1439" w:type="pct"/>
            <w:noWrap/>
            <w:vAlign w:val="center"/>
          </w:tcPr>
          <w:p w14:paraId="6317E577">
            <w:pPr>
              <w:pStyle w:val="94"/>
              <w:rPr>
                <w:rFonts w:ascii="Arial" w:hAnsi="Arial"/>
                <w:color w:val="auto"/>
              </w:rPr>
            </w:pPr>
            <w:r>
              <w:rPr>
                <w:rFonts w:ascii="Arial" w:hAnsi="Arial"/>
                <w:color w:val="auto"/>
              </w:rPr>
              <w:t>中高植被覆盖度</w:t>
            </w:r>
          </w:p>
        </w:tc>
        <w:tc>
          <w:tcPr>
            <w:tcW w:w="935" w:type="pct"/>
            <w:noWrap/>
            <w:vAlign w:val="center"/>
          </w:tcPr>
          <w:p w14:paraId="26CAF055">
            <w:pPr>
              <w:pStyle w:val="94"/>
              <w:rPr>
                <w:color w:val="auto"/>
              </w:rPr>
            </w:pPr>
            <w:r>
              <w:rPr>
                <w:color w:val="auto"/>
              </w:rPr>
              <w:t>60%-75%</w:t>
            </w:r>
          </w:p>
        </w:tc>
        <w:tc>
          <w:tcPr>
            <w:tcW w:w="694" w:type="pct"/>
            <w:noWrap/>
            <w:vAlign w:val="center"/>
          </w:tcPr>
          <w:p w14:paraId="5272A825">
            <w:pPr>
              <w:pStyle w:val="94"/>
              <w:rPr>
                <w:color w:val="auto"/>
              </w:rPr>
            </w:pPr>
            <w:r>
              <w:rPr>
                <w:color w:val="auto"/>
              </w:rPr>
              <w:t xml:space="preserve">0.16 </w:t>
            </w:r>
          </w:p>
        </w:tc>
        <w:tc>
          <w:tcPr>
            <w:tcW w:w="1136" w:type="pct"/>
            <w:noWrap/>
            <w:vAlign w:val="center"/>
          </w:tcPr>
          <w:p w14:paraId="13A98749">
            <w:pPr>
              <w:pStyle w:val="94"/>
              <w:rPr>
                <w:color w:val="auto"/>
              </w:rPr>
            </w:pPr>
            <w:r>
              <w:rPr>
                <w:color w:val="auto"/>
              </w:rPr>
              <w:t xml:space="preserve">0.76 </w:t>
            </w:r>
          </w:p>
        </w:tc>
      </w:tr>
      <w:tr w14:paraId="2B868C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95" w:type="pct"/>
            <w:vMerge w:val="continue"/>
            <w:vAlign w:val="center"/>
          </w:tcPr>
          <w:p w14:paraId="45B30A77">
            <w:pPr>
              <w:pStyle w:val="94"/>
              <w:rPr>
                <w:rFonts w:ascii="Arial" w:hAnsi="Arial"/>
                <w:color w:val="auto"/>
              </w:rPr>
            </w:pPr>
          </w:p>
        </w:tc>
        <w:tc>
          <w:tcPr>
            <w:tcW w:w="1439" w:type="pct"/>
            <w:noWrap/>
            <w:vAlign w:val="center"/>
          </w:tcPr>
          <w:p w14:paraId="00A5545F">
            <w:pPr>
              <w:pStyle w:val="94"/>
              <w:rPr>
                <w:rFonts w:ascii="Arial" w:hAnsi="Arial"/>
                <w:color w:val="auto"/>
              </w:rPr>
            </w:pPr>
            <w:r>
              <w:rPr>
                <w:rFonts w:ascii="Arial" w:hAnsi="Arial"/>
                <w:color w:val="auto"/>
              </w:rPr>
              <w:t>高植被覆盖度</w:t>
            </w:r>
          </w:p>
        </w:tc>
        <w:tc>
          <w:tcPr>
            <w:tcW w:w="935" w:type="pct"/>
            <w:noWrap/>
            <w:vAlign w:val="center"/>
          </w:tcPr>
          <w:p w14:paraId="61A26B85">
            <w:pPr>
              <w:pStyle w:val="94"/>
              <w:rPr>
                <w:color w:val="auto"/>
              </w:rPr>
            </w:pPr>
            <w:r>
              <w:rPr>
                <w:color w:val="auto"/>
              </w:rPr>
              <w:t>75%-100%</w:t>
            </w:r>
          </w:p>
        </w:tc>
        <w:tc>
          <w:tcPr>
            <w:tcW w:w="694" w:type="pct"/>
            <w:noWrap/>
            <w:vAlign w:val="center"/>
          </w:tcPr>
          <w:p w14:paraId="2F03B133">
            <w:pPr>
              <w:pStyle w:val="94"/>
              <w:rPr>
                <w:color w:val="auto"/>
              </w:rPr>
            </w:pPr>
            <w:r>
              <w:rPr>
                <w:color w:val="auto"/>
              </w:rPr>
              <w:t>0.05</w:t>
            </w:r>
          </w:p>
        </w:tc>
        <w:tc>
          <w:tcPr>
            <w:tcW w:w="1136" w:type="pct"/>
            <w:noWrap/>
            <w:vAlign w:val="center"/>
          </w:tcPr>
          <w:p w14:paraId="3BB1B557">
            <w:pPr>
              <w:pStyle w:val="94"/>
              <w:rPr>
                <w:color w:val="auto"/>
              </w:rPr>
            </w:pPr>
            <w:r>
              <w:rPr>
                <w:color w:val="auto"/>
              </w:rPr>
              <w:t xml:space="preserve">0.05 </w:t>
            </w:r>
          </w:p>
        </w:tc>
      </w:tr>
      <w:tr w14:paraId="24C16C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170" w:type="pct"/>
            <w:gridSpan w:val="3"/>
            <w:noWrap/>
            <w:vAlign w:val="center"/>
          </w:tcPr>
          <w:p w14:paraId="63D603D2">
            <w:pPr>
              <w:pStyle w:val="94"/>
              <w:rPr>
                <w:color w:val="auto"/>
              </w:rPr>
            </w:pPr>
            <w:r>
              <w:rPr>
                <w:rFonts w:hint="eastAsia"/>
                <w:color w:val="auto"/>
              </w:rPr>
              <w:t>小计</w:t>
            </w:r>
          </w:p>
        </w:tc>
        <w:tc>
          <w:tcPr>
            <w:tcW w:w="694" w:type="pct"/>
            <w:noWrap/>
            <w:vAlign w:val="center"/>
          </w:tcPr>
          <w:p w14:paraId="245D88D3">
            <w:pPr>
              <w:pStyle w:val="94"/>
              <w:rPr>
                <w:color w:val="auto"/>
              </w:rPr>
            </w:pPr>
            <w:r>
              <w:rPr>
                <w:color w:val="auto"/>
              </w:rPr>
              <w:t>21.69</w:t>
            </w:r>
          </w:p>
        </w:tc>
        <w:tc>
          <w:tcPr>
            <w:tcW w:w="1136" w:type="pct"/>
            <w:noWrap/>
            <w:vAlign w:val="center"/>
          </w:tcPr>
          <w:p w14:paraId="3356D1F5">
            <w:pPr>
              <w:pStyle w:val="94"/>
              <w:rPr>
                <w:color w:val="auto"/>
              </w:rPr>
            </w:pPr>
            <w:r>
              <w:rPr>
                <w:color w:val="auto"/>
              </w:rPr>
              <w:t xml:space="preserve">100.00 </w:t>
            </w:r>
          </w:p>
        </w:tc>
      </w:tr>
      <w:tr w14:paraId="6A766E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95" w:type="pct"/>
            <w:vMerge w:val="restart"/>
            <w:noWrap/>
            <w:vAlign w:val="center"/>
          </w:tcPr>
          <w:p w14:paraId="2B6D9704">
            <w:pPr>
              <w:pStyle w:val="94"/>
              <w:rPr>
                <w:rFonts w:ascii="Arial" w:hAnsi="Arial"/>
                <w:color w:val="auto"/>
              </w:rPr>
            </w:pPr>
            <w:r>
              <w:rPr>
                <w:rFonts w:ascii="Arial" w:hAnsi="Arial"/>
                <w:color w:val="auto"/>
              </w:rPr>
              <w:t>井场道路</w:t>
            </w:r>
          </w:p>
        </w:tc>
        <w:tc>
          <w:tcPr>
            <w:tcW w:w="1439" w:type="pct"/>
            <w:noWrap/>
            <w:vAlign w:val="center"/>
          </w:tcPr>
          <w:p w14:paraId="264746BA">
            <w:pPr>
              <w:pStyle w:val="94"/>
              <w:rPr>
                <w:rFonts w:ascii="Arial" w:hAnsi="Arial"/>
                <w:color w:val="auto"/>
              </w:rPr>
            </w:pPr>
            <w:r>
              <w:rPr>
                <w:rFonts w:ascii="Arial" w:hAnsi="Arial"/>
                <w:color w:val="auto"/>
              </w:rPr>
              <w:t>低植被覆盖度</w:t>
            </w:r>
          </w:p>
        </w:tc>
        <w:tc>
          <w:tcPr>
            <w:tcW w:w="935" w:type="pct"/>
            <w:noWrap/>
            <w:vAlign w:val="center"/>
          </w:tcPr>
          <w:p w14:paraId="177111FC">
            <w:pPr>
              <w:pStyle w:val="94"/>
              <w:rPr>
                <w:color w:val="auto"/>
              </w:rPr>
            </w:pPr>
            <w:r>
              <w:rPr>
                <w:color w:val="auto"/>
              </w:rPr>
              <w:t>0-30%</w:t>
            </w:r>
          </w:p>
        </w:tc>
        <w:tc>
          <w:tcPr>
            <w:tcW w:w="694" w:type="pct"/>
            <w:noWrap/>
            <w:vAlign w:val="center"/>
          </w:tcPr>
          <w:p w14:paraId="67CB9DCD">
            <w:pPr>
              <w:pStyle w:val="94"/>
              <w:rPr>
                <w:color w:val="auto"/>
              </w:rPr>
            </w:pPr>
            <w:r>
              <w:rPr>
                <w:color w:val="auto"/>
              </w:rPr>
              <w:t xml:space="preserve">0.86 </w:t>
            </w:r>
          </w:p>
        </w:tc>
        <w:tc>
          <w:tcPr>
            <w:tcW w:w="1136" w:type="pct"/>
            <w:noWrap/>
            <w:vAlign w:val="center"/>
          </w:tcPr>
          <w:p w14:paraId="0971B697">
            <w:pPr>
              <w:pStyle w:val="94"/>
              <w:rPr>
                <w:color w:val="auto"/>
              </w:rPr>
            </w:pPr>
            <w:r>
              <w:rPr>
                <w:color w:val="auto"/>
              </w:rPr>
              <w:t xml:space="preserve">71.06 </w:t>
            </w:r>
          </w:p>
        </w:tc>
      </w:tr>
      <w:tr w14:paraId="61797A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95" w:type="pct"/>
            <w:vMerge w:val="continue"/>
            <w:vAlign w:val="center"/>
          </w:tcPr>
          <w:p w14:paraId="5C801EE3">
            <w:pPr>
              <w:pStyle w:val="94"/>
              <w:rPr>
                <w:rFonts w:ascii="Arial" w:hAnsi="Arial"/>
                <w:color w:val="auto"/>
              </w:rPr>
            </w:pPr>
          </w:p>
        </w:tc>
        <w:tc>
          <w:tcPr>
            <w:tcW w:w="1439" w:type="pct"/>
            <w:noWrap/>
            <w:vAlign w:val="center"/>
          </w:tcPr>
          <w:p w14:paraId="3A2DCDF8">
            <w:pPr>
              <w:pStyle w:val="94"/>
              <w:rPr>
                <w:rFonts w:ascii="Arial" w:hAnsi="Arial"/>
                <w:color w:val="auto"/>
              </w:rPr>
            </w:pPr>
            <w:r>
              <w:rPr>
                <w:rFonts w:ascii="Arial" w:hAnsi="Arial"/>
                <w:color w:val="auto"/>
              </w:rPr>
              <w:t>中低植被覆盖度</w:t>
            </w:r>
          </w:p>
        </w:tc>
        <w:tc>
          <w:tcPr>
            <w:tcW w:w="935" w:type="pct"/>
            <w:noWrap/>
            <w:vAlign w:val="center"/>
          </w:tcPr>
          <w:p w14:paraId="0A438554">
            <w:pPr>
              <w:pStyle w:val="94"/>
              <w:rPr>
                <w:color w:val="auto"/>
              </w:rPr>
            </w:pPr>
            <w:r>
              <w:rPr>
                <w:color w:val="auto"/>
              </w:rPr>
              <w:t>30%-45%</w:t>
            </w:r>
          </w:p>
        </w:tc>
        <w:tc>
          <w:tcPr>
            <w:tcW w:w="694" w:type="pct"/>
            <w:noWrap/>
            <w:vAlign w:val="center"/>
          </w:tcPr>
          <w:p w14:paraId="5B5EA003">
            <w:pPr>
              <w:pStyle w:val="94"/>
              <w:rPr>
                <w:color w:val="auto"/>
              </w:rPr>
            </w:pPr>
            <w:r>
              <w:rPr>
                <w:color w:val="auto"/>
              </w:rPr>
              <w:t xml:space="preserve">0.30 </w:t>
            </w:r>
          </w:p>
        </w:tc>
        <w:tc>
          <w:tcPr>
            <w:tcW w:w="1136" w:type="pct"/>
            <w:noWrap/>
            <w:vAlign w:val="center"/>
          </w:tcPr>
          <w:p w14:paraId="582D6B47">
            <w:pPr>
              <w:pStyle w:val="94"/>
              <w:rPr>
                <w:color w:val="auto"/>
              </w:rPr>
            </w:pPr>
            <w:r>
              <w:rPr>
                <w:color w:val="auto"/>
              </w:rPr>
              <w:t xml:space="preserve">24.25 </w:t>
            </w:r>
          </w:p>
        </w:tc>
      </w:tr>
      <w:tr w14:paraId="3BEEB2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95" w:type="pct"/>
            <w:vMerge w:val="continue"/>
            <w:vAlign w:val="center"/>
          </w:tcPr>
          <w:p w14:paraId="0C6FB026">
            <w:pPr>
              <w:pStyle w:val="94"/>
              <w:rPr>
                <w:rFonts w:ascii="Arial" w:hAnsi="Arial"/>
                <w:color w:val="auto"/>
              </w:rPr>
            </w:pPr>
          </w:p>
        </w:tc>
        <w:tc>
          <w:tcPr>
            <w:tcW w:w="1439" w:type="pct"/>
            <w:noWrap/>
            <w:vAlign w:val="center"/>
          </w:tcPr>
          <w:p w14:paraId="33C567CA">
            <w:pPr>
              <w:pStyle w:val="94"/>
              <w:rPr>
                <w:rFonts w:ascii="Arial" w:hAnsi="Arial"/>
                <w:color w:val="auto"/>
              </w:rPr>
            </w:pPr>
            <w:r>
              <w:rPr>
                <w:rFonts w:ascii="Arial" w:hAnsi="Arial"/>
                <w:color w:val="auto"/>
              </w:rPr>
              <w:t>中等植被覆盖度</w:t>
            </w:r>
          </w:p>
        </w:tc>
        <w:tc>
          <w:tcPr>
            <w:tcW w:w="935" w:type="pct"/>
            <w:noWrap/>
            <w:vAlign w:val="center"/>
          </w:tcPr>
          <w:p w14:paraId="372B7CE3">
            <w:pPr>
              <w:pStyle w:val="94"/>
              <w:rPr>
                <w:color w:val="auto"/>
              </w:rPr>
            </w:pPr>
            <w:r>
              <w:rPr>
                <w:color w:val="auto"/>
              </w:rPr>
              <w:t>45%-60%</w:t>
            </w:r>
          </w:p>
        </w:tc>
        <w:tc>
          <w:tcPr>
            <w:tcW w:w="694" w:type="pct"/>
            <w:noWrap/>
            <w:vAlign w:val="center"/>
          </w:tcPr>
          <w:p w14:paraId="1A62D567">
            <w:pPr>
              <w:pStyle w:val="94"/>
              <w:rPr>
                <w:color w:val="auto"/>
              </w:rPr>
            </w:pPr>
            <w:r>
              <w:rPr>
                <w:color w:val="auto"/>
              </w:rPr>
              <w:t xml:space="preserve">0.06 </w:t>
            </w:r>
          </w:p>
        </w:tc>
        <w:tc>
          <w:tcPr>
            <w:tcW w:w="1136" w:type="pct"/>
            <w:noWrap/>
            <w:vAlign w:val="center"/>
          </w:tcPr>
          <w:p w14:paraId="5CA18817">
            <w:pPr>
              <w:pStyle w:val="94"/>
              <w:rPr>
                <w:color w:val="auto"/>
              </w:rPr>
            </w:pPr>
            <w:r>
              <w:rPr>
                <w:color w:val="auto"/>
              </w:rPr>
              <w:t xml:space="preserve">4.49 </w:t>
            </w:r>
          </w:p>
        </w:tc>
      </w:tr>
      <w:tr w14:paraId="5CC3DE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170" w:type="pct"/>
            <w:gridSpan w:val="3"/>
            <w:noWrap/>
            <w:vAlign w:val="center"/>
          </w:tcPr>
          <w:p w14:paraId="4F47568D">
            <w:pPr>
              <w:pStyle w:val="94"/>
              <w:rPr>
                <w:color w:val="auto"/>
              </w:rPr>
            </w:pPr>
            <w:r>
              <w:rPr>
                <w:rFonts w:hint="eastAsia"/>
                <w:color w:val="auto"/>
              </w:rPr>
              <w:t>小计</w:t>
            </w:r>
          </w:p>
        </w:tc>
        <w:tc>
          <w:tcPr>
            <w:tcW w:w="694" w:type="pct"/>
            <w:noWrap/>
            <w:vAlign w:val="center"/>
          </w:tcPr>
          <w:p w14:paraId="7ED0426D">
            <w:pPr>
              <w:pStyle w:val="94"/>
              <w:rPr>
                <w:color w:val="auto"/>
              </w:rPr>
            </w:pPr>
            <w:r>
              <w:rPr>
                <w:color w:val="auto"/>
              </w:rPr>
              <w:t>1.22</w:t>
            </w:r>
          </w:p>
        </w:tc>
        <w:tc>
          <w:tcPr>
            <w:tcW w:w="1136" w:type="pct"/>
            <w:noWrap/>
            <w:vAlign w:val="center"/>
          </w:tcPr>
          <w:p w14:paraId="16913C52">
            <w:pPr>
              <w:pStyle w:val="94"/>
              <w:rPr>
                <w:color w:val="auto"/>
              </w:rPr>
            </w:pPr>
            <w:r>
              <w:rPr>
                <w:color w:val="auto"/>
              </w:rPr>
              <w:t xml:space="preserve">100.00 </w:t>
            </w:r>
          </w:p>
        </w:tc>
      </w:tr>
      <w:tr w14:paraId="419845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170" w:type="pct"/>
            <w:gridSpan w:val="3"/>
            <w:noWrap/>
            <w:vAlign w:val="center"/>
          </w:tcPr>
          <w:p w14:paraId="6148E221">
            <w:pPr>
              <w:pStyle w:val="94"/>
              <w:rPr>
                <w:color w:val="auto"/>
              </w:rPr>
            </w:pPr>
            <w:r>
              <w:rPr>
                <w:rFonts w:hint="eastAsia"/>
                <w:color w:val="auto"/>
              </w:rPr>
              <w:t>合计</w:t>
            </w:r>
          </w:p>
        </w:tc>
        <w:tc>
          <w:tcPr>
            <w:tcW w:w="694" w:type="pct"/>
            <w:noWrap/>
            <w:vAlign w:val="center"/>
          </w:tcPr>
          <w:p w14:paraId="4417E7C7">
            <w:pPr>
              <w:pStyle w:val="94"/>
              <w:rPr>
                <w:color w:val="auto"/>
              </w:rPr>
            </w:pPr>
            <w:r>
              <w:rPr>
                <w:color w:val="auto"/>
              </w:rPr>
              <w:t xml:space="preserve">22.91 </w:t>
            </w:r>
          </w:p>
        </w:tc>
        <w:tc>
          <w:tcPr>
            <w:tcW w:w="1136" w:type="pct"/>
            <w:noWrap/>
            <w:vAlign w:val="center"/>
          </w:tcPr>
          <w:p w14:paraId="64238453">
            <w:pPr>
              <w:pStyle w:val="94"/>
              <w:rPr>
                <w:color w:val="auto"/>
              </w:rPr>
            </w:pPr>
            <w:r>
              <w:rPr>
                <w:color w:val="auto"/>
              </w:rPr>
              <w:t xml:space="preserve">100.00 </w:t>
            </w:r>
          </w:p>
        </w:tc>
      </w:tr>
    </w:tbl>
    <w:p w14:paraId="09AE7E04">
      <w:pPr>
        <w:pStyle w:val="96"/>
        <w:ind w:firstLine="480"/>
        <w:rPr>
          <w:rFonts w:ascii="Arial" w:hAnsi="Arial" w:cs="Arial"/>
          <w:sz w:val="21"/>
          <w:szCs w:val="21"/>
        </w:rPr>
      </w:pPr>
      <w:r>
        <w:rPr>
          <w:rFonts w:hint="eastAsia"/>
        </w:rPr>
        <w:t>根据解译结果，评价范围：主要以低植被覆盖率为主，面积为</w:t>
      </w:r>
      <w:r>
        <w:t>253.49</w:t>
      </w:r>
      <w:r>
        <w:rPr>
          <w:rFonts w:hint="eastAsia"/>
        </w:rPr>
        <w:t>ha，占比</w:t>
      </w:r>
      <w:r>
        <w:t>48.24</w:t>
      </w:r>
      <w:r>
        <w:rPr>
          <w:rFonts w:hint="eastAsia"/>
        </w:rPr>
        <w:t>%。井场占地范围内：主要以低植被覆盖率为主，面积为</w:t>
      </w:r>
      <w:r>
        <w:t>14.24</w:t>
      </w:r>
      <w:r>
        <w:rPr>
          <w:rFonts w:hint="eastAsia"/>
        </w:rPr>
        <w:t>ha，占比</w:t>
      </w:r>
      <w:r>
        <w:t>65.75</w:t>
      </w:r>
      <w:r>
        <w:rPr>
          <w:rFonts w:hint="eastAsia"/>
        </w:rPr>
        <w:t>%，井场道路占地范围内要以中低植被覆盖率为主，面积为</w:t>
      </w:r>
      <w:r>
        <w:t>0.88</w:t>
      </w:r>
      <w:r>
        <w:rPr>
          <w:rFonts w:hint="eastAsia"/>
        </w:rPr>
        <w:t>ha，占比</w:t>
      </w:r>
      <w:r>
        <w:t>71.06</w:t>
      </w:r>
      <w:r>
        <w:rPr>
          <w:rFonts w:hint="eastAsia"/>
        </w:rPr>
        <w:t>%。</w:t>
      </w:r>
    </w:p>
    <w:p w14:paraId="06251C60">
      <w:pPr>
        <w:pStyle w:val="5"/>
      </w:pPr>
      <w:r>
        <w:rPr>
          <w:rFonts w:hint="eastAsia"/>
        </w:rPr>
        <w:t>植被分布现状</w:t>
      </w:r>
    </w:p>
    <w:p w14:paraId="58BE35D6">
      <w:pPr>
        <w:pStyle w:val="96"/>
        <w:ind w:firstLine="480"/>
      </w:pPr>
      <w:r>
        <w:rPr>
          <w:rFonts w:hint="eastAsia"/>
        </w:rPr>
        <w:t>本项目评价区总面积为</w:t>
      </w:r>
      <w:r>
        <w:t>525.49hm²，</w:t>
      </w:r>
      <w:r>
        <w:rPr>
          <w:rFonts w:hint="eastAsia"/>
        </w:rPr>
        <w:t>评价区植被类型分为小叶杨、柠条锦鸡儿灌丛、蒿类草丛。采用现场调查及</w:t>
      </w:r>
      <w:r>
        <w:t>GIS 遥感解译的方法对评价区植被类型分布进行统计，各植被类型的面积见下表。</w:t>
      </w:r>
    </w:p>
    <w:p w14:paraId="0A9BBAC5">
      <w:pPr>
        <w:pStyle w:val="19"/>
        <w:keepNext/>
        <w:ind w:firstLine="480"/>
        <w:sectPr>
          <w:pgSz w:w="11906" w:h="16838"/>
          <w:pgMar w:top="720" w:right="720" w:bottom="720" w:left="720" w:header="851" w:footer="1077" w:gutter="0"/>
          <w:cols w:space="425" w:num="1"/>
          <w:docGrid w:linePitch="312" w:charSpace="0"/>
        </w:sectPr>
      </w:pPr>
    </w:p>
    <w:p w14:paraId="4D6A03CC">
      <w:pPr>
        <w:pStyle w:val="19"/>
        <w:keepNext/>
      </w:pPr>
      <w:r>
        <w:t xml:space="preserve">表 </w:t>
      </w:r>
      <w:r>
        <w:fldChar w:fldCharType="begin"/>
      </w:r>
      <w:r>
        <w:instrText xml:space="preserve"> SEQ 表 \* ARABIC </w:instrText>
      </w:r>
      <w:r>
        <w:fldChar w:fldCharType="separate"/>
      </w:r>
      <w:r>
        <w:t>54</w:t>
      </w:r>
      <w:r>
        <w:fldChar w:fldCharType="end"/>
      </w:r>
      <w:r>
        <w:rPr>
          <w:rFonts w:hint="eastAsia"/>
        </w:rPr>
        <w:t>评价区植被类型面积统计表</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038"/>
        <w:gridCol w:w="2245"/>
        <w:gridCol w:w="3042"/>
        <w:gridCol w:w="4953"/>
        <w:gridCol w:w="1668"/>
        <w:gridCol w:w="1668"/>
      </w:tblGrid>
      <w:tr w14:paraId="19F29B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53" w:type="pct"/>
            <w:noWrap/>
            <w:vAlign w:val="center"/>
          </w:tcPr>
          <w:p w14:paraId="7720857E">
            <w:pPr>
              <w:pStyle w:val="94"/>
              <w:rPr>
                <w:color w:val="auto"/>
              </w:rPr>
            </w:pPr>
            <w:r>
              <w:rPr>
                <w:color w:val="auto"/>
              </w:rPr>
              <w:t>植被型组</w:t>
            </w:r>
          </w:p>
        </w:tc>
        <w:tc>
          <w:tcPr>
            <w:tcW w:w="719" w:type="pct"/>
            <w:noWrap/>
            <w:vAlign w:val="center"/>
          </w:tcPr>
          <w:p w14:paraId="35AE318E">
            <w:pPr>
              <w:pStyle w:val="94"/>
              <w:rPr>
                <w:color w:val="auto"/>
              </w:rPr>
            </w:pPr>
            <w:r>
              <w:rPr>
                <w:color w:val="auto"/>
              </w:rPr>
              <w:t>植被型</w:t>
            </w:r>
          </w:p>
        </w:tc>
        <w:tc>
          <w:tcPr>
            <w:tcW w:w="974" w:type="pct"/>
            <w:noWrap/>
            <w:vAlign w:val="center"/>
          </w:tcPr>
          <w:p w14:paraId="76AFD4F2">
            <w:pPr>
              <w:pStyle w:val="94"/>
              <w:rPr>
                <w:color w:val="auto"/>
              </w:rPr>
            </w:pPr>
            <w:r>
              <w:rPr>
                <w:color w:val="auto"/>
              </w:rPr>
              <w:t>植被亚型</w:t>
            </w:r>
          </w:p>
        </w:tc>
        <w:tc>
          <w:tcPr>
            <w:tcW w:w="1586" w:type="pct"/>
            <w:noWrap/>
            <w:vAlign w:val="center"/>
          </w:tcPr>
          <w:p w14:paraId="5289493D">
            <w:pPr>
              <w:pStyle w:val="94"/>
              <w:rPr>
                <w:color w:val="auto"/>
              </w:rPr>
            </w:pPr>
            <w:r>
              <w:rPr>
                <w:color w:val="auto"/>
              </w:rPr>
              <w:t>群系</w:t>
            </w:r>
          </w:p>
        </w:tc>
        <w:tc>
          <w:tcPr>
            <w:tcW w:w="534" w:type="pct"/>
            <w:noWrap/>
            <w:vAlign w:val="center"/>
          </w:tcPr>
          <w:p w14:paraId="77CB96C7">
            <w:pPr>
              <w:pStyle w:val="94"/>
              <w:rPr>
                <w:color w:val="auto"/>
              </w:rPr>
            </w:pPr>
            <w:r>
              <w:rPr>
                <w:color w:val="auto"/>
              </w:rPr>
              <w:t>面积ha</w:t>
            </w:r>
          </w:p>
        </w:tc>
        <w:tc>
          <w:tcPr>
            <w:tcW w:w="534" w:type="pct"/>
            <w:noWrap/>
            <w:vAlign w:val="center"/>
          </w:tcPr>
          <w:p w14:paraId="58644687">
            <w:pPr>
              <w:pStyle w:val="94"/>
              <w:rPr>
                <w:color w:val="auto"/>
              </w:rPr>
            </w:pPr>
            <w:r>
              <w:rPr>
                <w:color w:val="auto"/>
              </w:rPr>
              <w:t>百分比</w:t>
            </w:r>
          </w:p>
        </w:tc>
      </w:tr>
      <w:tr w14:paraId="6255ED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53" w:type="pct"/>
            <w:noWrap/>
            <w:vAlign w:val="center"/>
          </w:tcPr>
          <w:p w14:paraId="0B373FE0">
            <w:pPr>
              <w:pStyle w:val="94"/>
              <w:rPr>
                <w:color w:val="auto"/>
              </w:rPr>
            </w:pPr>
            <w:r>
              <w:rPr>
                <w:color w:val="auto"/>
              </w:rPr>
              <w:t>Ⅸ.草丛</w:t>
            </w:r>
          </w:p>
        </w:tc>
        <w:tc>
          <w:tcPr>
            <w:tcW w:w="719" w:type="pct"/>
            <w:noWrap/>
            <w:vAlign w:val="center"/>
          </w:tcPr>
          <w:p w14:paraId="619A2EE4">
            <w:pPr>
              <w:pStyle w:val="94"/>
              <w:rPr>
                <w:color w:val="auto"/>
              </w:rPr>
            </w:pPr>
            <w:r>
              <w:rPr>
                <w:color w:val="auto"/>
              </w:rPr>
              <w:t>一、草丛</w:t>
            </w:r>
          </w:p>
        </w:tc>
        <w:tc>
          <w:tcPr>
            <w:tcW w:w="974" w:type="pct"/>
            <w:noWrap/>
            <w:vAlign w:val="center"/>
          </w:tcPr>
          <w:p w14:paraId="7305DBB5">
            <w:pPr>
              <w:pStyle w:val="94"/>
              <w:rPr>
                <w:color w:val="auto"/>
              </w:rPr>
            </w:pPr>
            <w:r>
              <w:rPr>
                <w:color w:val="auto"/>
              </w:rPr>
              <w:t>（一）典型草丛</w:t>
            </w:r>
          </w:p>
        </w:tc>
        <w:tc>
          <w:tcPr>
            <w:tcW w:w="1586" w:type="pct"/>
            <w:noWrap/>
            <w:vAlign w:val="center"/>
          </w:tcPr>
          <w:p w14:paraId="42CAAAC3">
            <w:pPr>
              <w:pStyle w:val="94"/>
              <w:rPr>
                <w:color w:val="auto"/>
              </w:rPr>
            </w:pPr>
            <w:r>
              <w:rPr>
                <w:color w:val="auto"/>
              </w:rPr>
              <w:t>蒿类草丛</w:t>
            </w:r>
          </w:p>
        </w:tc>
        <w:tc>
          <w:tcPr>
            <w:tcW w:w="534" w:type="pct"/>
            <w:noWrap/>
            <w:vAlign w:val="center"/>
          </w:tcPr>
          <w:p w14:paraId="7405C5FD">
            <w:pPr>
              <w:pStyle w:val="94"/>
              <w:rPr>
                <w:color w:val="auto"/>
              </w:rPr>
            </w:pPr>
            <w:r>
              <w:rPr>
                <w:color w:val="auto"/>
              </w:rPr>
              <w:t xml:space="preserve">211.31 </w:t>
            </w:r>
          </w:p>
        </w:tc>
        <w:tc>
          <w:tcPr>
            <w:tcW w:w="534" w:type="pct"/>
            <w:noWrap/>
            <w:vAlign w:val="center"/>
          </w:tcPr>
          <w:p w14:paraId="1C89823C">
            <w:pPr>
              <w:pStyle w:val="94"/>
              <w:rPr>
                <w:color w:val="auto"/>
              </w:rPr>
            </w:pPr>
            <w:r>
              <w:rPr>
                <w:color w:val="auto"/>
              </w:rPr>
              <w:t xml:space="preserve">40.21 </w:t>
            </w:r>
          </w:p>
        </w:tc>
      </w:tr>
      <w:tr w14:paraId="510F4A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53" w:type="pct"/>
            <w:noWrap/>
            <w:vAlign w:val="center"/>
          </w:tcPr>
          <w:p w14:paraId="1574AB00">
            <w:pPr>
              <w:pStyle w:val="94"/>
              <w:rPr>
                <w:color w:val="auto"/>
              </w:rPr>
            </w:pPr>
            <w:r>
              <w:rPr>
                <w:color w:val="auto"/>
              </w:rPr>
              <w:t>Ⅱ.木本类型</w:t>
            </w:r>
          </w:p>
        </w:tc>
        <w:tc>
          <w:tcPr>
            <w:tcW w:w="719" w:type="pct"/>
            <w:noWrap/>
            <w:vAlign w:val="center"/>
          </w:tcPr>
          <w:p w14:paraId="37D0E236">
            <w:pPr>
              <w:pStyle w:val="94"/>
              <w:rPr>
                <w:color w:val="auto"/>
              </w:rPr>
            </w:pPr>
            <w:r>
              <w:rPr>
                <w:color w:val="auto"/>
              </w:rPr>
              <w:t>二、果园型</w:t>
            </w:r>
          </w:p>
        </w:tc>
        <w:tc>
          <w:tcPr>
            <w:tcW w:w="974" w:type="pct"/>
            <w:noWrap/>
            <w:vAlign w:val="center"/>
          </w:tcPr>
          <w:p w14:paraId="638308D5">
            <w:pPr>
              <w:pStyle w:val="94"/>
              <w:rPr>
                <w:color w:val="auto"/>
              </w:rPr>
            </w:pPr>
            <w:r>
              <w:rPr>
                <w:color w:val="auto"/>
              </w:rPr>
              <w:t>（一）落叶果树亚型</w:t>
            </w:r>
          </w:p>
        </w:tc>
        <w:tc>
          <w:tcPr>
            <w:tcW w:w="1586" w:type="pct"/>
            <w:noWrap/>
            <w:vAlign w:val="center"/>
          </w:tcPr>
          <w:p w14:paraId="34F6BDB4">
            <w:pPr>
              <w:pStyle w:val="94"/>
              <w:rPr>
                <w:color w:val="auto"/>
              </w:rPr>
            </w:pPr>
            <w:r>
              <w:rPr>
                <w:color w:val="auto"/>
              </w:rPr>
              <w:t>核桃园</w:t>
            </w:r>
          </w:p>
        </w:tc>
        <w:tc>
          <w:tcPr>
            <w:tcW w:w="534" w:type="pct"/>
            <w:noWrap/>
            <w:vAlign w:val="center"/>
          </w:tcPr>
          <w:p w14:paraId="78D87290">
            <w:pPr>
              <w:pStyle w:val="94"/>
              <w:rPr>
                <w:color w:val="auto"/>
              </w:rPr>
            </w:pPr>
            <w:r>
              <w:rPr>
                <w:color w:val="auto"/>
              </w:rPr>
              <w:t xml:space="preserve">24.76 </w:t>
            </w:r>
          </w:p>
        </w:tc>
        <w:tc>
          <w:tcPr>
            <w:tcW w:w="534" w:type="pct"/>
            <w:noWrap/>
            <w:vAlign w:val="center"/>
          </w:tcPr>
          <w:p w14:paraId="22AFE5CA">
            <w:pPr>
              <w:pStyle w:val="94"/>
              <w:rPr>
                <w:color w:val="auto"/>
              </w:rPr>
            </w:pPr>
            <w:r>
              <w:rPr>
                <w:color w:val="auto"/>
              </w:rPr>
              <w:t xml:space="preserve">4.71 </w:t>
            </w:r>
          </w:p>
        </w:tc>
      </w:tr>
      <w:tr w14:paraId="18ACA9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53" w:type="pct"/>
            <w:noWrap/>
            <w:vAlign w:val="center"/>
          </w:tcPr>
          <w:p w14:paraId="52A53677">
            <w:pPr>
              <w:pStyle w:val="94"/>
              <w:rPr>
                <w:color w:val="auto"/>
              </w:rPr>
            </w:pPr>
            <w:r>
              <w:rPr>
                <w:color w:val="auto"/>
              </w:rPr>
              <w:t>Ⅳ.落叶阔叶灌丛</w:t>
            </w:r>
          </w:p>
        </w:tc>
        <w:tc>
          <w:tcPr>
            <w:tcW w:w="719" w:type="pct"/>
            <w:noWrap/>
            <w:vAlign w:val="center"/>
          </w:tcPr>
          <w:p w14:paraId="27275B28">
            <w:pPr>
              <w:pStyle w:val="94"/>
              <w:rPr>
                <w:color w:val="auto"/>
              </w:rPr>
            </w:pPr>
            <w:r>
              <w:rPr>
                <w:color w:val="auto"/>
              </w:rPr>
              <w:t>一、落叶阔叶灌丛</w:t>
            </w:r>
          </w:p>
        </w:tc>
        <w:tc>
          <w:tcPr>
            <w:tcW w:w="974" w:type="pct"/>
            <w:noWrap/>
            <w:vAlign w:val="center"/>
          </w:tcPr>
          <w:p w14:paraId="2BE0E4E6">
            <w:pPr>
              <w:pStyle w:val="94"/>
              <w:rPr>
                <w:color w:val="auto"/>
              </w:rPr>
            </w:pPr>
            <w:r>
              <w:rPr>
                <w:color w:val="auto"/>
              </w:rPr>
              <w:t>（二）温性落叶阔叶灌丛</w:t>
            </w:r>
          </w:p>
        </w:tc>
        <w:tc>
          <w:tcPr>
            <w:tcW w:w="1586" w:type="pct"/>
            <w:noWrap/>
            <w:vAlign w:val="center"/>
          </w:tcPr>
          <w:p w14:paraId="6DBA1D73">
            <w:pPr>
              <w:pStyle w:val="94"/>
              <w:rPr>
                <w:color w:val="auto"/>
              </w:rPr>
            </w:pPr>
            <w:r>
              <w:rPr>
                <w:color w:val="auto"/>
              </w:rPr>
              <w:t>柠条锦鸡儿灌丛</w:t>
            </w:r>
          </w:p>
        </w:tc>
        <w:tc>
          <w:tcPr>
            <w:tcW w:w="534" w:type="pct"/>
            <w:noWrap/>
            <w:vAlign w:val="center"/>
          </w:tcPr>
          <w:p w14:paraId="1808B313">
            <w:pPr>
              <w:pStyle w:val="94"/>
              <w:rPr>
                <w:color w:val="auto"/>
              </w:rPr>
            </w:pPr>
            <w:r>
              <w:rPr>
                <w:color w:val="auto"/>
              </w:rPr>
              <w:t xml:space="preserve">3.90 </w:t>
            </w:r>
          </w:p>
        </w:tc>
        <w:tc>
          <w:tcPr>
            <w:tcW w:w="534" w:type="pct"/>
            <w:noWrap/>
            <w:vAlign w:val="center"/>
          </w:tcPr>
          <w:p w14:paraId="20CAA1C4">
            <w:pPr>
              <w:pStyle w:val="94"/>
              <w:rPr>
                <w:color w:val="auto"/>
              </w:rPr>
            </w:pPr>
            <w:r>
              <w:rPr>
                <w:color w:val="auto"/>
              </w:rPr>
              <w:t xml:space="preserve">0.74 </w:t>
            </w:r>
          </w:p>
        </w:tc>
      </w:tr>
      <w:tr w14:paraId="3B30A5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53" w:type="pct"/>
            <w:noWrap/>
            <w:vAlign w:val="center"/>
          </w:tcPr>
          <w:p w14:paraId="32DF4C0B">
            <w:pPr>
              <w:pStyle w:val="94"/>
              <w:rPr>
                <w:color w:val="auto"/>
              </w:rPr>
            </w:pPr>
            <w:r>
              <w:rPr>
                <w:color w:val="auto"/>
              </w:rPr>
              <w:t>/</w:t>
            </w:r>
          </w:p>
        </w:tc>
        <w:tc>
          <w:tcPr>
            <w:tcW w:w="719" w:type="pct"/>
            <w:noWrap/>
            <w:vAlign w:val="center"/>
          </w:tcPr>
          <w:p w14:paraId="3B750B6D">
            <w:pPr>
              <w:pStyle w:val="94"/>
              <w:rPr>
                <w:color w:val="auto"/>
              </w:rPr>
            </w:pPr>
            <w:r>
              <w:rPr>
                <w:color w:val="auto"/>
              </w:rPr>
              <w:t>/</w:t>
            </w:r>
          </w:p>
        </w:tc>
        <w:tc>
          <w:tcPr>
            <w:tcW w:w="974" w:type="pct"/>
            <w:noWrap/>
            <w:vAlign w:val="center"/>
          </w:tcPr>
          <w:p w14:paraId="14442EBD">
            <w:pPr>
              <w:pStyle w:val="94"/>
              <w:rPr>
                <w:color w:val="auto"/>
              </w:rPr>
            </w:pPr>
            <w:r>
              <w:rPr>
                <w:color w:val="auto"/>
              </w:rPr>
              <w:t>/</w:t>
            </w:r>
          </w:p>
        </w:tc>
        <w:tc>
          <w:tcPr>
            <w:tcW w:w="1586" w:type="pct"/>
            <w:noWrap/>
            <w:vAlign w:val="center"/>
          </w:tcPr>
          <w:p w14:paraId="16C1CFD8">
            <w:pPr>
              <w:pStyle w:val="94"/>
              <w:rPr>
                <w:color w:val="auto"/>
              </w:rPr>
            </w:pPr>
            <w:r>
              <w:rPr>
                <w:color w:val="auto"/>
              </w:rPr>
              <w:t>无植被区</w:t>
            </w:r>
          </w:p>
        </w:tc>
        <w:tc>
          <w:tcPr>
            <w:tcW w:w="534" w:type="pct"/>
            <w:noWrap/>
            <w:vAlign w:val="center"/>
          </w:tcPr>
          <w:p w14:paraId="244F5A60">
            <w:pPr>
              <w:pStyle w:val="94"/>
              <w:rPr>
                <w:color w:val="auto"/>
              </w:rPr>
            </w:pPr>
            <w:r>
              <w:rPr>
                <w:color w:val="auto"/>
              </w:rPr>
              <w:t xml:space="preserve">58.89 </w:t>
            </w:r>
          </w:p>
        </w:tc>
        <w:tc>
          <w:tcPr>
            <w:tcW w:w="534" w:type="pct"/>
            <w:noWrap/>
            <w:vAlign w:val="center"/>
          </w:tcPr>
          <w:p w14:paraId="134AE49A">
            <w:pPr>
              <w:pStyle w:val="94"/>
              <w:rPr>
                <w:color w:val="auto"/>
              </w:rPr>
            </w:pPr>
            <w:r>
              <w:rPr>
                <w:color w:val="auto"/>
              </w:rPr>
              <w:t xml:space="preserve">11.21 </w:t>
            </w:r>
          </w:p>
        </w:tc>
      </w:tr>
      <w:tr w14:paraId="17371E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53" w:type="pct"/>
            <w:noWrap/>
            <w:vAlign w:val="center"/>
          </w:tcPr>
          <w:p w14:paraId="544E3E51">
            <w:pPr>
              <w:pStyle w:val="94"/>
              <w:rPr>
                <w:color w:val="auto"/>
              </w:rPr>
            </w:pPr>
            <w:r>
              <w:rPr>
                <w:color w:val="auto"/>
              </w:rPr>
              <w:t>Ⅲ.落叶阔叶林</w:t>
            </w:r>
          </w:p>
        </w:tc>
        <w:tc>
          <w:tcPr>
            <w:tcW w:w="719" w:type="pct"/>
            <w:noWrap/>
            <w:vAlign w:val="center"/>
          </w:tcPr>
          <w:p w14:paraId="58B991CD">
            <w:pPr>
              <w:pStyle w:val="94"/>
              <w:rPr>
                <w:color w:val="auto"/>
              </w:rPr>
            </w:pPr>
            <w:r>
              <w:rPr>
                <w:color w:val="auto"/>
              </w:rPr>
              <w:t>一、落叶阔叶林</w:t>
            </w:r>
          </w:p>
        </w:tc>
        <w:tc>
          <w:tcPr>
            <w:tcW w:w="974" w:type="pct"/>
            <w:noWrap/>
            <w:vAlign w:val="center"/>
          </w:tcPr>
          <w:p w14:paraId="621B4049">
            <w:pPr>
              <w:pStyle w:val="94"/>
              <w:rPr>
                <w:color w:val="auto"/>
              </w:rPr>
            </w:pPr>
            <w:r>
              <w:rPr>
                <w:color w:val="auto"/>
              </w:rPr>
              <w:t>（三）低山丘陵人工林</w:t>
            </w:r>
          </w:p>
        </w:tc>
        <w:tc>
          <w:tcPr>
            <w:tcW w:w="1586" w:type="pct"/>
            <w:noWrap/>
            <w:vAlign w:val="center"/>
          </w:tcPr>
          <w:p w14:paraId="4A7E100E">
            <w:pPr>
              <w:pStyle w:val="94"/>
              <w:rPr>
                <w:color w:val="auto"/>
              </w:rPr>
            </w:pPr>
            <w:r>
              <w:rPr>
                <w:color w:val="auto"/>
              </w:rPr>
              <w:t>小叶杨林</w:t>
            </w:r>
          </w:p>
        </w:tc>
        <w:tc>
          <w:tcPr>
            <w:tcW w:w="534" w:type="pct"/>
            <w:noWrap/>
            <w:vAlign w:val="center"/>
          </w:tcPr>
          <w:p w14:paraId="613AB343">
            <w:pPr>
              <w:pStyle w:val="94"/>
              <w:rPr>
                <w:color w:val="auto"/>
              </w:rPr>
            </w:pPr>
            <w:r>
              <w:rPr>
                <w:color w:val="auto"/>
              </w:rPr>
              <w:t xml:space="preserve">71.77 </w:t>
            </w:r>
          </w:p>
        </w:tc>
        <w:tc>
          <w:tcPr>
            <w:tcW w:w="534" w:type="pct"/>
            <w:noWrap/>
            <w:vAlign w:val="center"/>
          </w:tcPr>
          <w:p w14:paraId="23FC0ACD">
            <w:pPr>
              <w:pStyle w:val="94"/>
              <w:rPr>
                <w:color w:val="auto"/>
              </w:rPr>
            </w:pPr>
            <w:r>
              <w:rPr>
                <w:color w:val="auto"/>
              </w:rPr>
              <w:t xml:space="preserve">13.66 </w:t>
            </w:r>
          </w:p>
        </w:tc>
      </w:tr>
      <w:tr w14:paraId="1C094B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53" w:type="pct"/>
            <w:noWrap/>
            <w:vAlign w:val="center"/>
          </w:tcPr>
          <w:p w14:paraId="38A5B7DA">
            <w:pPr>
              <w:pStyle w:val="94"/>
              <w:rPr>
                <w:color w:val="auto"/>
              </w:rPr>
            </w:pPr>
            <w:r>
              <w:rPr>
                <w:color w:val="auto"/>
              </w:rPr>
              <w:t>Ⅰ.草本类型</w:t>
            </w:r>
          </w:p>
        </w:tc>
        <w:tc>
          <w:tcPr>
            <w:tcW w:w="719" w:type="pct"/>
            <w:noWrap/>
            <w:vAlign w:val="center"/>
          </w:tcPr>
          <w:p w14:paraId="488AF911">
            <w:pPr>
              <w:pStyle w:val="94"/>
              <w:rPr>
                <w:color w:val="auto"/>
              </w:rPr>
            </w:pPr>
            <w:r>
              <w:rPr>
                <w:color w:val="auto"/>
              </w:rPr>
              <w:t>一、大田农作物型</w:t>
            </w:r>
          </w:p>
        </w:tc>
        <w:tc>
          <w:tcPr>
            <w:tcW w:w="974" w:type="pct"/>
            <w:noWrap/>
            <w:vAlign w:val="center"/>
          </w:tcPr>
          <w:p w14:paraId="1681D6F9">
            <w:pPr>
              <w:pStyle w:val="94"/>
              <w:rPr>
                <w:color w:val="auto"/>
              </w:rPr>
            </w:pPr>
            <w:r>
              <w:rPr>
                <w:color w:val="auto"/>
              </w:rPr>
              <w:t>（一）旱地作物亚型</w:t>
            </w:r>
          </w:p>
        </w:tc>
        <w:tc>
          <w:tcPr>
            <w:tcW w:w="1586" w:type="pct"/>
            <w:noWrap/>
            <w:vAlign w:val="center"/>
          </w:tcPr>
          <w:p w14:paraId="0E20C11D">
            <w:pPr>
              <w:pStyle w:val="94"/>
              <w:rPr>
                <w:color w:val="auto"/>
              </w:rPr>
            </w:pPr>
            <w:r>
              <w:rPr>
                <w:color w:val="auto"/>
              </w:rPr>
              <w:t>以玉米高粱、薯类、豆类为主的作物组合</w:t>
            </w:r>
          </w:p>
        </w:tc>
        <w:tc>
          <w:tcPr>
            <w:tcW w:w="534" w:type="pct"/>
            <w:noWrap/>
            <w:vAlign w:val="center"/>
          </w:tcPr>
          <w:p w14:paraId="199D20EC">
            <w:pPr>
              <w:pStyle w:val="94"/>
              <w:rPr>
                <w:color w:val="auto"/>
              </w:rPr>
            </w:pPr>
            <w:r>
              <w:rPr>
                <w:color w:val="auto"/>
              </w:rPr>
              <w:t xml:space="preserve">131.11 </w:t>
            </w:r>
          </w:p>
        </w:tc>
        <w:tc>
          <w:tcPr>
            <w:tcW w:w="534" w:type="pct"/>
            <w:noWrap/>
            <w:vAlign w:val="center"/>
          </w:tcPr>
          <w:p w14:paraId="3C04B7BB">
            <w:pPr>
              <w:pStyle w:val="94"/>
              <w:rPr>
                <w:color w:val="auto"/>
              </w:rPr>
            </w:pPr>
            <w:r>
              <w:rPr>
                <w:color w:val="auto"/>
              </w:rPr>
              <w:t xml:space="preserve">24.95 </w:t>
            </w:r>
          </w:p>
        </w:tc>
      </w:tr>
      <w:tr w14:paraId="0FDBDF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53" w:type="pct"/>
            <w:noWrap/>
            <w:vAlign w:val="center"/>
          </w:tcPr>
          <w:p w14:paraId="2B908AC3">
            <w:pPr>
              <w:pStyle w:val="94"/>
              <w:rPr>
                <w:color w:val="auto"/>
              </w:rPr>
            </w:pPr>
            <w:r>
              <w:rPr>
                <w:color w:val="auto"/>
              </w:rPr>
              <w:t>Ⅱ.木本类型</w:t>
            </w:r>
          </w:p>
        </w:tc>
        <w:tc>
          <w:tcPr>
            <w:tcW w:w="719" w:type="pct"/>
            <w:noWrap/>
            <w:vAlign w:val="center"/>
          </w:tcPr>
          <w:p w14:paraId="6328234B">
            <w:pPr>
              <w:pStyle w:val="94"/>
              <w:rPr>
                <w:color w:val="auto"/>
              </w:rPr>
            </w:pPr>
            <w:r>
              <w:rPr>
                <w:color w:val="auto"/>
              </w:rPr>
              <w:t>二、果园型</w:t>
            </w:r>
          </w:p>
        </w:tc>
        <w:tc>
          <w:tcPr>
            <w:tcW w:w="974" w:type="pct"/>
            <w:noWrap/>
            <w:vAlign w:val="center"/>
          </w:tcPr>
          <w:p w14:paraId="15DEE6E4">
            <w:pPr>
              <w:pStyle w:val="94"/>
              <w:rPr>
                <w:color w:val="auto"/>
              </w:rPr>
            </w:pPr>
            <w:r>
              <w:rPr>
                <w:color w:val="auto"/>
              </w:rPr>
              <w:t>（一）落叶果树亚型</w:t>
            </w:r>
          </w:p>
        </w:tc>
        <w:tc>
          <w:tcPr>
            <w:tcW w:w="1586" w:type="pct"/>
            <w:noWrap/>
            <w:vAlign w:val="center"/>
          </w:tcPr>
          <w:p w14:paraId="234C68DC">
            <w:pPr>
              <w:pStyle w:val="94"/>
              <w:rPr>
                <w:color w:val="auto"/>
              </w:rPr>
            </w:pPr>
            <w:r>
              <w:rPr>
                <w:color w:val="auto"/>
              </w:rPr>
              <w:t>枣树园</w:t>
            </w:r>
          </w:p>
        </w:tc>
        <w:tc>
          <w:tcPr>
            <w:tcW w:w="534" w:type="pct"/>
            <w:noWrap/>
            <w:vAlign w:val="center"/>
          </w:tcPr>
          <w:p w14:paraId="455F83F5">
            <w:pPr>
              <w:pStyle w:val="94"/>
              <w:rPr>
                <w:color w:val="auto"/>
              </w:rPr>
            </w:pPr>
            <w:r>
              <w:rPr>
                <w:color w:val="auto"/>
              </w:rPr>
              <w:t xml:space="preserve">23.76 </w:t>
            </w:r>
          </w:p>
        </w:tc>
        <w:tc>
          <w:tcPr>
            <w:tcW w:w="534" w:type="pct"/>
            <w:noWrap/>
            <w:vAlign w:val="center"/>
          </w:tcPr>
          <w:p w14:paraId="7C562524">
            <w:pPr>
              <w:pStyle w:val="94"/>
              <w:rPr>
                <w:color w:val="auto"/>
              </w:rPr>
            </w:pPr>
            <w:r>
              <w:rPr>
                <w:color w:val="auto"/>
              </w:rPr>
              <w:t xml:space="preserve">4.52 </w:t>
            </w:r>
          </w:p>
        </w:tc>
      </w:tr>
      <w:tr w14:paraId="0368BB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931" w:type="pct"/>
            <w:gridSpan w:val="4"/>
            <w:noWrap/>
            <w:vAlign w:val="center"/>
          </w:tcPr>
          <w:p w14:paraId="0125698F">
            <w:pPr>
              <w:pStyle w:val="94"/>
              <w:rPr>
                <w:color w:val="auto"/>
              </w:rPr>
            </w:pPr>
            <w:r>
              <w:rPr>
                <w:rFonts w:hint="eastAsia"/>
                <w:color w:val="auto"/>
              </w:rPr>
              <w:t>合计</w:t>
            </w:r>
          </w:p>
        </w:tc>
        <w:tc>
          <w:tcPr>
            <w:tcW w:w="534" w:type="pct"/>
            <w:noWrap/>
            <w:vAlign w:val="center"/>
          </w:tcPr>
          <w:p w14:paraId="134F3B44">
            <w:pPr>
              <w:pStyle w:val="94"/>
              <w:rPr>
                <w:color w:val="auto"/>
              </w:rPr>
            </w:pPr>
            <w:r>
              <w:rPr>
                <w:color w:val="auto"/>
              </w:rPr>
              <w:t xml:space="preserve">525.49 </w:t>
            </w:r>
          </w:p>
        </w:tc>
        <w:tc>
          <w:tcPr>
            <w:tcW w:w="534" w:type="pct"/>
            <w:noWrap/>
            <w:vAlign w:val="center"/>
          </w:tcPr>
          <w:p w14:paraId="61A1488A">
            <w:pPr>
              <w:pStyle w:val="94"/>
              <w:rPr>
                <w:color w:val="auto"/>
              </w:rPr>
            </w:pPr>
            <w:r>
              <w:rPr>
                <w:color w:val="auto"/>
              </w:rPr>
              <w:t xml:space="preserve">100.00 </w:t>
            </w:r>
          </w:p>
        </w:tc>
      </w:tr>
    </w:tbl>
    <w:p w14:paraId="63E451A0">
      <w:pPr>
        <w:pStyle w:val="19"/>
        <w:keepNext/>
      </w:pPr>
      <w:r>
        <w:t xml:space="preserve">表 </w:t>
      </w:r>
      <w:r>
        <w:fldChar w:fldCharType="begin"/>
      </w:r>
      <w:r>
        <w:instrText xml:space="preserve"> SEQ 表 \* ARABIC </w:instrText>
      </w:r>
      <w:r>
        <w:fldChar w:fldCharType="separate"/>
      </w:r>
      <w:r>
        <w:t>55</w:t>
      </w:r>
      <w:r>
        <w:fldChar w:fldCharType="end"/>
      </w:r>
      <w:r>
        <w:rPr>
          <w:rFonts w:hint="eastAsia"/>
        </w:rPr>
        <w:t>项目占地范围植被类型面积统计表</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87"/>
        <w:gridCol w:w="1899"/>
        <w:gridCol w:w="2089"/>
        <w:gridCol w:w="2829"/>
        <w:gridCol w:w="4606"/>
        <w:gridCol w:w="1552"/>
        <w:gridCol w:w="1552"/>
      </w:tblGrid>
      <w:tr w14:paraId="4B4CFC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48" w:type="pct"/>
            <w:noWrap/>
            <w:vAlign w:val="center"/>
          </w:tcPr>
          <w:p w14:paraId="491C5CFD">
            <w:pPr>
              <w:pStyle w:val="94"/>
              <w:rPr>
                <w:color w:val="auto"/>
              </w:rPr>
            </w:pPr>
            <w:r>
              <w:rPr>
                <w:rFonts w:hint="eastAsia"/>
                <w:color w:val="auto"/>
              </w:rPr>
              <w:t>名称</w:t>
            </w:r>
          </w:p>
        </w:tc>
        <w:tc>
          <w:tcPr>
            <w:tcW w:w="608" w:type="pct"/>
            <w:noWrap/>
            <w:vAlign w:val="center"/>
          </w:tcPr>
          <w:p w14:paraId="60282508">
            <w:pPr>
              <w:pStyle w:val="94"/>
              <w:rPr>
                <w:rFonts w:ascii="Arial" w:hAnsi="Arial"/>
                <w:color w:val="auto"/>
              </w:rPr>
            </w:pPr>
            <w:r>
              <w:rPr>
                <w:rFonts w:ascii="Arial" w:hAnsi="Arial"/>
                <w:color w:val="auto"/>
              </w:rPr>
              <w:t>植被型组</w:t>
            </w:r>
          </w:p>
        </w:tc>
        <w:tc>
          <w:tcPr>
            <w:tcW w:w="669" w:type="pct"/>
            <w:noWrap/>
            <w:vAlign w:val="center"/>
          </w:tcPr>
          <w:p w14:paraId="7F219CE9">
            <w:pPr>
              <w:pStyle w:val="94"/>
              <w:rPr>
                <w:rFonts w:ascii="Arial" w:hAnsi="Arial"/>
                <w:color w:val="auto"/>
              </w:rPr>
            </w:pPr>
            <w:r>
              <w:rPr>
                <w:rFonts w:ascii="Arial" w:hAnsi="Arial"/>
                <w:color w:val="auto"/>
              </w:rPr>
              <w:t>植被型</w:t>
            </w:r>
          </w:p>
        </w:tc>
        <w:tc>
          <w:tcPr>
            <w:tcW w:w="906" w:type="pct"/>
            <w:noWrap/>
            <w:vAlign w:val="center"/>
          </w:tcPr>
          <w:p w14:paraId="478DA442">
            <w:pPr>
              <w:pStyle w:val="94"/>
              <w:rPr>
                <w:rFonts w:ascii="Arial" w:hAnsi="Arial"/>
                <w:color w:val="auto"/>
              </w:rPr>
            </w:pPr>
            <w:r>
              <w:rPr>
                <w:rFonts w:ascii="Arial" w:hAnsi="Arial"/>
                <w:color w:val="auto"/>
              </w:rPr>
              <w:t>植被亚型</w:t>
            </w:r>
          </w:p>
        </w:tc>
        <w:tc>
          <w:tcPr>
            <w:tcW w:w="1475" w:type="pct"/>
            <w:noWrap/>
            <w:vAlign w:val="center"/>
          </w:tcPr>
          <w:p w14:paraId="1FE35D82">
            <w:pPr>
              <w:pStyle w:val="94"/>
              <w:rPr>
                <w:rFonts w:ascii="Arial" w:hAnsi="Arial"/>
                <w:color w:val="auto"/>
              </w:rPr>
            </w:pPr>
            <w:r>
              <w:rPr>
                <w:rFonts w:ascii="Arial" w:hAnsi="Arial"/>
                <w:color w:val="auto"/>
              </w:rPr>
              <w:t>群系</w:t>
            </w:r>
          </w:p>
        </w:tc>
        <w:tc>
          <w:tcPr>
            <w:tcW w:w="497" w:type="pct"/>
            <w:noWrap/>
            <w:vAlign w:val="center"/>
          </w:tcPr>
          <w:p w14:paraId="7086FC6C">
            <w:pPr>
              <w:pStyle w:val="94"/>
              <w:rPr>
                <w:rFonts w:ascii="Arial" w:hAnsi="Arial"/>
                <w:color w:val="auto"/>
              </w:rPr>
            </w:pPr>
            <w:r>
              <w:rPr>
                <w:rFonts w:ascii="Arial" w:hAnsi="Arial"/>
                <w:color w:val="auto"/>
              </w:rPr>
              <w:t>面积ha</w:t>
            </w:r>
          </w:p>
        </w:tc>
        <w:tc>
          <w:tcPr>
            <w:tcW w:w="497" w:type="pct"/>
            <w:noWrap/>
            <w:vAlign w:val="center"/>
          </w:tcPr>
          <w:p w14:paraId="058E9DEB">
            <w:pPr>
              <w:pStyle w:val="94"/>
              <w:rPr>
                <w:color w:val="auto"/>
              </w:rPr>
            </w:pPr>
            <w:r>
              <w:rPr>
                <w:rFonts w:hint="eastAsia"/>
                <w:color w:val="auto"/>
              </w:rPr>
              <w:t>占比%</w:t>
            </w:r>
          </w:p>
        </w:tc>
      </w:tr>
      <w:tr w14:paraId="1DFE8D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48" w:type="pct"/>
            <w:vMerge w:val="restart"/>
            <w:noWrap/>
            <w:vAlign w:val="center"/>
          </w:tcPr>
          <w:p w14:paraId="637B4EC2">
            <w:pPr>
              <w:pStyle w:val="94"/>
              <w:rPr>
                <w:rFonts w:ascii="Arial" w:hAnsi="Arial"/>
                <w:color w:val="auto"/>
              </w:rPr>
            </w:pPr>
            <w:r>
              <w:rPr>
                <w:rFonts w:ascii="Arial" w:hAnsi="Arial"/>
                <w:color w:val="auto"/>
              </w:rPr>
              <w:t>井场</w:t>
            </w:r>
          </w:p>
        </w:tc>
        <w:tc>
          <w:tcPr>
            <w:tcW w:w="608" w:type="pct"/>
            <w:noWrap/>
            <w:vAlign w:val="center"/>
          </w:tcPr>
          <w:p w14:paraId="0C895ECB">
            <w:pPr>
              <w:pStyle w:val="94"/>
              <w:rPr>
                <w:rFonts w:ascii="Arial" w:hAnsi="Arial"/>
                <w:color w:val="auto"/>
              </w:rPr>
            </w:pPr>
            <w:r>
              <w:rPr>
                <w:color w:val="auto"/>
              </w:rPr>
              <w:t>Ⅸ</w:t>
            </w:r>
            <w:r>
              <w:rPr>
                <w:rFonts w:ascii="Arial" w:hAnsi="Arial"/>
                <w:color w:val="auto"/>
              </w:rPr>
              <w:t>.草丛</w:t>
            </w:r>
          </w:p>
        </w:tc>
        <w:tc>
          <w:tcPr>
            <w:tcW w:w="669" w:type="pct"/>
            <w:noWrap/>
            <w:vAlign w:val="center"/>
          </w:tcPr>
          <w:p w14:paraId="0D063DF5">
            <w:pPr>
              <w:pStyle w:val="94"/>
              <w:rPr>
                <w:rFonts w:ascii="Arial" w:hAnsi="Arial"/>
                <w:color w:val="auto"/>
              </w:rPr>
            </w:pPr>
            <w:r>
              <w:rPr>
                <w:rFonts w:ascii="Arial" w:hAnsi="Arial"/>
                <w:color w:val="auto"/>
              </w:rPr>
              <w:t>一、草丛</w:t>
            </w:r>
          </w:p>
        </w:tc>
        <w:tc>
          <w:tcPr>
            <w:tcW w:w="906" w:type="pct"/>
            <w:noWrap/>
            <w:vAlign w:val="center"/>
          </w:tcPr>
          <w:p w14:paraId="438399EC">
            <w:pPr>
              <w:pStyle w:val="94"/>
              <w:rPr>
                <w:rFonts w:ascii="Arial" w:hAnsi="Arial"/>
                <w:color w:val="auto"/>
              </w:rPr>
            </w:pPr>
            <w:r>
              <w:rPr>
                <w:rFonts w:ascii="Arial" w:hAnsi="Arial"/>
                <w:color w:val="auto"/>
              </w:rPr>
              <w:t>（一）典型草丛</w:t>
            </w:r>
          </w:p>
        </w:tc>
        <w:tc>
          <w:tcPr>
            <w:tcW w:w="1475" w:type="pct"/>
            <w:noWrap/>
            <w:vAlign w:val="center"/>
          </w:tcPr>
          <w:p w14:paraId="2AB4DC3C">
            <w:pPr>
              <w:pStyle w:val="94"/>
              <w:rPr>
                <w:rFonts w:ascii="Arial" w:hAnsi="Arial"/>
                <w:color w:val="auto"/>
              </w:rPr>
            </w:pPr>
            <w:r>
              <w:rPr>
                <w:rFonts w:ascii="Arial" w:hAnsi="Arial"/>
                <w:color w:val="auto"/>
              </w:rPr>
              <w:t>蒿类草丛</w:t>
            </w:r>
          </w:p>
        </w:tc>
        <w:tc>
          <w:tcPr>
            <w:tcW w:w="497" w:type="pct"/>
            <w:noWrap/>
            <w:vAlign w:val="center"/>
          </w:tcPr>
          <w:p w14:paraId="7771BA0B">
            <w:pPr>
              <w:pStyle w:val="94"/>
              <w:rPr>
                <w:color w:val="auto"/>
              </w:rPr>
            </w:pPr>
            <w:r>
              <w:rPr>
                <w:color w:val="auto"/>
              </w:rPr>
              <w:t xml:space="preserve">1.99 </w:t>
            </w:r>
          </w:p>
        </w:tc>
        <w:tc>
          <w:tcPr>
            <w:tcW w:w="497" w:type="pct"/>
            <w:noWrap/>
            <w:vAlign w:val="center"/>
          </w:tcPr>
          <w:p w14:paraId="60FB2670">
            <w:pPr>
              <w:pStyle w:val="94"/>
              <w:rPr>
                <w:color w:val="auto"/>
              </w:rPr>
            </w:pPr>
            <w:r>
              <w:rPr>
                <w:color w:val="auto"/>
              </w:rPr>
              <w:t xml:space="preserve">9.17 </w:t>
            </w:r>
          </w:p>
        </w:tc>
      </w:tr>
      <w:tr w14:paraId="1BD58C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48" w:type="pct"/>
            <w:vMerge w:val="continue"/>
            <w:vAlign w:val="center"/>
          </w:tcPr>
          <w:p w14:paraId="49740B92">
            <w:pPr>
              <w:pStyle w:val="94"/>
              <w:rPr>
                <w:rFonts w:ascii="Arial" w:hAnsi="Arial"/>
                <w:color w:val="auto"/>
              </w:rPr>
            </w:pPr>
          </w:p>
        </w:tc>
        <w:tc>
          <w:tcPr>
            <w:tcW w:w="608" w:type="pct"/>
            <w:noWrap/>
            <w:vAlign w:val="center"/>
          </w:tcPr>
          <w:p w14:paraId="03ECC053">
            <w:pPr>
              <w:pStyle w:val="94"/>
              <w:rPr>
                <w:rFonts w:ascii="Arial" w:hAnsi="Arial"/>
                <w:color w:val="auto"/>
              </w:rPr>
            </w:pPr>
            <w:r>
              <w:rPr>
                <w:color w:val="auto"/>
              </w:rPr>
              <w:t>Ⅱ</w:t>
            </w:r>
            <w:r>
              <w:rPr>
                <w:rFonts w:ascii="Arial" w:hAnsi="Arial"/>
                <w:color w:val="auto"/>
              </w:rPr>
              <w:t>.木本类型</w:t>
            </w:r>
          </w:p>
        </w:tc>
        <w:tc>
          <w:tcPr>
            <w:tcW w:w="669" w:type="pct"/>
            <w:noWrap/>
            <w:vAlign w:val="center"/>
          </w:tcPr>
          <w:p w14:paraId="2C9AF34A">
            <w:pPr>
              <w:pStyle w:val="94"/>
              <w:rPr>
                <w:rFonts w:ascii="Arial" w:hAnsi="Arial"/>
                <w:color w:val="auto"/>
              </w:rPr>
            </w:pPr>
            <w:r>
              <w:rPr>
                <w:rFonts w:ascii="Arial" w:hAnsi="Arial"/>
                <w:color w:val="auto"/>
              </w:rPr>
              <w:t>二、果园型</w:t>
            </w:r>
          </w:p>
        </w:tc>
        <w:tc>
          <w:tcPr>
            <w:tcW w:w="906" w:type="pct"/>
            <w:noWrap/>
            <w:vAlign w:val="center"/>
          </w:tcPr>
          <w:p w14:paraId="4F742E21">
            <w:pPr>
              <w:pStyle w:val="94"/>
              <w:rPr>
                <w:rFonts w:ascii="Arial" w:hAnsi="Arial"/>
                <w:color w:val="auto"/>
              </w:rPr>
            </w:pPr>
            <w:r>
              <w:rPr>
                <w:rFonts w:ascii="Arial" w:hAnsi="Arial"/>
                <w:color w:val="auto"/>
              </w:rPr>
              <w:t>（一）落叶果树亚型</w:t>
            </w:r>
          </w:p>
        </w:tc>
        <w:tc>
          <w:tcPr>
            <w:tcW w:w="1475" w:type="pct"/>
            <w:noWrap/>
            <w:vAlign w:val="center"/>
          </w:tcPr>
          <w:p w14:paraId="371A966F">
            <w:pPr>
              <w:pStyle w:val="94"/>
              <w:rPr>
                <w:rFonts w:ascii="Arial" w:hAnsi="Arial"/>
                <w:color w:val="auto"/>
              </w:rPr>
            </w:pPr>
            <w:r>
              <w:rPr>
                <w:rFonts w:ascii="Arial" w:hAnsi="Arial"/>
                <w:color w:val="auto"/>
              </w:rPr>
              <w:t>核桃园</w:t>
            </w:r>
          </w:p>
        </w:tc>
        <w:tc>
          <w:tcPr>
            <w:tcW w:w="497" w:type="pct"/>
            <w:noWrap/>
            <w:vAlign w:val="center"/>
          </w:tcPr>
          <w:p w14:paraId="1209F020">
            <w:pPr>
              <w:pStyle w:val="94"/>
              <w:rPr>
                <w:color w:val="auto"/>
              </w:rPr>
            </w:pPr>
            <w:r>
              <w:rPr>
                <w:color w:val="auto"/>
              </w:rPr>
              <w:t xml:space="preserve">1.26 </w:t>
            </w:r>
          </w:p>
        </w:tc>
        <w:tc>
          <w:tcPr>
            <w:tcW w:w="497" w:type="pct"/>
            <w:noWrap/>
            <w:vAlign w:val="center"/>
          </w:tcPr>
          <w:p w14:paraId="224DC043">
            <w:pPr>
              <w:pStyle w:val="94"/>
              <w:rPr>
                <w:color w:val="auto"/>
              </w:rPr>
            </w:pPr>
            <w:r>
              <w:rPr>
                <w:color w:val="auto"/>
              </w:rPr>
              <w:t xml:space="preserve">5.79 </w:t>
            </w:r>
          </w:p>
        </w:tc>
      </w:tr>
      <w:tr w14:paraId="45430D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48" w:type="pct"/>
            <w:vMerge w:val="continue"/>
            <w:vAlign w:val="center"/>
          </w:tcPr>
          <w:p w14:paraId="6A7BF33F">
            <w:pPr>
              <w:pStyle w:val="94"/>
              <w:rPr>
                <w:rFonts w:ascii="Arial" w:hAnsi="Arial"/>
                <w:color w:val="auto"/>
              </w:rPr>
            </w:pPr>
          </w:p>
        </w:tc>
        <w:tc>
          <w:tcPr>
            <w:tcW w:w="608" w:type="pct"/>
            <w:noWrap/>
            <w:vAlign w:val="center"/>
          </w:tcPr>
          <w:p w14:paraId="302FB58B">
            <w:pPr>
              <w:pStyle w:val="94"/>
              <w:rPr>
                <w:rFonts w:ascii="Arial" w:hAnsi="Arial"/>
                <w:color w:val="auto"/>
              </w:rPr>
            </w:pPr>
            <w:r>
              <w:rPr>
                <w:color w:val="auto"/>
              </w:rPr>
              <w:t>Ⅳ</w:t>
            </w:r>
            <w:r>
              <w:rPr>
                <w:rFonts w:ascii="Arial" w:hAnsi="Arial"/>
                <w:color w:val="auto"/>
              </w:rPr>
              <w:t>.落叶阔叶灌丛</w:t>
            </w:r>
          </w:p>
        </w:tc>
        <w:tc>
          <w:tcPr>
            <w:tcW w:w="669" w:type="pct"/>
            <w:noWrap/>
            <w:vAlign w:val="center"/>
          </w:tcPr>
          <w:p w14:paraId="3154606D">
            <w:pPr>
              <w:pStyle w:val="94"/>
              <w:rPr>
                <w:rFonts w:ascii="Arial" w:hAnsi="Arial"/>
                <w:color w:val="auto"/>
              </w:rPr>
            </w:pPr>
            <w:r>
              <w:rPr>
                <w:rFonts w:ascii="Arial" w:hAnsi="Arial"/>
                <w:color w:val="auto"/>
              </w:rPr>
              <w:t>一、落叶阔叶灌丛</w:t>
            </w:r>
          </w:p>
        </w:tc>
        <w:tc>
          <w:tcPr>
            <w:tcW w:w="906" w:type="pct"/>
            <w:noWrap/>
            <w:vAlign w:val="center"/>
          </w:tcPr>
          <w:p w14:paraId="0D0401A7">
            <w:pPr>
              <w:pStyle w:val="94"/>
              <w:rPr>
                <w:rFonts w:ascii="Arial" w:hAnsi="Arial"/>
                <w:color w:val="auto"/>
              </w:rPr>
            </w:pPr>
            <w:r>
              <w:rPr>
                <w:rFonts w:ascii="Arial" w:hAnsi="Arial"/>
                <w:color w:val="auto"/>
              </w:rPr>
              <w:t>（二）温性落叶阔叶灌丛</w:t>
            </w:r>
          </w:p>
        </w:tc>
        <w:tc>
          <w:tcPr>
            <w:tcW w:w="1475" w:type="pct"/>
            <w:noWrap/>
            <w:vAlign w:val="center"/>
          </w:tcPr>
          <w:p w14:paraId="6DC02527">
            <w:pPr>
              <w:pStyle w:val="94"/>
              <w:rPr>
                <w:rFonts w:ascii="Arial" w:hAnsi="Arial"/>
                <w:color w:val="auto"/>
              </w:rPr>
            </w:pPr>
            <w:r>
              <w:rPr>
                <w:rFonts w:ascii="Arial" w:hAnsi="Arial"/>
                <w:color w:val="auto"/>
              </w:rPr>
              <w:t>柠条锦鸡儿灌丛</w:t>
            </w:r>
          </w:p>
        </w:tc>
        <w:tc>
          <w:tcPr>
            <w:tcW w:w="497" w:type="pct"/>
            <w:noWrap/>
            <w:vAlign w:val="center"/>
          </w:tcPr>
          <w:p w14:paraId="7F5E3FED">
            <w:pPr>
              <w:pStyle w:val="94"/>
              <w:rPr>
                <w:color w:val="auto"/>
              </w:rPr>
            </w:pPr>
            <w:r>
              <w:rPr>
                <w:color w:val="auto"/>
              </w:rPr>
              <w:t xml:space="preserve">0.18 </w:t>
            </w:r>
          </w:p>
        </w:tc>
        <w:tc>
          <w:tcPr>
            <w:tcW w:w="497" w:type="pct"/>
            <w:noWrap/>
            <w:vAlign w:val="center"/>
          </w:tcPr>
          <w:p w14:paraId="5DC7638D">
            <w:pPr>
              <w:pStyle w:val="94"/>
              <w:rPr>
                <w:color w:val="auto"/>
              </w:rPr>
            </w:pPr>
            <w:r>
              <w:rPr>
                <w:color w:val="auto"/>
              </w:rPr>
              <w:t xml:space="preserve">0.83 </w:t>
            </w:r>
          </w:p>
        </w:tc>
      </w:tr>
      <w:tr w14:paraId="119122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48" w:type="pct"/>
            <w:vMerge w:val="continue"/>
            <w:vAlign w:val="center"/>
          </w:tcPr>
          <w:p w14:paraId="385DB2AB">
            <w:pPr>
              <w:pStyle w:val="94"/>
              <w:rPr>
                <w:rFonts w:ascii="Arial" w:hAnsi="Arial"/>
                <w:color w:val="auto"/>
              </w:rPr>
            </w:pPr>
          </w:p>
        </w:tc>
        <w:tc>
          <w:tcPr>
            <w:tcW w:w="608" w:type="pct"/>
            <w:noWrap/>
            <w:vAlign w:val="center"/>
          </w:tcPr>
          <w:p w14:paraId="7D9C27DA">
            <w:pPr>
              <w:pStyle w:val="94"/>
              <w:rPr>
                <w:rFonts w:ascii="Arial" w:hAnsi="Arial"/>
                <w:color w:val="auto"/>
              </w:rPr>
            </w:pPr>
            <w:r>
              <w:rPr>
                <w:rFonts w:ascii="Arial" w:hAnsi="Arial"/>
                <w:color w:val="auto"/>
              </w:rPr>
              <w:t>/</w:t>
            </w:r>
          </w:p>
        </w:tc>
        <w:tc>
          <w:tcPr>
            <w:tcW w:w="669" w:type="pct"/>
            <w:noWrap/>
            <w:vAlign w:val="center"/>
          </w:tcPr>
          <w:p w14:paraId="6AB1DF50">
            <w:pPr>
              <w:pStyle w:val="94"/>
              <w:rPr>
                <w:rFonts w:ascii="Arial" w:hAnsi="Arial"/>
                <w:color w:val="auto"/>
              </w:rPr>
            </w:pPr>
            <w:r>
              <w:rPr>
                <w:rFonts w:ascii="Arial" w:hAnsi="Arial"/>
                <w:color w:val="auto"/>
              </w:rPr>
              <w:t>/</w:t>
            </w:r>
          </w:p>
        </w:tc>
        <w:tc>
          <w:tcPr>
            <w:tcW w:w="906" w:type="pct"/>
            <w:noWrap/>
            <w:vAlign w:val="center"/>
          </w:tcPr>
          <w:p w14:paraId="44D0E97D">
            <w:pPr>
              <w:pStyle w:val="94"/>
              <w:rPr>
                <w:rFonts w:ascii="Arial" w:hAnsi="Arial"/>
                <w:color w:val="auto"/>
              </w:rPr>
            </w:pPr>
            <w:r>
              <w:rPr>
                <w:rFonts w:ascii="Arial" w:hAnsi="Arial"/>
                <w:color w:val="auto"/>
              </w:rPr>
              <w:t>/</w:t>
            </w:r>
          </w:p>
        </w:tc>
        <w:tc>
          <w:tcPr>
            <w:tcW w:w="1475" w:type="pct"/>
            <w:noWrap/>
            <w:vAlign w:val="center"/>
          </w:tcPr>
          <w:p w14:paraId="1D9A29B1">
            <w:pPr>
              <w:pStyle w:val="94"/>
              <w:rPr>
                <w:rFonts w:ascii="Arial" w:hAnsi="Arial"/>
                <w:color w:val="auto"/>
              </w:rPr>
            </w:pPr>
            <w:r>
              <w:rPr>
                <w:rFonts w:ascii="Arial" w:hAnsi="Arial"/>
                <w:color w:val="auto"/>
              </w:rPr>
              <w:t>无植被区</w:t>
            </w:r>
          </w:p>
        </w:tc>
        <w:tc>
          <w:tcPr>
            <w:tcW w:w="497" w:type="pct"/>
            <w:noWrap/>
            <w:vAlign w:val="center"/>
          </w:tcPr>
          <w:p w14:paraId="3E3E3781">
            <w:pPr>
              <w:pStyle w:val="94"/>
              <w:rPr>
                <w:color w:val="auto"/>
              </w:rPr>
            </w:pPr>
            <w:r>
              <w:rPr>
                <w:color w:val="auto"/>
              </w:rPr>
              <w:t xml:space="preserve">4.76 </w:t>
            </w:r>
          </w:p>
        </w:tc>
        <w:tc>
          <w:tcPr>
            <w:tcW w:w="497" w:type="pct"/>
            <w:noWrap/>
            <w:vAlign w:val="center"/>
          </w:tcPr>
          <w:p w14:paraId="73E41F49">
            <w:pPr>
              <w:pStyle w:val="94"/>
              <w:rPr>
                <w:color w:val="auto"/>
              </w:rPr>
            </w:pPr>
            <w:r>
              <w:rPr>
                <w:color w:val="auto"/>
              </w:rPr>
              <w:t xml:space="preserve">21.92 </w:t>
            </w:r>
          </w:p>
        </w:tc>
      </w:tr>
      <w:tr w14:paraId="2403A2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48" w:type="pct"/>
            <w:vMerge w:val="continue"/>
            <w:vAlign w:val="center"/>
          </w:tcPr>
          <w:p w14:paraId="07D3B07A">
            <w:pPr>
              <w:pStyle w:val="94"/>
              <w:rPr>
                <w:rFonts w:ascii="Arial" w:hAnsi="Arial"/>
                <w:color w:val="auto"/>
              </w:rPr>
            </w:pPr>
          </w:p>
        </w:tc>
        <w:tc>
          <w:tcPr>
            <w:tcW w:w="608" w:type="pct"/>
            <w:noWrap/>
            <w:vAlign w:val="center"/>
          </w:tcPr>
          <w:p w14:paraId="5F25FFCD">
            <w:pPr>
              <w:pStyle w:val="94"/>
              <w:rPr>
                <w:rFonts w:ascii="Arial" w:hAnsi="Arial"/>
                <w:color w:val="auto"/>
              </w:rPr>
            </w:pPr>
            <w:r>
              <w:rPr>
                <w:color w:val="auto"/>
              </w:rPr>
              <w:t>Ⅲ</w:t>
            </w:r>
            <w:r>
              <w:rPr>
                <w:rFonts w:ascii="Arial" w:hAnsi="Arial"/>
                <w:color w:val="auto"/>
              </w:rPr>
              <w:t>.落叶阔叶林</w:t>
            </w:r>
          </w:p>
        </w:tc>
        <w:tc>
          <w:tcPr>
            <w:tcW w:w="669" w:type="pct"/>
            <w:noWrap/>
            <w:vAlign w:val="center"/>
          </w:tcPr>
          <w:p w14:paraId="4FD34040">
            <w:pPr>
              <w:pStyle w:val="94"/>
              <w:rPr>
                <w:rFonts w:ascii="Arial" w:hAnsi="Arial"/>
                <w:color w:val="auto"/>
              </w:rPr>
            </w:pPr>
            <w:r>
              <w:rPr>
                <w:rFonts w:ascii="Arial" w:hAnsi="Arial"/>
                <w:color w:val="auto"/>
              </w:rPr>
              <w:t>一、落叶阔叶林</w:t>
            </w:r>
          </w:p>
        </w:tc>
        <w:tc>
          <w:tcPr>
            <w:tcW w:w="906" w:type="pct"/>
            <w:noWrap/>
            <w:vAlign w:val="center"/>
          </w:tcPr>
          <w:p w14:paraId="7654BCDA">
            <w:pPr>
              <w:pStyle w:val="94"/>
              <w:rPr>
                <w:rFonts w:ascii="Arial" w:hAnsi="Arial"/>
                <w:color w:val="auto"/>
              </w:rPr>
            </w:pPr>
            <w:r>
              <w:rPr>
                <w:rFonts w:ascii="Arial" w:hAnsi="Arial"/>
                <w:color w:val="auto"/>
              </w:rPr>
              <w:t>（三）低山丘陵人工林</w:t>
            </w:r>
          </w:p>
        </w:tc>
        <w:tc>
          <w:tcPr>
            <w:tcW w:w="1475" w:type="pct"/>
            <w:noWrap/>
            <w:vAlign w:val="center"/>
          </w:tcPr>
          <w:p w14:paraId="2BDDDCBA">
            <w:pPr>
              <w:pStyle w:val="94"/>
              <w:rPr>
                <w:rFonts w:ascii="Arial" w:hAnsi="Arial"/>
                <w:color w:val="auto"/>
              </w:rPr>
            </w:pPr>
            <w:r>
              <w:rPr>
                <w:rFonts w:ascii="Arial" w:hAnsi="Arial"/>
                <w:color w:val="auto"/>
              </w:rPr>
              <w:t>小叶杨林</w:t>
            </w:r>
          </w:p>
        </w:tc>
        <w:tc>
          <w:tcPr>
            <w:tcW w:w="497" w:type="pct"/>
            <w:noWrap/>
            <w:vAlign w:val="center"/>
          </w:tcPr>
          <w:p w14:paraId="796983D7">
            <w:pPr>
              <w:pStyle w:val="94"/>
              <w:rPr>
                <w:color w:val="auto"/>
              </w:rPr>
            </w:pPr>
            <w:r>
              <w:rPr>
                <w:color w:val="auto"/>
              </w:rPr>
              <w:t xml:space="preserve">5.20 </w:t>
            </w:r>
          </w:p>
        </w:tc>
        <w:tc>
          <w:tcPr>
            <w:tcW w:w="497" w:type="pct"/>
            <w:noWrap/>
            <w:vAlign w:val="center"/>
          </w:tcPr>
          <w:p w14:paraId="5FF3B8C1">
            <w:pPr>
              <w:pStyle w:val="94"/>
              <w:rPr>
                <w:color w:val="auto"/>
              </w:rPr>
            </w:pPr>
            <w:r>
              <w:rPr>
                <w:color w:val="auto"/>
              </w:rPr>
              <w:t xml:space="preserve">23.99 </w:t>
            </w:r>
          </w:p>
        </w:tc>
      </w:tr>
      <w:tr w14:paraId="4D30D6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48" w:type="pct"/>
            <w:vMerge w:val="continue"/>
            <w:vAlign w:val="center"/>
          </w:tcPr>
          <w:p w14:paraId="3A7BE38E">
            <w:pPr>
              <w:pStyle w:val="94"/>
              <w:rPr>
                <w:rFonts w:ascii="Arial" w:hAnsi="Arial"/>
                <w:color w:val="auto"/>
              </w:rPr>
            </w:pPr>
          </w:p>
        </w:tc>
        <w:tc>
          <w:tcPr>
            <w:tcW w:w="608" w:type="pct"/>
            <w:noWrap/>
            <w:vAlign w:val="center"/>
          </w:tcPr>
          <w:p w14:paraId="3DD586E4">
            <w:pPr>
              <w:pStyle w:val="94"/>
              <w:rPr>
                <w:rFonts w:ascii="Arial" w:hAnsi="Arial"/>
                <w:color w:val="auto"/>
              </w:rPr>
            </w:pPr>
            <w:r>
              <w:rPr>
                <w:color w:val="auto"/>
              </w:rPr>
              <w:t>Ⅰ</w:t>
            </w:r>
            <w:r>
              <w:rPr>
                <w:rFonts w:ascii="Arial" w:hAnsi="Arial"/>
                <w:color w:val="auto"/>
              </w:rPr>
              <w:t>.草本类型</w:t>
            </w:r>
          </w:p>
        </w:tc>
        <w:tc>
          <w:tcPr>
            <w:tcW w:w="669" w:type="pct"/>
            <w:noWrap/>
            <w:vAlign w:val="center"/>
          </w:tcPr>
          <w:p w14:paraId="43A4BD88">
            <w:pPr>
              <w:pStyle w:val="94"/>
              <w:rPr>
                <w:rFonts w:ascii="Arial" w:hAnsi="Arial"/>
                <w:color w:val="auto"/>
              </w:rPr>
            </w:pPr>
            <w:r>
              <w:rPr>
                <w:rFonts w:ascii="Arial" w:hAnsi="Arial"/>
                <w:color w:val="auto"/>
              </w:rPr>
              <w:t>一、大田农作物型</w:t>
            </w:r>
          </w:p>
        </w:tc>
        <w:tc>
          <w:tcPr>
            <w:tcW w:w="906" w:type="pct"/>
            <w:noWrap/>
            <w:vAlign w:val="center"/>
          </w:tcPr>
          <w:p w14:paraId="2207E90B">
            <w:pPr>
              <w:pStyle w:val="94"/>
              <w:rPr>
                <w:rFonts w:ascii="Arial" w:hAnsi="Arial"/>
                <w:color w:val="auto"/>
              </w:rPr>
            </w:pPr>
            <w:r>
              <w:rPr>
                <w:rFonts w:ascii="Arial" w:hAnsi="Arial"/>
                <w:color w:val="auto"/>
              </w:rPr>
              <w:t>（一）旱地作物亚型</w:t>
            </w:r>
          </w:p>
        </w:tc>
        <w:tc>
          <w:tcPr>
            <w:tcW w:w="1475" w:type="pct"/>
            <w:noWrap/>
            <w:vAlign w:val="center"/>
          </w:tcPr>
          <w:p w14:paraId="24840E49">
            <w:pPr>
              <w:pStyle w:val="94"/>
              <w:rPr>
                <w:rFonts w:ascii="Arial" w:hAnsi="Arial"/>
                <w:color w:val="auto"/>
              </w:rPr>
            </w:pPr>
            <w:r>
              <w:rPr>
                <w:rFonts w:ascii="Arial" w:hAnsi="Arial"/>
                <w:color w:val="auto"/>
              </w:rPr>
              <w:t>以玉米高粱、薯类、豆类为主的作物组合</w:t>
            </w:r>
          </w:p>
        </w:tc>
        <w:tc>
          <w:tcPr>
            <w:tcW w:w="497" w:type="pct"/>
            <w:noWrap/>
            <w:vAlign w:val="center"/>
          </w:tcPr>
          <w:p w14:paraId="7924BE57">
            <w:pPr>
              <w:pStyle w:val="94"/>
              <w:rPr>
                <w:color w:val="auto"/>
              </w:rPr>
            </w:pPr>
            <w:r>
              <w:rPr>
                <w:color w:val="auto"/>
              </w:rPr>
              <w:t xml:space="preserve">6.68 </w:t>
            </w:r>
          </w:p>
        </w:tc>
        <w:tc>
          <w:tcPr>
            <w:tcW w:w="497" w:type="pct"/>
            <w:noWrap/>
            <w:vAlign w:val="center"/>
          </w:tcPr>
          <w:p w14:paraId="11A6F5D0">
            <w:pPr>
              <w:pStyle w:val="94"/>
              <w:rPr>
                <w:color w:val="auto"/>
              </w:rPr>
            </w:pPr>
            <w:r>
              <w:rPr>
                <w:color w:val="auto"/>
              </w:rPr>
              <w:t xml:space="preserve">30.81 </w:t>
            </w:r>
          </w:p>
        </w:tc>
      </w:tr>
      <w:tr w14:paraId="034DAB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48" w:type="pct"/>
            <w:vMerge w:val="continue"/>
            <w:vAlign w:val="center"/>
          </w:tcPr>
          <w:p w14:paraId="65AB4157">
            <w:pPr>
              <w:pStyle w:val="94"/>
              <w:rPr>
                <w:rFonts w:ascii="Arial" w:hAnsi="Arial"/>
                <w:color w:val="auto"/>
              </w:rPr>
            </w:pPr>
          </w:p>
        </w:tc>
        <w:tc>
          <w:tcPr>
            <w:tcW w:w="608" w:type="pct"/>
            <w:noWrap/>
            <w:vAlign w:val="center"/>
          </w:tcPr>
          <w:p w14:paraId="75F68C48">
            <w:pPr>
              <w:pStyle w:val="94"/>
              <w:rPr>
                <w:rFonts w:ascii="Arial" w:hAnsi="Arial"/>
                <w:color w:val="auto"/>
              </w:rPr>
            </w:pPr>
            <w:r>
              <w:rPr>
                <w:color w:val="auto"/>
              </w:rPr>
              <w:t>Ⅱ</w:t>
            </w:r>
            <w:r>
              <w:rPr>
                <w:rFonts w:ascii="Arial" w:hAnsi="Arial"/>
                <w:color w:val="auto"/>
              </w:rPr>
              <w:t>.木本类型</w:t>
            </w:r>
          </w:p>
        </w:tc>
        <w:tc>
          <w:tcPr>
            <w:tcW w:w="669" w:type="pct"/>
            <w:noWrap/>
            <w:vAlign w:val="center"/>
          </w:tcPr>
          <w:p w14:paraId="0E7092A8">
            <w:pPr>
              <w:pStyle w:val="94"/>
              <w:rPr>
                <w:rFonts w:ascii="Arial" w:hAnsi="Arial"/>
                <w:color w:val="auto"/>
              </w:rPr>
            </w:pPr>
            <w:r>
              <w:rPr>
                <w:rFonts w:ascii="Arial" w:hAnsi="Arial"/>
                <w:color w:val="auto"/>
              </w:rPr>
              <w:t>二、果园型</w:t>
            </w:r>
          </w:p>
        </w:tc>
        <w:tc>
          <w:tcPr>
            <w:tcW w:w="906" w:type="pct"/>
            <w:noWrap/>
            <w:vAlign w:val="center"/>
          </w:tcPr>
          <w:p w14:paraId="0FB6EB1C">
            <w:pPr>
              <w:pStyle w:val="94"/>
              <w:rPr>
                <w:rFonts w:ascii="Arial" w:hAnsi="Arial"/>
                <w:color w:val="auto"/>
              </w:rPr>
            </w:pPr>
            <w:r>
              <w:rPr>
                <w:rFonts w:ascii="Arial" w:hAnsi="Arial"/>
                <w:color w:val="auto"/>
              </w:rPr>
              <w:t>（一）落叶果树亚型</w:t>
            </w:r>
          </w:p>
        </w:tc>
        <w:tc>
          <w:tcPr>
            <w:tcW w:w="1475" w:type="pct"/>
            <w:noWrap/>
            <w:vAlign w:val="center"/>
          </w:tcPr>
          <w:p w14:paraId="77664DDC">
            <w:pPr>
              <w:pStyle w:val="94"/>
              <w:rPr>
                <w:rFonts w:ascii="Arial" w:hAnsi="Arial"/>
                <w:color w:val="auto"/>
              </w:rPr>
            </w:pPr>
            <w:r>
              <w:rPr>
                <w:rFonts w:ascii="Arial" w:hAnsi="Arial"/>
                <w:color w:val="auto"/>
              </w:rPr>
              <w:t>枣树园</w:t>
            </w:r>
          </w:p>
        </w:tc>
        <w:tc>
          <w:tcPr>
            <w:tcW w:w="497" w:type="pct"/>
            <w:noWrap/>
            <w:vAlign w:val="center"/>
          </w:tcPr>
          <w:p w14:paraId="2AC5F612">
            <w:pPr>
              <w:pStyle w:val="94"/>
              <w:rPr>
                <w:color w:val="auto"/>
              </w:rPr>
            </w:pPr>
            <w:r>
              <w:rPr>
                <w:color w:val="auto"/>
              </w:rPr>
              <w:t xml:space="preserve">1.62 </w:t>
            </w:r>
          </w:p>
        </w:tc>
        <w:tc>
          <w:tcPr>
            <w:tcW w:w="497" w:type="pct"/>
            <w:noWrap/>
            <w:vAlign w:val="center"/>
          </w:tcPr>
          <w:p w14:paraId="077DE1D7">
            <w:pPr>
              <w:pStyle w:val="94"/>
              <w:rPr>
                <w:color w:val="auto"/>
              </w:rPr>
            </w:pPr>
            <w:r>
              <w:rPr>
                <w:color w:val="auto"/>
              </w:rPr>
              <w:t xml:space="preserve">7.48 </w:t>
            </w:r>
          </w:p>
        </w:tc>
      </w:tr>
      <w:tr w14:paraId="79E3D9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006" w:type="pct"/>
            <w:gridSpan w:val="5"/>
            <w:noWrap/>
            <w:vAlign w:val="center"/>
          </w:tcPr>
          <w:p w14:paraId="55BF087F">
            <w:pPr>
              <w:pStyle w:val="94"/>
              <w:rPr>
                <w:color w:val="auto"/>
              </w:rPr>
            </w:pPr>
            <w:r>
              <w:rPr>
                <w:rFonts w:hint="eastAsia"/>
                <w:color w:val="auto"/>
              </w:rPr>
              <w:t>小计</w:t>
            </w:r>
          </w:p>
        </w:tc>
        <w:tc>
          <w:tcPr>
            <w:tcW w:w="497" w:type="pct"/>
            <w:noWrap/>
            <w:vAlign w:val="center"/>
          </w:tcPr>
          <w:p w14:paraId="1CB5E062">
            <w:pPr>
              <w:pStyle w:val="94"/>
              <w:rPr>
                <w:color w:val="auto"/>
              </w:rPr>
            </w:pPr>
            <w:r>
              <w:rPr>
                <w:color w:val="auto"/>
              </w:rPr>
              <w:t>21.69</w:t>
            </w:r>
          </w:p>
        </w:tc>
        <w:tc>
          <w:tcPr>
            <w:tcW w:w="497" w:type="pct"/>
            <w:noWrap/>
            <w:vAlign w:val="center"/>
          </w:tcPr>
          <w:p w14:paraId="086DDDD5">
            <w:pPr>
              <w:pStyle w:val="94"/>
              <w:rPr>
                <w:color w:val="auto"/>
              </w:rPr>
            </w:pPr>
            <w:r>
              <w:rPr>
                <w:color w:val="auto"/>
              </w:rPr>
              <w:t xml:space="preserve">100.00 </w:t>
            </w:r>
          </w:p>
        </w:tc>
      </w:tr>
      <w:tr w14:paraId="14141B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48" w:type="pct"/>
            <w:vMerge w:val="restart"/>
            <w:noWrap/>
            <w:vAlign w:val="center"/>
          </w:tcPr>
          <w:p w14:paraId="3526268B">
            <w:pPr>
              <w:pStyle w:val="94"/>
              <w:rPr>
                <w:rFonts w:ascii="Arial" w:hAnsi="Arial"/>
                <w:color w:val="auto"/>
              </w:rPr>
            </w:pPr>
            <w:r>
              <w:rPr>
                <w:rFonts w:ascii="Arial" w:hAnsi="Arial"/>
                <w:color w:val="auto"/>
              </w:rPr>
              <w:t>井场道路</w:t>
            </w:r>
          </w:p>
        </w:tc>
        <w:tc>
          <w:tcPr>
            <w:tcW w:w="608" w:type="pct"/>
            <w:noWrap/>
            <w:vAlign w:val="center"/>
          </w:tcPr>
          <w:p w14:paraId="13A18388">
            <w:pPr>
              <w:pStyle w:val="94"/>
              <w:rPr>
                <w:rFonts w:ascii="Arial" w:hAnsi="Arial"/>
                <w:color w:val="auto"/>
              </w:rPr>
            </w:pPr>
            <w:r>
              <w:rPr>
                <w:color w:val="auto"/>
              </w:rPr>
              <w:t>Ⅸ</w:t>
            </w:r>
            <w:r>
              <w:rPr>
                <w:rFonts w:ascii="Arial" w:hAnsi="Arial"/>
                <w:color w:val="auto"/>
              </w:rPr>
              <w:t>.草丛</w:t>
            </w:r>
          </w:p>
        </w:tc>
        <w:tc>
          <w:tcPr>
            <w:tcW w:w="669" w:type="pct"/>
            <w:noWrap/>
            <w:vAlign w:val="center"/>
          </w:tcPr>
          <w:p w14:paraId="363FB480">
            <w:pPr>
              <w:pStyle w:val="94"/>
              <w:rPr>
                <w:rFonts w:ascii="Arial" w:hAnsi="Arial"/>
                <w:color w:val="auto"/>
              </w:rPr>
            </w:pPr>
            <w:r>
              <w:rPr>
                <w:rFonts w:ascii="Arial" w:hAnsi="Arial"/>
                <w:color w:val="auto"/>
              </w:rPr>
              <w:t>一、草丛</w:t>
            </w:r>
          </w:p>
        </w:tc>
        <w:tc>
          <w:tcPr>
            <w:tcW w:w="906" w:type="pct"/>
            <w:noWrap/>
            <w:vAlign w:val="center"/>
          </w:tcPr>
          <w:p w14:paraId="44FC5FE7">
            <w:pPr>
              <w:pStyle w:val="94"/>
              <w:rPr>
                <w:rFonts w:ascii="Arial" w:hAnsi="Arial"/>
                <w:color w:val="auto"/>
              </w:rPr>
            </w:pPr>
            <w:r>
              <w:rPr>
                <w:rFonts w:ascii="Arial" w:hAnsi="Arial"/>
                <w:color w:val="auto"/>
              </w:rPr>
              <w:t>（一）典型草丛</w:t>
            </w:r>
          </w:p>
        </w:tc>
        <w:tc>
          <w:tcPr>
            <w:tcW w:w="1475" w:type="pct"/>
            <w:noWrap/>
            <w:vAlign w:val="center"/>
          </w:tcPr>
          <w:p w14:paraId="20F7ECBF">
            <w:pPr>
              <w:pStyle w:val="94"/>
              <w:rPr>
                <w:rFonts w:ascii="Arial" w:hAnsi="Arial"/>
                <w:color w:val="auto"/>
              </w:rPr>
            </w:pPr>
            <w:r>
              <w:rPr>
                <w:rFonts w:ascii="Arial" w:hAnsi="Arial"/>
                <w:color w:val="auto"/>
              </w:rPr>
              <w:t>蒿类草丛</w:t>
            </w:r>
          </w:p>
        </w:tc>
        <w:tc>
          <w:tcPr>
            <w:tcW w:w="497" w:type="pct"/>
            <w:noWrap/>
            <w:vAlign w:val="center"/>
          </w:tcPr>
          <w:p w14:paraId="62422E55">
            <w:pPr>
              <w:pStyle w:val="94"/>
              <w:rPr>
                <w:color w:val="auto"/>
              </w:rPr>
            </w:pPr>
            <w:r>
              <w:rPr>
                <w:color w:val="auto"/>
              </w:rPr>
              <w:t xml:space="preserve">0.50 </w:t>
            </w:r>
          </w:p>
        </w:tc>
        <w:tc>
          <w:tcPr>
            <w:tcW w:w="497" w:type="pct"/>
            <w:noWrap/>
            <w:vAlign w:val="center"/>
          </w:tcPr>
          <w:p w14:paraId="1FF84FA4">
            <w:pPr>
              <w:pStyle w:val="94"/>
              <w:rPr>
                <w:color w:val="auto"/>
              </w:rPr>
            </w:pPr>
            <w:r>
              <w:rPr>
                <w:color w:val="auto"/>
              </w:rPr>
              <w:t xml:space="preserve">40.65 </w:t>
            </w:r>
          </w:p>
        </w:tc>
      </w:tr>
      <w:tr w14:paraId="7C4D31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48" w:type="pct"/>
            <w:vMerge w:val="continue"/>
            <w:vAlign w:val="center"/>
          </w:tcPr>
          <w:p w14:paraId="626EC314">
            <w:pPr>
              <w:pStyle w:val="94"/>
              <w:rPr>
                <w:rFonts w:ascii="Arial" w:hAnsi="Arial"/>
                <w:color w:val="auto"/>
              </w:rPr>
            </w:pPr>
          </w:p>
        </w:tc>
        <w:tc>
          <w:tcPr>
            <w:tcW w:w="608" w:type="pct"/>
            <w:noWrap/>
            <w:vAlign w:val="center"/>
          </w:tcPr>
          <w:p w14:paraId="4E3EB31A">
            <w:pPr>
              <w:pStyle w:val="94"/>
              <w:rPr>
                <w:rFonts w:ascii="Arial" w:hAnsi="Arial"/>
                <w:color w:val="auto"/>
              </w:rPr>
            </w:pPr>
            <w:r>
              <w:rPr>
                <w:color w:val="auto"/>
              </w:rPr>
              <w:t>Ⅱ</w:t>
            </w:r>
            <w:r>
              <w:rPr>
                <w:rFonts w:ascii="Arial" w:hAnsi="Arial"/>
                <w:color w:val="auto"/>
              </w:rPr>
              <w:t>.木本类型</w:t>
            </w:r>
          </w:p>
        </w:tc>
        <w:tc>
          <w:tcPr>
            <w:tcW w:w="669" w:type="pct"/>
            <w:noWrap/>
            <w:vAlign w:val="center"/>
          </w:tcPr>
          <w:p w14:paraId="5669C84E">
            <w:pPr>
              <w:pStyle w:val="94"/>
              <w:rPr>
                <w:rFonts w:ascii="Arial" w:hAnsi="Arial"/>
                <w:color w:val="auto"/>
              </w:rPr>
            </w:pPr>
            <w:r>
              <w:rPr>
                <w:rFonts w:ascii="Arial" w:hAnsi="Arial"/>
                <w:color w:val="auto"/>
              </w:rPr>
              <w:t>二、果园型</w:t>
            </w:r>
          </w:p>
        </w:tc>
        <w:tc>
          <w:tcPr>
            <w:tcW w:w="906" w:type="pct"/>
            <w:noWrap/>
            <w:vAlign w:val="center"/>
          </w:tcPr>
          <w:p w14:paraId="33364CB3">
            <w:pPr>
              <w:pStyle w:val="94"/>
              <w:rPr>
                <w:rFonts w:ascii="Arial" w:hAnsi="Arial"/>
                <w:color w:val="auto"/>
              </w:rPr>
            </w:pPr>
            <w:r>
              <w:rPr>
                <w:rFonts w:ascii="Arial" w:hAnsi="Arial"/>
                <w:color w:val="auto"/>
              </w:rPr>
              <w:t>（一）落叶果树亚型</w:t>
            </w:r>
          </w:p>
        </w:tc>
        <w:tc>
          <w:tcPr>
            <w:tcW w:w="1475" w:type="pct"/>
            <w:noWrap/>
            <w:vAlign w:val="center"/>
          </w:tcPr>
          <w:p w14:paraId="45294C3D">
            <w:pPr>
              <w:pStyle w:val="94"/>
              <w:rPr>
                <w:rFonts w:ascii="Arial" w:hAnsi="Arial"/>
                <w:color w:val="auto"/>
              </w:rPr>
            </w:pPr>
            <w:r>
              <w:rPr>
                <w:rFonts w:ascii="Arial" w:hAnsi="Arial"/>
                <w:color w:val="auto"/>
              </w:rPr>
              <w:t>核桃园</w:t>
            </w:r>
          </w:p>
        </w:tc>
        <w:tc>
          <w:tcPr>
            <w:tcW w:w="497" w:type="pct"/>
            <w:noWrap/>
            <w:vAlign w:val="center"/>
          </w:tcPr>
          <w:p w14:paraId="5C5E9880">
            <w:pPr>
              <w:pStyle w:val="94"/>
              <w:rPr>
                <w:color w:val="auto"/>
              </w:rPr>
            </w:pPr>
            <w:r>
              <w:rPr>
                <w:color w:val="auto"/>
              </w:rPr>
              <w:t xml:space="preserve">0.07 </w:t>
            </w:r>
          </w:p>
        </w:tc>
        <w:tc>
          <w:tcPr>
            <w:tcW w:w="497" w:type="pct"/>
            <w:noWrap/>
            <w:vAlign w:val="center"/>
          </w:tcPr>
          <w:p w14:paraId="340D4642">
            <w:pPr>
              <w:pStyle w:val="94"/>
              <w:rPr>
                <w:color w:val="auto"/>
              </w:rPr>
            </w:pPr>
            <w:r>
              <w:rPr>
                <w:color w:val="auto"/>
              </w:rPr>
              <w:t xml:space="preserve">6.07 </w:t>
            </w:r>
          </w:p>
        </w:tc>
      </w:tr>
      <w:tr w14:paraId="6B9B80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48" w:type="pct"/>
            <w:vMerge w:val="continue"/>
            <w:vAlign w:val="center"/>
          </w:tcPr>
          <w:p w14:paraId="385FF98C">
            <w:pPr>
              <w:pStyle w:val="94"/>
              <w:rPr>
                <w:rFonts w:ascii="Arial" w:hAnsi="Arial"/>
                <w:color w:val="auto"/>
              </w:rPr>
            </w:pPr>
          </w:p>
        </w:tc>
        <w:tc>
          <w:tcPr>
            <w:tcW w:w="608" w:type="pct"/>
            <w:noWrap/>
            <w:vAlign w:val="center"/>
          </w:tcPr>
          <w:p w14:paraId="54F53551">
            <w:pPr>
              <w:pStyle w:val="94"/>
              <w:rPr>
                <w:rFonts w:ascii="Arial" w:hAnsi="Arial"/>
                <w:color w:val="auto"/>
              </w:rPr>
            </w:pPr>
            <w:r>
              <w:rPr>
                <w:rFonts w:ascii="Arial" w:hAnsi="Arial"/>
                <w:color w:val="auto"/>
              </w:rPr>
              <w:t>/</w:t>
            </w:r>
          </w:p>
        </w:tc>
        <w:tc>
          <w:tcPr>
            <w:tcW w:w="669" w:type="pct"/>
            <w:noWrap/>
            <w:vAlign w:val="center"/>
          </w:tcPr>
          <w:p w14:paraId="5E0B4CE0">
            <w:pPr>
              <w:pStyle w:val="94"/>
              <w:rPr>
                <w:rFonts w:ascii="Arial" w:hAnsi="Arial"/>
                <w:color w:val="auto"/>
              </w:rPr>
            </w:pPr>
            <w:r>
              <w:rPr>
                <w:rFonts w:ascii="Arial" w:hAnsi="Arial"/>
                <w:color w:val="auto"/>
              </w:rPr>
              <w:t>/</w:t>
            </w:r>
          </w:p>
        </w:tc>
        <w:tc>
          <w:tcPr>
            <w:tcW w:w="906" w:type="pct"/>
            <w:noWrap/>
            <w:vAlign w:val="center"/>
          </w:tcPr>
          <w:p w14:paraId="72910F27">
            <w:pPr>
              <w:pStyle w:val="94"/>
              <w:rPr>
                <w:rFonts w:ascii="Arial" w:hAnsi="Arial"/>
                <w:color w:val="auto"/>
              </w:rPr>
            </w:pPr>
            <w:r>
              <w:rPr>
                <w:rFonts w:ascii="Arial" w:hAnsi="Arial"/>
                <w:color w:val="auto"/>
              </w:rPr>
              <w:t>/</w:t>
            </w:r>
          </w:p>
        </w:tc>
        <w:tc>
          <w:tcPr>
            <w:tcW w:w="1475" w:type="pct"/>
            <w:noWrap/>
            <w:vAlign w:val="center"/>
          </w:tcPr>
          <w:p w14:paraId="41FF4CF2">
            <w:pPr>
              <w:pStyle w:val="94"/>
              <w:rPr>
                <w:rFonts w:ascii="Arial" w:hAnsi="Arial"/>
                <w:color w:val="auto"/>
              </w:rPr>
            </w:pPr>
            <w:r>
              <w:rPr>
                <w:rFonts w:ascii="Arial" w:hAnsi="Arial"/>
                <w:color w:val="auto"/>
              </w:rPr>
              <w:t>无植被区</w:t>
            </w:r>
          </w:p>
        </w:tc>
        <w:tc>
          <w:tcPr>
            <w:tcW w:w="497" w:type="pct"/>
            <w:noWrap/>
            <w:vAlign w:val="center"/>
          </w:tcPr>
          <w:p w14:paraId="7A37AA77">
            <w:pPr>
              <w:pStyle w:val="94"/>
              <w:rPr>
                <w:color w:val="auto"/>
              </w:rPr>
            </w:pPr>
            <w:r>
              <w:rPr>
                <w:color w:val="auto"/>
              </w:rPr>
              <w:t xml:space="preserve">0.14 </w:t>
            </w:r>
          </w:p>
        </w:tc>
        <w:tc>
          <w:tcPr>
            <w:tcW w:w="497" w:type="pct"/>
            <w:noWrap/>
            <w:vAlign w:val="center"/>
          </w:tcPr>
          <w:p w14:paraId="44938D2B">
            <w:pPr>
              <w:pStyle w:val="94"/>
              <w:rPr>
                <w:color w:val="auto"/>
              </w:rPr>
            </w:pPr>
            <w:r>
              <w:rPr>
                <w:color w:val="auto"/>
              </w:rPr>
              <w:t xml:space="preserve">11.51 </w:t>
            </w:r>
          </w:p>
        </w:tc>
      </w:tr>
      <w:tr w14:paraId="0E610C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48" w:type="pct"/>
            <w:vMerge w:val="continue"/>
            <w:vAlign w:val="center"/>
          </w:tcPr>
          <w:p w14:paraId="47AB7ABF">
            <w:pPr>
              <w:pStyle w:val="94"/>
              <w:rPr>
                <w:rFonts w:ascii="Arial" w:hAnsi="Arial"/>
                <w:color w:val="auto"/>
              </w:rPr>
            </w:pPr>
          </w:p>
        </w:tc>
        <w:tc>
          <w:tcPr>
            <w:tcW w:w="608" w:type="pct"/>
            <w:noWrap/>
            <w:vAlign w:val="center"/>
          </w:tcPr>
          <w:p w14:paraId="1890D0EC">
            <w:pPr>
              <w:pStyle w:val="94"/>
              <w:rPr>
                <w:rFonts w:ascii="Arial" w:hAnsi="Arial"/>
                <w:color w:val="auto"/>
              </w:rPr>
            </w:pPr>
            <w:r>
              <w:rPr>
                <w:color w:val="auto"/>
              </w:rPr>
              <w:t>Ⅲ</w:t>
            </w:r>
            <w:r>
              <w:rPr>
                <w:rFonts w:ascii="Arial" w:hAnsi="Arial"/>
                <w:color w:val="auto"/>
              </w:rPr>
              <w:t>.落叶阔叶林</w:t>
            </w:r>
          </w:p>
        </w:tc>
        <w:tc>
          <w:tcPr>
            <w:tcW w:w="669" w:type="pct"/>
            <w:noWrap/>
            <w:vAlign w:val="center"/>
          </w:tcPr>
          <w:p w14:paraId="06ABB7EB">
            <w:pPr>
              <w:pStyle w:val="94"/>
              <w:rPr>
                <w:rFonts w:ascii="Arial" w:hAnsi="Arial"/>
                <w:color w:val="auto"/>
              </w:rPr>
            </w:pPr>
            <w:r>
              <w:rPr>
                <w:rFonts w:ascii="Arial" w:hAnsi="Arial"/>
                <w:color w:val="auto"/>
              </w:rPr>
              <w:t>一、落叶阔叶林</w:t>
            </w:r>
          </w:p>
        </w:tc>
        <w:tc>
          <w:tcPr>
            <w:tcW w:w="906" w:type="pct"/>
            <w:noWrap/>
            <w:vAlign w:val="center"/>
          </w:tcPr>
          <w:p w14:paraId="04BB5F1B">
            <w:pPr>
              <w:pStyle w:val="94"/>
              <w:rPr>
                <w:rFonts w:ascii="Arial" w:hAnsi="Arial"/>
                <w:color w:val="auto"/>
              </w:rPr>
            </w:pPr>
            <w:r>
              <w:rPr>
                <w:rFonts w:ascii="Arial" w:hAnsi="Arial"/>
                <w:color w:val="auto"/>
              </w:rPr>
              <w:t>（三）低山丘陵人工林</w:t>
            </w:r>
          </w:p>
        </w:tc>
        <w:tc>
          <w:tcPr>
            <w:tcW w:w="1475" w:type="pct"/>
            <w:noWrap/>
            <w:vAlign w:val="center"/>
          </w:tcPr>
          <w:p w14:paraId="233C5325">
            <w:pPr>
              <w:pStyle w:val="94"/>
              <w:rPr>
                <w:rFonts w:ascii="Arial" w:hAnsi="Arial"/>
                <w:color w:val="auto"/>
              </w:rPr>
            </w:pPr>
            <w:r>
              <w:rPr>
                <w:rFonts w:ascii="Arial" w:hAnsi="Arial"/>
                <w:color w:val="auto"/>
              </w:rPr>
              <w:t>小叶杨林</w:t>
            </w:r>
          </w:p>
        </w:tc>
        <w:tc>
          <w:tcPr>
            <w:tcW w:w="497" w:type="pct"/>
            <w:noWrap/>
            <w:vAlign w:val="center"/>
          </w:tcPr>
          <w:p w14:paraId="5C4E7F17">
            <w:pPr>
              <w:pStyle w:val="94"/>
              <w:rPr>
                <w:color w:val="auto"/>
              </w:rPr>
            </w:pPr>
            <w:r>
              <w:rPr>
                <w:color w:val="auto"/>
              </w:rPr>
              <w:t xml:space="preserve">0.24 </w:t>
            </w:r>
          </w:p>
        </w:tc>
        <w:tc>
          <w:tcPr>
            <w:tcW w:w="497" w:type="pct"/>
            <w:noWrap/>
            <w:vAlign w:val="center"/>
          </w:tcPr>
          <w:p w14:paraId="4A6E8E97">
            <w:pPr>
              <w:pStyle w:val="94"/>
              <w:rPr>
                <w:color w:val="auto"/>
              </w:rPr>
            </w:pPr>
            <w:r>
              <w:rPr>
                <w:color w:val="auto"/>
              </w:rPr>
              <w:t xml:space="preserve">19.69 </w:t>
            </w:r>
          </w:p>
        </w:tc>
      </w:tr>
      <w:tr w14:paraId="24B7AA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48" w:type="pct"/>
            <w:vMerge w:val="continue"/>
            <w:vAlign w:val="center"/>
          </w:tcPr>
          <w:p w14:paraId="3C2F1552">
            <w:pPr>
              <w:pStyle w:val="94"/>
              <w:rPr>
                <w:rFonts w:ascii="Arial" w:hAnsi="Arial"/>
                <w:color w:val="auto"/>
              </w:rPr>
            </w:pPr>
          </w:p>
        </w:tc>
        <w:tc>
          <w:tcPr>
            <w:tcW w:w="608" w:type="pct"/>
            <w:noWrap/>
            <w:vAlign w:val="center"/>
          </w:tcPr>
          <w:p w14:paraId="7551BC88">
            <w:pPr>
              <w:pStyle w:val="94"/>
              <w:rPr>
                <w:rFonts w:ascii="Arial" w:hAnsi="Arial"/>
                <w:color w:val="auto"/>
              </w:rPr>
            </w:pPr>
            <w:r>
              <w:rPr>
                <w:color w:val="auto"/>
              </w:rPr>
              <w:t>Ⅰ</w:t>
            </w:r>
            <w:r>
              <w:rPr>
                <w:rFonts w:ascii="Arial" w:hAnsi="Arial"/>
                <w:color w:val="auto"/>
              </w:rPr>
              <w:t>.草本类型</w:t>
            </w:r>
          </w:p>
        </w:tc>
        <w:tc>
          <w:tcPr>
            <w:tcW w:w="669" w:type="pct"/>
            <w:noWrap/>
            <w:vAlign w:val="center"/>
          </w:tcPr>
          <w:p w14:paraId="5BBAB420">
            <w:pPr>
              <w:pStyle w:val="94"/>
              <w:rPr>
                <w:rFonts w:ascii="Arial" w:hAnsi="Arial"/>
                <w:color w:val="auto"/>
              </w:rPr>
            </w:pPr>
            <w:r>
              <w:rPr>
                <w:rFonts w:ascii="Arial" w:hAnsi="Arial"/>
                <w:color w:val="auto"/>
              </w:rPr>
              <w:t>一、大田农作物型</w:t>
            </w:r>
          </w:p>
        </w:tc>
        <w:tc>
          <w:tcPr>
            <w:tcW w:w="906" w:type="pct"/>
            <w:noWrap/>
            <w:vAlign w:val="center"/>
          </w:tcPr>
          <w:p w14:paraId="249D203F">
            <w:pPr>
              <w:pStyle w:val="94"/>
              <w:rPr>
                <w:rFonts w:ascii="Arial" w:hAnsi="Arial"/>
                <w:color w:val="auto"/>
              </w:rPr>
            </w:pPr>
            <w:r>
              <w:rPr>
                <w:rFonts w:ascii="Arial" w:hAnsi="Arial"/>
                <w:color w:val="auto"/>
              </w:rPr>
              <w:t>（一）旱地作物亚型</w:t>
            </w:r>
          </w:p>
        </w:tc>
        <w:tc>
          <w:tcPr>
            <w:tcW w:w="1475" w:type="pct"/>
            <w:noWrap/>
            <w:vAlign w:val="center"/>
          </w:tcPr>
          <w:p w14:paraId="3AEAC496">
            <w:pPr>
              <w:pStyle w:val="94"/>
              <w:rPr>
                <w:rFonts w:ascii="Arial" w:hAnsi="Arial"/>
                <w:color w:val="auto"/>
              </w:rPr>
            </w:pPr>
            <w:r>
              <w:rPr>
                <w:rFonts w:ascii="Arial" w:hAnsi="Arial"/>
                <w:color w:val="auto"/>
              </w:rPr>
              <w:t>以玉米高粱、薯类、豆类为主的作物组合</w:t>
            </w:r>
          </w:p>
        </w:tc>
        <w:tc>
          <w:tcPr>
            <w:tcW w:w="497" w:type="pct"/>
            <w:noWrap/>
            <w:vAlign w:val="center"/>
          </w:tcPr>
          <w:p w14:paraId="5B849511">
            <w:pPr>
              <w:pStyle w:val="94"/>
              <w:rPr>
                <w:color w:val="auto"/>
              </w:rPr>
            </w:pPr>
            <w:r>
              <w:rPr>
                <w:color w:val="auto"/>
              </w:rPr>
              <w:t xml:space="preserve">0.24 </w:t>
            </w:r>
          </w:p>
        </w:tc>
        <w:tc>
          <w:tcPr>
            <w:tcW w:w="497" w:type="pct"/>
            <w:noWrap/>
            <w:vAlign w:val="center"/>
          </w:tcPr>
          <w:p w14:paraId="0857A092">
            <w:pPr>
              <w:pStyle w:val="94"/>
              <w:rPr>
                <w:color w:val="auto"/>
              </w:rPr>
            </w:pPr>
            <w:r>
              <w:rPr>
                <w:color w:val="auto"/>
              </w:rPr>
              <w:t xml:space="preserve">19.30 </w:t>
            </w:r>
          </w:p>
        </w:tc>
      </w:tr>
      <w:tr w14:paraId="70F8FF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48" w:type="pct"/>
            <w:vMerge w:val="continue"/>
            <w:vAlign w:val="center"/>
          </w:tcPr>
          <w:p w14:paraId="35028FBB">
            <w:pPr>
              <w:pStyle w:val="94"/>
              <w:rPr>
                <w:rFonts w:ascii="Arial" w:hAnsi="Arial"/>
                <w:color w:val="auto"/>
              </w:rPr>
            </w:pPr>
          </w:p>
        </w:tc>
        <w:tc>
          <w:tcPr>
            <w:tcW w:w="608" w:type="pct"/>
            <w:noWrap/>
            <w:vAlign w:val="center"/>
          </w:tcPr>
          <w:p w14:paraId="3E50D3D2">
            <w:pPr>
              <w:pStyle w:val="94"/>
              <w:rPr>
                <w:rFonts w:ascii="Arial" w:hAnsi="Arial"/>
                <w:color w:val="auto"/>
              </w:rPr>
            </w:pPr>
            <w:r>
              <w:rPr>
                <w:color w:val="auto"/>
              </w:rPr>
              <w:t>Ⅱ</w:t>
            </w:r>
            <w:r>
              <w:rPr>
                <w:rFonts w:ascii="Arial" w:hAnsi="Arial"/>
                <w:color w:val="auto"/>
              </w:rPr>
              <w:t>.木本类型</w:t>
            </w:r>
          </w:p>
        </w:tc>
        <w:tc>
          <w:tcPr>
            <w:tcW w:w="669" w:type="pct"/>
            <w:noWrap/>
            <w:vAlign w:val="center"/>
          </w:tcPr>
          <w:p w14:paraId="3DDB05CB">
            <w:pPr>
              <w:pStyle w:val="94"/>
              <w:rPr>
                <w:rFonts w:ascii="Arial" w:hAnsi="Arial"/>
                <w:color w:val="auto"/>
              </w:rPr>
            </w:pPr>
            <w:r>
              <w:rPr>
                <w:rFonts w:ascii="Arial" w:hAnsi="Arial"/>
                <w:color w:val="auto"/>
              </w:rPr>
              <w:t>二、果园型</w:t>
            </w:r>
          </w:p>
        </w:tc>
        <w:tc>
          <w:tcPr>
            <w:tcW w:w="906" w:type="pct"/>
            <w:noWrap/>
            <w:vAlign w:val="center"/>
          </w:tcPr>
          <w:p w14:paraId="167A02CF">
            <w:pPr>
              <w:pStyle w:val="94"/>
              <w:rPr>
                <w:rFonts w:ascii="Arial" w:hAnsi="Arial"/>
                <w:color w:val="auto"/>
              </w:rPr>
            </w:pPr>
            <w:r>
              <w:rPr>
                <w:rFonts w:ascii="Arial" w:hAnsi="Arial"/>
                <w:color w:val="auto"/>
              </w:rPr>
              <w:t>（一）落叶果树亚型</w:t>
            </w:r>
          </w:p>
        </w:tc>
        <w:tc>
          <w:tcPr>
            <w:tcW w:w="1475" w:type="pct"/>
            <w:noWrap/>
            <w:vAlign w:val="center"/>
          </w:tcPr>
          <w:p w14:paraId="61CA6C4E">
            <w:pPr>
              <w:pStyle w:val="94"/>
              <w:rPr>
                <w:rFonts w:ascii="Arial" w:hAnsi="Arial"/>
                <w:color w:val="auto"/>
              </w:rPr>
            </w:pPr>
            <w:r>
              <w:rPr>
                <w:rFonts w:ascii="Arial" w:hAnsi="Arial"/>
                <w:color w:val="auto"/>
              </w:rPr>
              <w:t>枣树园</w:t>
            </w:r>
          </w:p>
        </w:tc>
        <w:tc>
          <w:tcPr>
            <w:tcW w:w="497" w:type="pct"/>
            <w:noWrap/>
            <w:vAlign w:val="center"/>
          </w:tcPr>
          <w:p w14:paraId="2DA9D383">
            <w:pPr>
              <w:pStyle w:val="94"/>
              <w:rPr>
                <w:color w:val="auto"/>
              </w:rPr>
            </w:pPr>
            <w:r>
              <w:rPr>
                <w:color w:val="auto"/>
              </w:rPr>
              <w:t xml:space="preserve">0.03 </w:t>
            </w:r>
          </w:p>
        </w:tc>
        <w:tc>
          <w:tcPr>
            <w:tcW w:w="497" w:type="pct"/>
            <w:noWrap/>
            <w:vAlign w:val="center"/>
          </w:tcPr>
          <w:p w14:paraId="672426FF">
            <w:pPr>
              <w:pStyle w:val="94"/>
              <w:rPr>
                <w:color w:val="auto"/>
              </w:rPr>
            </w:pPr>
            <w:r>
              <w:rPr>
                <w:color w:val="auto"/>
              </w:rPr>
              <w:t xml:space="preserve">2.78 </w:t>
            </w:r>
          </w:p>
        </w:tc>
      </w:tr>
      <w:tr w14:paraId="54C761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006" w:type="pct"/>
            <w:gridSpan w:val="5"/>
            <w:noWrap/>
            <w:vAlign w:val="center"/>
          </w:tcPr>
          <w:p w14:paraId="1B780693">
            <w:pPr>
              <w:pStyle w:val="94"/>
              <w:rPr>
                <w:color w:val="auto"/>
              </w:rPr>
            </w:pPr>
            <w:r>
              <w:rPr>
                <w:rFonts w:hint="eastAsia"/>
                <w:color w:val="auto"/>
              </w:rPr>
              <w:t>小计</w:t>
            </w:r>
          </w:p>
        </w:tc>
        <w:tc>
          <w:tcPr>
            <w:tcW w:w="497" w:type="pct"/>
            <w:noWrap/>
            <w:vAlign w:val="center"/>
          </w:tcPr>
          <w:p w14:paraId="66A0F444">
            <w:pPr>
              <w:pStyle w:val="94"/>
              <w:rPr>
                <w:color w:val="auto"/>
              </w:rPr>
            </w:pPr>
            <w:r>
              <w:rPr>
                <w:color w:val="auto"/>
              </w:rPr>
              <w:t>1.22</w:t>
            </w:r>
          </w:p>
        </w:tc>
        <w:tc>
          <w:tcPr>
            <w:tcW w:w="497" w:type="pct"/>
            <w:noWrap/>
            <w:vAlign w:val="center"/>
          </w:tcPr>
          <w:p w14:paraId="47C7BDC1">
            <w:pPr>
              <w:pStyle w:val="94"/>
              <w:rPr>
                <w:color w:val="auto"/>
              </w:rPr>
            </w:pPr>
            <w:r>
              <w:rPr>
                <w:color w:val="auto"/>
              </w:rPr>
              <w:t xml:space="preserve">100.00 </w:t>
            </w:r>
          </w:p>
        </w:tc>
      </w:tr>
      <w:tr w14:paraId="4BF7BB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006" w:type="pct"/>
            <w:gridSpan w:val="5"/>
            <w:noWrap/>
            <w:vAlign w:val="center"/>
          </w:tcPr>
          <w:p w14:paraId="00042ED2">
            <w:pPr>
              <w:pStyle w:val="94"/>
              <w:rPr>
                <w:color w:val="auto"/>
              </w:rPr>
            </w:pPr>
            <w:r>
              <w:rPr>
                <w:rFonts w:hint="eastAsia"/>
                <w:color w:val="auto"/>
              </w:rPr>
              <w:t>合计</w:t>
            </w:r>
          </w:p>
        </w:tc>
        <w:tc>
          <w:tcPr>
            <w:tcW w:w="497" w:type="pct"/>
            <w:noWrap/>
            <w:vAlign w:val="center"/>
          </w:tcPr>
          <w:p w14:paraId="3B84D57A">
            <w:pPr>
              <w:pStyle w:val="94"/>
              <w:rPr>
                <w:color w:val="auto"/>
              </w:rPr>
            </w:pPr>
            <w:r>
              <w:rPr>
                <w:color w:val="auto"/>
              </w:rPr>
              <w:t>22.91</w:t>
            </w:r>
          </w:p>
        </w:tc>
        <w:tc>
          <w:tcPr>
            <w:tcW w:w="497" w:type="pct"/>
            <w:noWrap/>
            <w:vAlign w:val="center"/>
          </w:tcPr>
          <w:p w14:paraId="71FE8315">
            <w:pPr>
              <w:pStyle w:val="94"/>
              <w:rPr>
                <w:color w:val="auto"/>
              </w:rPr>
            </w:pPr>
            <w:r>
              <w:rPr>
                <w:color w:val="auto"/>
              </w:rPr>
              <w:t xml:space="preserve">100.00 </w:t>
            </w:r>
          </w:p>
        </w:tc>
      </w:tr>
    </w:tbl>
    <w:p w14:paraId="79E32B65">
      <w:pPr>
        <w:pStyle w:val="96"/>
        <w:ind w:firstLine="480"/>
      </w:pPr>
      <w:r>
        <w:rPr>
          <w:rFonts w:hint="eastAsia"/>
        </w:rPr>
        <w:t>评价区内自然植被面积最大的为蒿草草丛面积</w:t>
      </w:r>
      <w:r>
        <w:t>211.31</w:t>
      </w:r>
      <w:r>
        <w:rPr>
          <w:rFonts w:hint="eastAsia"/>
        </w:rPr>
        <w:t>ha，占评价区面积的</w:t>
      </w:r>
      <w:r>
        <w:t>40.21</w:t>
      </w:r>
      <w:r>
        <w:rPr>
          <w:rFonts w:hint="eastAsia"/>
        </w:rPr>
        <w:t>%；井场占地范围内自然植被面积最大的为蒿草草丛，面积</w:t>
      </w:r>
      <w:r>
        <w:t>1.99</w:t>
      </w:r>
      <w:r>
        <w:rPr>
          <w:rFonts w:hint="eastAsia"/>
        </w:rPr>
        <w:t>ha，占比为</w:t>
      </w:r>
      <w:r>
        <w:t>9.17</w:t>
      </w:r>
      <w:r>
        <w:rPr>
          <w:rFonts w:hint="eastAsia"/>
        </w:rPr>
        <w:t>%，井场道路占地范围内自然植被面积最大的为蒿类草丛面积</w:t>
      </w:r>
      <w:r>
        <w:t>0.5</w:t>
      </w:r>
      <w:r>
        <w:rPr>
          <w:rFonts w:hint="eastAsia"/>
        </w:rPr>
        <w:t>ha，占比为</w:t>
      </w:r>
      <w:r>
        <w:t>40.66</w:t>
      </w:r>
      <w:r>
        <w:rPr>
          <w:rFonts w:hint="eastAsia"/>
        </w:rPr>
        <w:t>%。</w:t>
      </w:r>
    </w:p>
    <w:p w14:paraId="5DD42B95">
      <w:pPr>
        <w:pStyle w:val="3"/>
        <w:sectPr>
          <w:pgSz w:w="16838" w:h="11906" w:orient="landscape"/>
          <w:pgMar w:top="720" w:right="720" w:bottom="720" w:left="720" w:header="851" w:footer="1077" w:gutter="0"/>
          <w:cols w:space="425" w:num="1"/>
          <w:docGrid w:linePitch="312" w:charSpace="0"/>
        </w:sectPr>
      </w:pPr>
    </w:p>
    <w:p w14:paraId="2194D43F">
      <w:pPr>
        <w:pStyle w:val="5"/>
      </w:pPr>
      <w:r>
        <w:rPr>
          <w:rFonts w:hint="eastAsia"/>
        </w:rPr>
        <w:t>样方调查</w:t>
      </w:r>
    </w:p>
    <w:p w14:paraId="659F3E77">
      <w:pPr>
        <w:pStyle w:val="96"/>
        <w:ind w:firstLine="480"/>
      </w:pPr>
      <w:r>
        <w:t>在搜集资料的基础上，为更好地了解项目所在地的植被情况，于2023年9月开展了植物样方调查工作。</w:t>
      </w:r>
      <w:r>
        <w:rPr>
          <w:rFonts w:hint="eastAsia"/>
        </w:rPr>
        <w:t>经调查评价主要有柠条锦鸡儿灌丛、蒿类草丛、小叶杨林。</w:t>
      </w:r>
      <w:r>
        <w:t>本次样方调查选择</w:t>
      </w:r>
      <w:r>
        <w:rPr>
          <w:rFonts w:hint="eastAsia"/>
        </w:rPr>
        <w:t>每个群落</w:t>
      </w:r>
      <w:r>
        <w:t>分别设置3个样方，样方布点</w:t>
      </w:r>
      <w:r>
        <w:rPr>
          <w:rFonts w:hint="eastAsia"/>
        </w:rPr>
        <w:t>见附图</w:t>
      </w:r>
      <w:r>
        <w:t>。</w:t>
      </w:r>
    </w:p>
    <w:p w14:paraId="292C434F">
      <w:pPr>
        <w:pStyle w:val="19"/>
        <w:keepNext/>
      </w:pPr>
      <w:r>
        <w:t xml:space="preserve">表 </w:t>
      </w:r>
      <w:r>
        <w:fldChar w:fldCharType="begin"/>
      </w:r>
      <w:r>
        <w:instrText xml:space="preserve"> SEQ 表 \* ARABIC </w:instrText>
      </w:r>
      <w:r>
        <w:fldChar w:fldCharType="separate"/>
      </w:r>
      <w:r>
        <w:t>56</w:t>
      </w:r>
      <w:r>
        <w:fldChar w:fldCharType="end"/>
      </w:r>
      <w:r>
        <w:rPr>
          <w:rFonts w:hint="eastAsia"/>
        </w:rPr>
        <w:t>植物群落样方调查及代表性</w:t>
      </w:r>
    </w:p>
    <w:tbl>
      <w:tblPr>
        <w:tblStyle w:val="73"/>
        <w:tblW w:w="1043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85"/>
        <w:gridCol w:w="1685"/>
        <w:gridCol w:w="2110"/>
        <w:gridCol w:w="992"/>
        <w:gridCol w:w="1701"/>
        <w:gridCol w:w="3363"/>
      </w:tblGrid>
      <w:tr w14:paraId="7F936D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585" w:type="dxa"/>
            <w:noWrap/>
            <w:vAlign w:val="center"/>
          </w:tcPr>
          <w:p w14:paraId="221EECA4">
            <w:pPr>
              <w:pStyle w:val="94"/>
              <w:rPr>
                <w:color w:val="auto"/>
              </w:rPr>
            </w:pPr>
            <w:r>
              <w:rPr>
                <w:color w:val="auto"/>
              </w:rPr>
              <w:t>编号</w:t>
            </w:r>
          </w:p>
        </w:tc>
        <w:tc>
          <w:tcPr>
            <w:tcW w:w="1685" w:type="dxa"/>
            <w:noWrap/>
            <w:vAlign w:val="center"/>
          </w:tcPr>
          <w:p w14:paraId="1769193C">
            <w:pPr>
              <w:pStyle w:val="94"/>
              <w:rPr>
                <w:color w:val="auto"/>
              </w:rPr>
            </w:pPr>
            <w:r>
              <w:rPr>
                <w:rFonts w:hint="eastAsia"/>
                <w:color w:val="auto"/>
              </w:rPr>
              <w:t>群系</w:t>
            </w:r>
          </w:p>
        </w:tc>
        <w:tc>
          <w:tcPr>
            <w:tcW w:w="2110" w:type="dxa"/>
            <w:noWrap/>
            <w:vAlign w:val="center"/>
          </w:tcPr>
          <w:p w14:paraId="35F9DB7A">
            <w:pPr>
              <w:pStyle w:val="94"/>
              <w:rPr>
                <w:color w:val="auto"/>
              </w:rPr>
            </w:pPr>
            <w:r>
              <w:rPr>
                <w:color w:val="auto"/>
              </w:rPr>
              <w:t>坐标</w:t>
            </w:r>
          </w:p>
        </w:tc>
        <w:tc>
          <w:tcPr>
            <w:tcW w:w="992" w:type="dxa"/>
            <w:noWrap/>
            <w:vAlign w:val="center"/>
          </w:tcPr>
          <w:p w14:paraId="4D65B880">
            <w:pPr>
              <w:pStyle w:val="94"/>
              <w:rPr>
                <w:color w:val="auto"/>
              </w:rPr>
            </w:pPr>
            <w:r>
              <w:rPr>
                <w:color w:val="auto"/>
              </w:rPr>
              <w:t>高程</w:t>
            </w:r>
          </w:p>
        </w:tc>
        <w:tc>
          <w:tcPr>
            <w:tcW w:w="1701" w:type="dxa"/>
            <w:noWrap/>
            <w:vAlign w:val="center"/>
          </w:tcPr>
          <w:p w14:paraId="5263F6E4">
            <w:pPr>
              <w:pStyle w:val="94"/>
              <w:rPr>
                <w:color w:val="auto"/>
              </w:rPr>
            </w:pPr>
            <w:r>
              <w:rPr>
                <w:rFonts w:hint="eastAsia"/>
                <w:color w:val="auto"/>
              </w:rPr>
              <w:t>位置</w:t>
            </w:r>
          </w:p>
        </w:tc>
        <w:tc>
          <w:tcPr>
            <w:tcW w:w="3363" w:type="dxa"/>
            <w:noWrap/>
            <w:vAlign w:val="center"/>
          </w:tcPr>
          <w:p w14:paraId="60037459">
            <w:pPr>
              <w:pStyle w:val="94"/>
              <w:rPr>
                <w:color w:val="auto"/>
              </w:rPr>
            </w:pPr>
            <w:r>
              <w:rPr>
                <w:rFonts w:hint="eastAsia"/>
                <w:color w:val="auto"/>
              </w:rPr>
              <w:t>代表性</w:t>
            </w:r>
          </w:p>
        </w:tc>
      </w:tr>
      <w:tr w14:paraId="6BE935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585" w:type="dxa"/>
            <w:noWrap/>
            <w:vAlign w:val="center"/>
          </w:tcPr>
          <w:p w14:paraId="55D3E255">
            <w:pPr>
              <w:pStyle w:val="94"/>
              <w:rPr>
                <w:color w:val="auto"/>
              </w:rPr>
            </w:pPr>
            <w:r>
              <w:rPr>
                <w:rFonts w:ascii="Arial" w:hAnsi="Arial" w:cs="Arial"/>
                <w:color w:val="auto"/>
                <w:sz w:val="20"/>
                <w:szCs w:val="20"/>
              </w:rPr>
              <w:t>1#</w:t>
            </w:r>
          </w:p>
        </w:tc>
        <w:tc>
          <w:tcPr>
            <w:tcW w:w="1685" w:type="dxa"/>
            <w:noWrap/>
            <w:vAlign w:val="center"/>
          </w:tcPr>
          <w:p w14:paraId="3C9EB0DE">
            <w:pPr>
              <w:pStyle w:val="94"/>
              <w:rPr>
                <w:color w:val="auto"/>
              </w:rPr>
            </w:pPr>
            <w:r>
              <w:rPr>
                <w:rFonts w:ascii="Arial" w:hAnsi="Arial" w:cs="Arial"/>
                <w:color w:val="auto"/>
                <w:sz w:val="20"/>
                <w:szCs w:val="20"/>
              </w:rPr>
              <w:t>蒿类草丛</w:t>
            </w:r>
          </w:p>
        </w:tc>
        <w:tc>
          <w:tcPr>
            <w:tcW w:w="2110" w:type="dxa"/>
            <w:noWrap/>
            <w:vAlign w:val="center"/>
          </w:tcPr>
          <w:p w14:paraId="2EF41442">
            <w:pPr>
              <w:pStyle w:val="94"/>
              <w:rPr>
                <w:color w:val="auto"/>
              </w:rPr>
            </w:pPr>
            <w:r>
              <w:rPr>
                <w:color w:val="auto"/>
              </w:rPr>
              <w:t>E110.86104°；N38.4358542°</w:t>
            </w:r>
          </w:p>
        </w:tc>
        <w:tc>
          <w:tcPr>
            <w:tcW w:w="992" w:type="dxa"/>
            <w:noWrap/>
            <w:vAlign w:val="center"/>
          </w:tcPr>
          <w:p w14:paraId="64B9F91F">
            <w:pPr>
              <w:pStyle w:val="94"/>
              <w:rPr>
                <w:color w:val="auto"/>
              </w:rPr>
            </w:pPr>
            <w:r>
              <w:rPr>
                <w:color w:val="auto"/>
              </w:rPr>
              <w:t>934m</w:t>
            </w:r>
          </w:p>
        </w:tc>
        <w:tc>
          <w:tcPr>
            <w:tcW w:w="1701" w:type="dxa"/>
            <w:noWrap/>
            <w:vAlign w:val="center"/>
          </w:tcPr>
          <w:p w14:paraId="4D970F99">
            <w:pPr>
              <w:pStyle w:val="94"/>
              <w:rPr>
                <w:color w:val="auto"/>
              </w:rPr>
            </w:pPr>
            <w:r>
              <w:rPr>
                <w:color w:val="auto"/>
              </w:rPr>
              <w:t>LXD12-8</w:t>
            </w:r>
            <w:r>
              <w:rPr>
                <w:rStyle w:val="92"/>
                <w:rFonts w:hint="default" w:cs="Arial"/>
                <w:b w:val="0"/>
                <w:bCs/>
                <w:color w:val="auto"/>
              </w:rPr>
              <w:t>井场</w:t>
            </w:r>
          </w:p>
        </w:tc>
        <w:tc>
          <w:tcPr>
            <w:tcW w:w="3363" w:type="dxa"/>
            <w:noWrap/>
            <w:vAlign w:val="center"/>
          </w:tcPr>
          <w:p w14:paraId="373E4BA8">
            <w:pPr>
              <w:pStyle w:val="94"/>
              <w:rPr>
                <w:b/>
                <w:color w:val="auto"/>
              </w:rPr>
            </w:pPr>
            <w:r>
              <w:rPr>
                <w:rFonts w:hint="eastAsia"/>
                <w:color w:val="auto"/>
              </w:rPr>
              <w:t>代表</w:t>
            </w:r>
            <w:r>
              <w:rPr>
                <w:rStyle w:val="98"/>
                <w:rFonts w:hint="default"/>
                <w:color w:val="auto"/>
              </w:rPr>
              <w:t>LXD12-8</w:t>
            </w:r>
            <w:r>
              <w:rPr>
                <w:rStyle w:val="92"/>
                <w:rFonts w:hint="default" w:cs="Arial"/>
                <w:b w:val="0"/>
                <w:bCs/>
                <w:color w:val="auto"/>
              </w:rPr>
              <w:t>井场占地范围内的植被</w:t>
            </w:r>
          </w:p>
        </w:tc>
      </w:tr>
      <w:tr w14:paraId="438232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585" w:type="dxa"/>
            <w:noWrap/>
            <w:vAlign w:val="center"/>
          </w:tcPr>
          <w:p w14:paraId="6CA94A85">
            <w:pPr>
              <w:pStyle w:val="94"/>
              <w:rPr>
                <w:color w:val="auto"/>
              </w:rPr>
            </w:pPr>
            <w:r>
              <w:rPr>
                <w:rFonts w:ascii="Arial" w:hAnsi="Arial" w:cs="Arial"/>
                <w:color w:val="auto"/>
                <w:sz w:val="20"/>
                <w:szCs w:val="20"/>
              </w:rPr>
              <w:t>2#</w:t>
            </w:r>
          </w:p>
        </w:tc>
        <w:tc>
          <w:tcPr>
            <w:tcW w:w="1685" w:type="dxa"/>
            <w:noWrap/>
            <w:vAlign w:val="center"/>
          </w:tcPr>
          <w:p w14:paraId="359CCE6C">
            <w:pPr>
              <w:pStyle w:val="94"/>
              <w:rPr>
                <w:color w:val="auto"/>
              </w:rPr>
            </w:pPr>
            <w:r>
              <w:rPr>
                <w:rFonts w:ascii="Arial" w:hAnsi="Arial" w:cs="Arial"/>
                <w:color w:val="auto"/>
                <w:sz w:val="20"/>
                <w:szCs w:val="20"/>
              </w:rPr>
              <w:t>蒿类草丛</w:t>
            </w:r>
          </w:p>
        </w:tc>
        <w:tc>
          <w:tcPr>
            <w:tcW w:w="2110" w:type="dxa"/>
            <w:noWrap/>
            <w:vAlign w:val="center"/>
          </w:tcPr>
          <w:p w14:paraId="5BA7D3AF">
            <w:pPr>
              <w:pStyle w:val="94"/>
              <w:rPr>
                <w:color w:val="auto"/>
              </w:rPr>
            </w:pPr>
            <w:r>
              <w:rPr>
                <w:color w:val="auto"/>
              </w:rPr>
              <w:t>E110.86868°；N38.4065272°</w:t>
            </w:r>
          </w:p>
        </w:tc>
        <w:tc>
          <w:tcPr>
            <w:tcW w:w="992" w:type="dxa"/>
            <w:noWrap/>
            <w:vAlign w:val="center"/>
          </w:tcPr>
          <w:p w14:paraId="5070C13B">
            <w:pPr>
              <w:pStyle w:val="94"/>
              <w:rPr>
                <w:color w:val="auto"/>
              </w:rPr>
            </w:pPr>
            <w:r>
              <w:rPr>
                <w:color w:val="auto"/>
              </w:rPr>
              <w:t>976m</w:t>
            </w:r>
          </w:p>
        </w:tc>
        <w:tc>
          <w:tcPr>
            <w:tcW w:w="1701" w:type="dxa"/>
            <w:noWrap/>
            <w:vAlign w:val="center"/>
          </w:tcPr>
          <w:p w14:paraId="10B1DA6A">
            <w:pPr>
              <w:pStyle w:val="94"/>
              <w:rPr>
                <w:color w:val="auto"/>
              </w:rPr>
            </w:pPr>
            <w:r>
              <w:rPr>
                <w:color w:val="auto"/>
              </w:rPr>
              <w:t>LXD8-18</w:t>
            </w:r>
            <w:r>
              <w:rPr>
                <w:rStyle w:val="92"/>
                <w:rFonts w:hint="default" w:cs="Arial"/>
                <w:b w:val="0"/>
                <w:bCs/>
                <w:color w:val="auto"/>
              </w:rPr>
              <w:t>井场</w:t>
            </w:r>
          </w:p>
        </w:tc>
        <w:tc>
          <w:tcPr>
            <w:tcW w:w="3363" w:type="dxa"/>
            <w:noWrap/>
            <w:vAlign w:val="center"/>
          </w:tcPr>
          <w:p w14:paraId="1214D027">
            <w:pPr>
              <w:pStyle w:val="94"/>
              <w:rPr>
                <w:b/>
                <w:color w:val="auto"/>
              </w:rPr>
            </w:pPr>
            <w:r>
              <w:rPr>
                <w:rFonts w:hint="eastAsia"/>
                <w:color w:val="auto"/>
              </w:rPr>
              <w:t>代表</w:t>
            </w:r>
            <w:r>
              <w:rPr>
                <w:rStyle w:val="98"/>
                <w:rFonts w:hint="default"/>
                <w:color w:val="auto"/>
              </w:rPr>
              <w:t>LXD8-18</w:t>
            </w:r>
            <w:r>
              <w:rPr>
                <w:rStyle w:val="92"/>
                <w:rFonts w:hint="default" w:cs="Arial"/>
                <w:b w:val="0"/>
                <w:bCs/>
                <w:color w:val="auto"/>
              </w:rPr>
              <w:t>井场占地范围内的植被</w:t>
            </w:r>
          </w:p>
        </w:tc>
      </w:tr>
      <w:tr w14:paraId="49F029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585" w:type="dxa"/>
            <w:noWrap/>
            <w:vAlign w:val="center"/>
          </w:tcPr>
          <w:p w14:paraId="74C9B3D0">
            <w:pPr>
              <w:pStyle w:val="94"/>
              <w:rPr>
                <w:color w:val="auto"/>
              </w:rPr>
            </w:pPr>
            <w:r>
              <w:rPr>
                <w:rFonts w:ascii="Arial" w:hAnsi="Arial" w:cs="Arial"/>
                <w:color w:val="auto"/>
                <w:sz w:val="20"/>
                <w:szCs w:val="20"/>
              </w:rPr>
              <w:t>3#</w:t>
            </w:r>
          </w:p>
        </w:tc>
        <w:tc>
          <w:tcPr>
            <w:tcW w:w="1685" w:type="dxa"/>
            <w:noWrap/>
            <w:vAlign w:val="center"/>
          </w:tcPr>
          <w:p w14:paraId="7904299F">
            <w:pPr>
              <w:pStyle w:val="94"/>
              <w:rPr>
                <w:color w:val="auto"/>
              </w:rPr>
            </w:pPr>
            <w:r>
              <w:rPr>
                <w:rFonts w:ascii="Arial" w:hAnsi="Arial" w:cs="Arial"/>
                <w:color w:val="auto"/>
                <w:sz w:val="20"/>
                <w:szCs w:val="20"/>
              </w:rPr>
              <w:t>蒿类草丛</w:t>
            </w:r>
          </w:p>
        </w:tc>
        <w:tc>
          <w:tcPr>
            <w:tcW w:w="2110" w:type="dxa"/>
            <w:noWrap/>
            <w:vAlign w:val="center"/>
          </w:tcPr>
          <w:p w14:paraId="2FBDAABB">
            <w:pPr>
              <w:pStyle w:val="94"/>
              <w:rPr>
                <w:color w:val="auto"/>
              </w:rPr>
            </w:pPr>
            <w:r>
              <w:rPr>
                <w:color w:val="auto"/>
              </w:rPr>
              <w:t>E110.92552°；N38.4418986°</w:t>
            </w:r>
          </w:p>
        </w:tc>
        <w:tc>
          <w:tcPr>
            <w:tcW w:w="992" w:type="dxa"/>
            <w:noWrap/>
            <w:vAlign w:val="center"/>
          </w:tcPr>
          <w:p w14:paraId="1A4B860D">
            <w:pPr>
              <w:pStyle w:val="94"/>
              <w:rPr>
                <w:color w:val="auto"/>
              </w:rPr>
            </w:pPr>
            <w:r>
              <w:rPr>
                <w:color w:val="auto"/>
              </w:rPr>
              <w:t>1017m</w:t>
            </w:r>
          </w:p>
        </w:tc>
        <w:tc>
          <w:tcPr>
            <w:tcW w:w="1701" w:type="dxa"/>
            <w:noWrap/>
            <w:vAlign w:val="center"/>
          </w:tcPr>
          <w:p w14:paraId="5E626A73">
            <w:pPr>
              <w:pStyle w:val="94"/>
              <w:rPr>
                <w:color w:val="auto"/>
              </w:rPr>
            </w:pPr>
            <w:r>
              <w:rPr>
                <w:color w:val="auto"/>
              </w:rPr>
              <w:t>LXD12-26</w:t>
            </w:r>
            <w:r>
              <w:rPr>
                <w:rStyle w:val="92"/>
                <w:rFonts w:hint="default" w:cs="Arial"/>
                <w:b w:val="0"/>
                <w:bCs/>
                <w:color w:val="auto"/>
              </w:rPr>
              <w:t>井场</w:t>
            </w:r>
          </w:p>
        </w:tc>
        <w:tc>
          <w:tcPr>
            <w:tcW w:w="3363" w:type="dxa"/>
            <w:noWrap/>
            <w:vAlign w:val="center"/>
          </w:tcPr>
          <w:p w14:paraId="009AB3CB">
            <w:pPr>
              <w:pStyle w:val="94"/>
              <w:rPr>
                <w:b/>
                <w:color w:val="auto"/>
              </w:rPr>
            </w:pPr>
            <w:r>
              <w:rPr>
                <w:rFonts w:hint="eastAsia"/>
                <w:color w:val="auto"/>
              </w:rPr>
              <w:t>代表</w:t>
            </w:r>
            <w:r>
              <w:rPr>
                <w:rStyle w:val="98"/>
                <w:rFonts w:hint="default"/>
                <w:color w:val="auto"/>
              </w:rPr>
              <w:t>LXD12-26</w:t>
            </w:r>
            <w:r>
              <w:rPr>
                <w:rStyle w:val="92"/>
                <w:rFonts w:hint="default" w:cs="Arial"/>
                <w:b w:val="0"/>
                <w:bCs/>
                <w:color w:val="auto"/>
              </w:rPr>
              <w:t>井场占地范围内的植被</w:t>
            </w:r>
          </w:p>
        </w:tc>
      </w:tr>
      <w:tr w14:paraId="24AEEF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585" w:type="dxa"/>
            <w:noWrap/>
            <w:vAlign w:val="center"/>
          </w:tcPr>
          <w:p w14:paraId="1D72C4D2">
            <w:pPr>
              <w:pStyle w:val="94"/>
              <w:rPr>
                <w:color w:val="auto"/>
              </w:rPr>
            </w:pPr>
            <w:r>
              <w:rPr>
                <w:rFonts w:ascii="Arial" w:hAnsi="Arial" w:cs="Arial"/>
                <w:color w:val="auto"/>
                <w:sz w:val="20"/>
                <w:szCs w:val="20"/>
              </w:rPr>
              <w:t>4#</w:t>
            </w:r>
          </w:p>
        </w:tc>
        <w:tc>
          <w:tcPr>
            <w:tcW w:w="1685" w:type="dxa"/>
            <w:noWrap/>
            <w:vAlign w:val="center"/>
          </w:tcPr>
          <w:p w14:paraId="56F57964">
            <w:pPr>
              <w:pStyle w:val="94"/>
              <w:rPr>
                <w:color w:val="auto"/>
              </w:rPr>
            </w:pPr>
            <w:r>
              <w:rPr>
                <w:rFonts w:ascii="Arial" w:hAnsi="Arial" w:cs="Arial"/>
                <w:color w:val="auto"/>
                <w:sz w:val="20"/>
                <w:szCs w:val="20"/>
              </w:rPr>
              <w:t>小叶杨林</w:t>
            </w:r>
          </w:p>
        </w:tc>
        <w:tc>
          <w:tcPr>
            <w:tcW w:w="2110" w:type="dxa"/>
            <w:noWrap/>
            <w:vAlign w:val="center"/>
          </w:tcPr>
          <w:p w14:paraId="223EC7A6">
            <w:pPr>
              <w:pStyle w:val="94"/>
              <w:rPr>
                <w:color w:val="auto"/>
              </w:rPr>
            </w:pPr>
            <w:r>
              <w:rPr>
                <w:color w:val="auto"/>
              </w:rPr>
              <w:t>E110.90176°；N38.4254724°</w:t>
            </w:r>
          </w:p>
        </w:tc>
        <w:tc>
          <w:tcPr>
            <w:tcW w:w="992" w:type="dxa"/>
            <w:noWrap/>
            <w:vAlign w:val="center"/>
          </w:tcPr>
          <w:p w14:paraId="5D7DE85F">
            <w:pPr>
              <w:pStyle w:val="94"/>
              <w:rPr>
                <w:color w:val="auto"/>
              </w:rPr>
            </w:pPr>
            <w:r>
              <w:rPr>
                <w:color w:val="auto"/>
              </w:rPr>
              <w:t>992m</w:t>
            </w:r>
          </w:p>
        </w:tc>
        <w:tc>
          <w:tcPr>
            <w:tcW w:w="1701" w:type="dxa"/>
            <w:noWrap/>
            <w:vAlign w:val="center"/>
          </w:tcPr>
          <w:p w14:paraId="42485FC6">
            <w:pPr>
              <w:pStyle w:val="94"/>
              <w:rPr>
                <w:color w:val="auto"/>
              </w:rPr>
            </w:pPr>
            <w:r>
              <w:rPr>
                <w:color w:val="auto"/>
              </w:rPr>
              <w:t>LXD11-25</w:t>
            </w:r>
            <w:r>
              <w:rPr>
                <w:rStyle w:val="92"/>
                <w:rFonts w:hint="default" w:cs="Arial"/>
                <w:b w:val="0"/>
                <w:bCs/>
                <w:color w:val="auto"/>
              </w:rPr>
              <w:t>井场</w:t>
            </w:r>
          </w:p>
        </w:tc>
        <w:tc>
          <w:tcPr>
            <w:tcW w:w="3363" w:type="dxa"/>
            <w:noWrap/>
            <w:vAlign w:val="center"/>
          </w:tcPr>
          <w:p w14:paraId="6D8F11E8">
            <w:pPr>
              <w:pStyle w:val="94"/>
              <w:rPr>
                <w:b/>
                <w:color w:val="auto"/>
              </w:rPr>
            </w:pPr>
            <w:r>
              <w:rPr>
                <w:rFonts w:hint="eastAsia"/>
                <w:color w:val="auto"/>
              </w:rPr>
              <w:t>代表</w:t>
            </w:r>
            <w:r>
              <w:rPr>
                <w:rStyle w:val="98"/>
                <w:rFonts w:hint="default"/>
                <w:color w:val="auto"/>
              </w:rPr>
              <w:t>LXD11-25</w:t>
            </w:r>
            <w:r>
              <w:rPr>
                <w:rStyle w:val="92"/>
                <w:rFonts w:hint="default" w:cs="Arial"/>
                <w:b w:val="0"/>
                <w:bCs/>
                <w:color w:val="auto"/>
              </w:rPr>
              <w:t>井场占地范围内的植被</w:t>
            </w:r>
          </w:p>
        </w:tc>
      </w:tr>
      <w:tr w14:paraId="082803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585" w:type="dxa"/>
            <w:noWrap/>
            <w:vAlign w:val="center"/>
          </w:tcPr>
          <w:p w14:paraId="66255735">
            <w:pPr>
              <w:pStyle w:val="94"/>
              <w:rPr>
                <w:color w:val="auto"/>
              </w:rPr>
            </w:pPr>
            <w:r>
              <w:rPr>
                <w:rFonts w:ascii="Arial" w:hAnsi="Arial" w:cs="Arial"/>
                <w:color w:val="auto"/>
                <w:sz w:val="20"/>
                <w:szCs w:val="20"/>
              </w:rPr>
              <w:t>5#</w:t>
            </w:r>
          </w:p>
        </w:tc>
        <w:tc>
          <w:tcPr>
            <w:tcW w:w="1685" w:type="dxa"/>
            <w:noWrap/>
            <w:vAlign w:val="center"/>
          </w:tcPr>
          <w:p w14:paraId="418F882F">
            <w:pPr>
              <w:pStyle w:val="94"/>
              <w:rPr>
                <w:color w:val="auto"/>
              </w:rPr>
            </w:pPr>
            <w:r>
              <w:rPr>
                <w:rFonts w:ascii="Arial" w:hAnsi="Arial" w:cs="Arial"/>
                <w:color w:val="auto"/>
                <w:sz w:val="20"/>
                <w:szCs w:val="20"/>
              </w:rPr>
              <w:t>小叶杨林</w:t>
            </w:r>
          </w:p>
        </w:tc>
        <w:tc>
          <w:tcPr>
            <w:tcW w:w="2110" w:type="dxa"/>
            <w:noWrap/>
            <w:vAlign w:val="center"/>
          </w:tcPr>
          <w:p w14:paraId="3A685D8C">
            <w:pPr>
              <w:pStyle w:val="94"/>
              <w:rPr>
                <w:color w:val="auto"/>
              </w:rPr>
            </w:pPr>
            <w:r>
              <w:rPr>
                <w:color w:val="auto"/>
              </w:rPr>
              <w:t>E110.91535°；N38.3848767°</w:t>
            </w:r>
          </w:p>
        </w:tc>
        <w:tc>
          <w:tcPr>
            <w:tcW w:w="992" w:type="dxa"/>
            <w:noWrap/>
            <w:vAlign w:val="center"/>
          </w:tcPr>
          <w:p w14:paraId="50D9A1F8">
            <w:pPr>
              <w:pStyle w:val="94"/>
              <w:rPr>
                <w:color w:val="auto"/>
              </w:rPr>
            </w:pPr>
            <w:r>
              <w:rPr>
                <w:color w:val="auto"/>
              </w:rPr>
              <w:t>1080m</w:t>
            </w:r>
          </w:p>
        </w:tc>
        <w:tc>
          <w:tcPr>
            <w:tcW w:w="1701" w:type="dxa"/>
            <w:noWrap/>
            <w:vAlign w:val="center"/>
          </w:tcPr>
          <w:p w14:paraId="48278654">
            <w:pPr>
              <w:pStyle w:val="94"/>
              <w:rPr>
                <w:color w:val="auto"/>
              </w:rPr>
            </w:pPr>
            <w:r>
              <w:rPr>
                <w:color w:val="auto"/>
              </w:rPr>
              <w:t>井场道路</w:t>
            </w:r>
          </w:p>
        </w:tc>
        <w:tc>
          <w:tcPr>
            <w:tcW w:w="3363" w:type="dxa"/>
            <w:noWrap/>
            <w:vAlign w:val="center"/>
          </w:tcPr>
          <w:p w14:paraId="2F591930">
            <w:pPr>
              <w:pStyle w:val="94"/>
              <w:rPr>
                <w:color w:val="auto"/>
              </w:rPr>
            </w:pPr>
            <w:r>
              <w:rPr>
                <w:color w:val="auto"/>
              </w:rPr>
              <w:t>代表井场道路占地范围内的植被</w:t>
            </w:r>
          </w:p>
        </w:tc>
      </w:tr>
      <w:tr w14:paraId="5CD0E1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585" w:type="dxa"/>
            <w:noWrap/>
            <w:vAlign w:val="center"/>
          </w:tcPr>
          <w:p w14:paraId="022106DF">
            <w:pPr>
              <w:pStyle w:val="94"/>
              <w:rPr>
                <w:color w:val="auto"/>
              </w:rPr>
            </w:pPr>
            <w:r>
              <w:rPr>
                <w:rFonts w:ascii="Arial" w:hAnsi="Arial" w:cs="Arial"/>
                <w:color w:val="auto"/>
                <w:sz w:val="20"/>
                <w:szCs w:val="20"/>
              </w:rPr>
              <w:t>6#</w:t>
            </w:r>
          </w:p>
        </w:tc>
        <w:tc>
          <w:tcPr>
            <w:tcW w:w="1685" w:type="dxa"/>
            <w:noWrap/>
            <w:vAlign w:val="center"/>
          </w:tcPr>
          <w:p w14:paraId="48114D63">
            <w:pPr>
              <w:pStyle w:val="94"/>
              <w:rPr>
                <w:color w:val="auto"/>
              </w:rPr>
            </w:pPr>
            <w:r>
              <w:rPr>
                <w:rFonts w:ascii="Arial" w:hAnsi="Arial" w:cs="Arial"/>
                <w:color w:val="auto"/>
                <w:sz w:val="20"/>
                <w:szCs w:val="20"/>
              </w:rPr>
              <w:t>小叶杨林</w:t>
            </w:r>
          </w:p>
        </w:tc>
        <w:tc>
          <w:tcPr>
            <w:tcW w:w="2110" w:type="dxa"/>
            <w:noWrap/>
            <w:vAlign w:val="center"/>
          </w:tcPr>
          <w:p w14:paraId="5AD2A788">
            <w:pPr>
              <w:pStyle w:val="94"/>
              <w:rPr>
                <w:color w:val="auto"/>
              </w:rPr>
            </w:pPr>
            <w:r>
              <w:rPr>
                <w:color w:val="auto"/>
              </w:rPr>
              <w:t>E110.82583°；N38.4071117°</w:t>
            </w:r>
          </w:p>
        </w:tc>
        <w:tc>
          <w:tcPr>
            <w:tcW w:w="992" w:type="dxa"/>
            <w:noWrap/>
            <w:vAlign w:val="center"/>
          </w:tcPr>
          <w:p w14:paraId="5E71F1B5">
            <w:pPr>
              <w:pStyle w:val="94"/>
              <w:rPr>
                <w:color w:val="auto"/>
              </w:rPr>
            </w:pPr>
            <w:r>
              <w:rPr>
                <w:color w:val="auto"/>
              </w:rPr>
              <w:t>981m</w:t>
            </w:r>
          </w:p>
        </w:tc>
        <w:tc>
          <w:tcPr>
            <w:tcW w:w="1701" w:type="dxa"/>
            <w:noWrap/>
            <w:vAlign w:val="center"/>
          </w:tcPr>
          <w:p w14:paraId="54529CC5">
            <w:pPr>
              <w:pStyle w:val="94"/>
              <w:rPr>
                <w:color w:val="auto"/>
              </w:rPr>
            </w:pPr>
            <w:r>
              <w:rPr>
                <w:color w:val="auto"/>
              </w:rPr>
              <w:t>LXD8-11</w:t>
            </w:r>
            <w:r>
              <w:rPr>
                <w:rStyle w:val="92"/>
                <w:rFonts w:hint="default" w:cs="Arial"/>
                <w:b w:val="0"/>
                <w:bCs/>
                <w:color w:val="auto"/>
              </w:rPr>
              <w:t>井场</w:t>
            </w:r>
          </w:p>
        </w:tc>
        <w:tc>
          <w:tcPr>
            <w:tcW w:w="3363" w:type="dxa"/>
            <w:noWrap/>
            <w:vAlign w:val="center"/>
          </w:tcPr>
          <w:p w14:paraId="0055209D">
            <w:pPr>
              <w:pStyle w:val="94"/>
              <w:rPr>
                <w:color w:val="auto"/>
              </w:rPr>
            </w:pPr>
            <w:r>
              <w:rPr>
                <w:rFonts w:hint="eastAsia"/>
                <w:color w:val="auto"/>
              </w:rPr>
              <w:t>代表</w:t>
            </w:r>
            <w:r>
              <w:rPr>
                <w:rStyle w:val="98"/>
                <w:rFonts w:hint="default"/>
                <w:color w:val="auto"/>
              </w:rPr>
              <w:t>LXD8-11</w:t>
            </w:r>
            <w:r>
              <w:rPr>
                <w:rStyle w:val="92"/>
                <w:rFonts w:hint="default" w:cs="Arial"/>
                <w:b w:val="0"/>
                <w:bCs/>
                <w:color w:val="auto"/>
              </w:rPr>
              <w:t>井场占地范围内的植被</w:t>
            </w:r>
          </w:p>
        </w:tc>
      </w:tr>
      <w:tr w14:paraId="2FB2E7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585" w:type="dxa"/>
            <w:noWrap/>
            <w:vAlign w:val="center"/>
          </w:tcPr>
          <w:p w14:paraId="54755897">
            <w:pPr>
              <w:pStyle w:val="94"/>
              <w:rPr>
                <w:color w:val="auto"/>
              </w:rPr>
            </w:pPr>
            <w:r>
              <w:rPr>
                <w:rFonts w:ascii="Arial" w:hAnsi="Arial" w:cs="Arial"/>
                <w:color w:val="auto"/>
                <w:sz w:val="20"/>
                <w:szCs w:val="20"/>
              </w:rPr>
              <w:t>7#</w:t>
            </w:r>
          </w:p>
        </w:tc>
        <w:tc>
          <w:tcPr>
            <w:tcW w:w="1685" w:type="dxa"/>
            <w:noWrap/>
            <w:vAlign w:val="center"/>
          </w:tcPr>
          <w:p w14:paraId="34D46C67">
            <w:pPr>
              <w:pStyle w:val="94"/>
              <w:rPr>
                <w:color w:val="auto"/>
              </w:rPr>
            </w:pPr>
            <w:r>
              <w:rPr>
                <w:rFonts w:ascii="Arial" w:hAnsi="Arial" w:cs="Arial"/>
                <w:color w:val="auto"/>
                <w:sz w:val="20"/>
                <w:szCs w:val="20"/>
              </w:rPr>
              <w:t>柠条锦鸡儿灌丛</w:t>
            </w:r>
          </w:p>
        </w:tc>
        <w:tc>
          <w:tcPr>
            <w:tcW w:w="2110" w:type="dxa"/>
            <w:noWrap/>
            <w:vAlign w:val="center"/>
          </w:tcPr>
          <w:p w14:paraId="544F7333">
            <w:pPr>
              <w:pStyle w:val="94"/>
              <w:rPr>
                <w:color w:val="auto"/>
              </w:rPr>
            </w:pPr>
            <w:r>
              <w:rPr>
                <w:color w:val="auto"/>
              </w:rPr>
              <w:t>E110.89612°；N38.4166258°</w:t>
            </w:r>
          </w:p>
        </w:tc>
        <w:tc>
          <w:tcPr>
            <w:tcW w:w="992" w:type="dxa"/>
            <w:noWrap/>
            <w:vAlign w:val="center"/>
          </w:tcPr>
          <w:p w14:paraId="070345D2">
            <w:pPr>
              <w:pStyle w:val="94"/>
              <w:rPr>
                <w:color w:val="auto"/>
              </w:rPr>
            </w:pPr>
            <w:r>
              <w:rPr>
                <w:color w:val="auto"/>
              </w:rPr>
              <w:t>1029m</w:t>
            </w:r>
          </w:p>
        </w:tc>
        <w:tc>
          <w:tcPr>
            <w:tcW w:w="1701" w:type="dxa"/>
            <w:noWrap/>
            <w:vAlign w:val="center"/>
          </w:tcPr>
          <w:p w14:paraId="239A380C">
            <w:pPr>
              <w:pStyle w:val="94"/>
              <w:rPr>
                <w:color w:val="auto"/>
              </w:rPr>
            </w:pPr>
            <w:r>
              <w:rPr>
                <w:color w:val="auto"/>
              </w:rPr>
              <w:t>评价范围</w:t>
            </w:r>
          </w:p>
        </w:tc>
        <w:tc>
          <w:tcPr>
            <w:tcW w:w="3363" w:type="dxa"/>
            <w:noWrap/>
            <w:vAlign w:val="center"/>
          </w:tcPr>
          <w:p w14:paraId="6E64E505">
            <w:pPr>
              <w:pStyle w:val="94"/>
              <w:rPr>
                <w:color w:val="auto"/>
              </w:rPr>
            </w:pPr>
            <w:r>
              <w:rPr>
                <w:rFonts w:hint="eastAsia"/>
                <w:color w:val="auto"/>
              </w:rPr>
              <w:t>代表评价范围内的植被</w:t>
            </w:r>
          </w:p>
        </w:tc>
      </w:tr>
      <w:tr w14:paraId="2B944D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585" w:type="dxa"/>
            <w:noWrap/>
            <w:vAlign w:val="center"/>
          </w:tcPr>
          <w:p w14:paraId="7D6DCECD">
            <w:pPr>
              <w:pStyle w:val="94"/>
              <w:rPr>
                <w:color w:val="auto"/>
              </w:rPr>
            </w:pPr>
            <w:r>
              <w:rPr>
                <w:rFonts w:ascii="Arial" w:hAnsi="Arial" w:cs="Arial"/>
                <w:color w:val="auto"/>
                <w:sz w:val="20"/>
                <w:szCs w:val="20"/>
              </w:rPr>
              <w:t>8#</w:t>
            </w:r>
          </w:p>
        </w:tc>
        <w:tc>
          <w:tcPr>
            <w:tcW w:w="1685" w:type="dxa"/>
            <w:noWrap/>
            <w:vAlign w:val="center"/>
          </w:tcPr>
          <w:p w14:paraId="78A38634">
            <w:pPr>
              <w:pStyle w:val="94"/>
              <w:rPr>
                <w:color w:val="auto"/>
              </w:rPr>
            </w:pPr>
            <w:r>
              <w:rPr>
                <w:rFonts w:ascii="Arial" w:hAnsi="Arial" w:cs="Arial"/>
                <w:color w:val="auto"/>
                <w:sz w:val="20"/>
                <w:szCs w:val="20"/>
              </w:rPr>
              <w:t>柠条锦鸡儿灌丛</w:t>
            </w:r>
          </w:p>
        </w:tc>
        <w:tc>
          <w:tcPr>
            <w:tcW w:w="2110" w:type="dxa"/>
            <w:noWrap/>
            <w:vAlign w:val="center"/>
          </w:tcPr>
          <w:p w14:paraId="34608349">
            <w:pPr>
              <w:pStyle w:val="94"/>
              <w:rPr>
                <w:color w:val="auto"/>
              </w:rPr>
            </w:pPr>
            <w:r>
              <w:rPr>
                <w:color w:val="auto"/>
              </w:rPr>
              <w:t>E110.91790°；N38.3846099°</w:t>
            </w:r>
          </w:p>
        </w:tc>
        <w:tc>
          <w:tcPr>
            <w:tcW w:w="992" w:type="dxa"/>
            <w:noWrap/>
            <w:vAlign w:val="center"/>
          </w:tcPr>
          <w:p w14:paraId="75994DE0">
            <w:pPr>
              <w:pStyle w:val="94"/>
              <w:rPr>
                <w:color w:val="auto"/>
              </w:rPr>
            </w:pPr>
            <w:r>
              <w:rPr>
                <w:color w:val="auto"/>
              </w:rPr>
              <w:t>1035m</w:t>
            </w:r>
          </w:p>
        </w:tc>
        <w:tc>
          <w:tcPr>
            <w:tcW w:w="1701" w:type="dxa"/>
            <w:noWrap/>
            <w:vAlign w:val="center"/>
          </w:tcPr>
          <w:p w14:paraId="154D79B9">
            <w:pPr>
              <w:pStyle w:val="94"/>
              <w:rPr>
                <w:color w:val="auto"/>
              </w:rPr>
            </w:pPr>
            <w:r>
              <w:rPr>
                <w:color w:val="auto"/>
              </w:rPr>
              <w:t>评价范围</w:t>
            </w:r>
          </w:p>
        </w:tc>
        <w:tc>
          <w:tcPr>
            <w:tcW w:w="3363" w:type="dxa"/>
            <w:noWrap/>
            <w:vAlign w:val="center"/>
          </w:tcPr>
          <w:p w14:paraId="58435EAF">
            <w:pPr>
              <w:pStyle w:val="94"/>
              <w:rPr>
                <w:color w:val="auto"/>
              </w:rPr>
            </w:pPr>
            <w:r>
              <w:rPr>
                <w:rFonts w:hint="eastAsia"/>
                <w:color w:val="auto"/>
              </w:rPr>
              <w:t>代表评价范围内的植被</w:t>
            </w:r>
          </w:p>
        </w:tc>
      </w:tr>
      <w:tr w14:paraId="2329F3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585" w:type="dxa"/>
            <w:noWrap/>
            <w:vAlign w:val="center"/>
          </w:tcPr>
          <w:p w14:paraId="736AE6A6">
            <w:pPr>
              <w:pStyle w:val="94"/>
              <w:rPr>
                <w:color w:val="auto"/>
              </w:rPr>
            </w:pPr>
            <w:r>
              <w:rPr>
                <w:rFonts w:ascii="Arial" w:hAnsi="Arial" w:cs="Arial"/>
                <w:color w:val="auto"/>
                <w:sz w:val="20"/>
                <w:szCs w:val="20"/>
              </w:rPr>
              <w:t>9#</w:t>
            </w:r>
          </w:p>
        </w:tc>
        <w:tc>
          <w:tcPr>
            <w:tcW w:w="1685" w:type="dxa"/>
            <w:noWrap/>
            <w:vAlign w:val="center"/>
          </w:tcPr>
          <w:p w14:paraId="671F53E8">
            <w:pPr>
              <w:pStyle w:val="94"/>
              <w:rPr>
                <w:color w:val="auto"/>
              </w:rPr>
            </w:pPr>
            <w:r>
              <w:rPr>
                <w:rFonts w:ascii="Arial" w:hAnsi="Arial" w:cs="Arial"/>
                <w:color w:val="auto"/>
                <w:sz w:val="20"/>
                <w:szCs w:val="20"/>
              </w:rPr>
              <w:t>柠条锦鸡儿灌丛</w:t>
            </w:r>
          </w:p>
        </w:tc>
        <w:tc>
          <w:tcPr>
            <w:tcW w:w="2110" w:type="dxa"/>
            <w:noWrap/>
            <w:vAlign w:val="center"/>
          </w:tcPr>
          <w:p w14:paraId="37E2D0CF">
            <w:pPr>
              <w:pStyle w:val="94"/>
              <w:rPr>
                <w:color w:val="auto"/>
              </w:rPr>
            </w:pPr>
            <w:r>
              <w:rPr>
                <w:color w:val="auto"/>
              </w:rPr>
              <w:t>E110.91669°；N38.3758775°</w:t>
            </w:r>
          </w:p>
        </w:tc>
        <w:tc>
          <w:tcPr>
            <w:tcW w:w="992" w:type="dxa"/>
            <w:noWrap/>
            <w:vAlign w:val="center"/>
          </w:tcPr>
          <w:p w14:paraId="137173C3">
            <w:pPr>
              <w:pStyle w:val="94"/>
              <w:rPr>
                <w:color w:val="auto"/>
              </w:rPr>
            </w:pPr>
            <w:r>
              <w:rPr>
                <w:color w:val="auto"/>
              </w:rPr>
              <w:t>1118m</w:t>
            </w:r>
          </w:p>
        </w:tc>
        <w:tc>
          <w:tcPr>
            <w:tcW w:w="1701" w:type="dxa"/>
            <w:noWrap/>
            <w:vAlign w:val="center"/>
          </w:tcPr>
          <w:p w14:paraId="0272BC29">
            <w:pPr>
              <w:pStyle w:val="94"/>
              <w:rPr>
                <w:color w:val="auto"/>
              </w:rPr>
            </w:pPr>
            <w:r>
              <w:rPr>
                <w:color w:val="auto"/>
              </w:rPr>
              <w:t>LXD2-25</w:t>
            </w:r>
            <w:r>
              <w:rPr>
                <w:rStyle w:val="92"/>
                <w:rFonts w:hint="default" w:cs="Arial"/>
                <w:b w:val="0"/>
                <w:bCs/>
                <w:color w:val="auto"/>
              </w:rPr>
              <w:t>井场</w:t>
            </w:r>
          </w:p>
        </w:tc>
        <w:tc>
          <w:tcPr>
            <w:tcW w:w="3363" w:type="dxa"/>
            <w:noWrap/>
            <w:vAlign w:val="center"/>
          </w:tcPr>
          <w:p w14:paraId="06A92CD7">
            <w:pPr>
              <w:pStyle w:val="94"/>
              <w:rPr>
                <w:color w:val="auto"/>
              </w:rPr>
            </w:pPr>
            <w:r>
              <w:rPr>
                <w:rFonts w:hint="eastAsia"/>
                <w:color w:val="auto"/>
              </w:rPr>
              <w:t>代表</w:t>
            </w:r>
            <w:r>
              <w:rPr>
                <w:rStyle w:val="98"/>
                <w:rFonts w:hint="default"/>
                <w:color w:val="auto"/>
              </w:rPr>
              <w:t>LXD2-25</w:t>
            </w:r>
            <w:r>
              <w:rPr>
                <w:rStyle w:val="92"/>
                <w:rFonts w:hint="default" w:cs="Arial"/>
                <w:b w:val="0"/>
                <w:bCs/>
                <w:color w:val="auto"/>
              </w:rPr>
              <w:t>井场占地范围内的植被</w:t>
            </w:r>
          </w:p>
        </w:tc>
      </w:tr>
    </w:tbl>
    <w:p w14:paraId="1B72131B">
      <w:pPr>
        <w:pStyle w:val="96"/>
        <w:ind w:firstLine="480"/>
      </w:pPr>
      <w:r>
        <w:rPr>
          <w:rFonts w:hint="eastAsia"/>
        </w:rPr>
        <w:t xml:space="preserve"> 1、蒿类草丛：大籽蒿为优势种，平均高度</w:t>
      </w:r>
      <w:r>
        <w:t>60-70 cm，6-8株，盖度50-70%，伴生有刺儿菜、早开堇菜、披针苔草等。</w:t>
      </w:r>
    </w:p>
    <w:p w14:paraId="0253ACB2">
      <w:pPr>
        <w:pStyle w:val="19"/>
      </w:pPr>
      <w:r>
        <w:t xml:space="preserve">表 </w:t>
      </w:r>
      <w:r>
        <w:fldChar w:fldCharType="begin"/>
      </w:r>
      <w:r>
        <w:instrText xml:space="preserve"> SEQ 表 \* ARABIC </w:instrText>
      </w:r>
      <w:r>
        <w:fldChar w:fldCharType="separate"/>
      </w:r>
      <w:r>
        <w:t>57</w:t>
      </w:r>
      <w:r>
        <w:fldChar w:fldCharType="end"/>
      </w:r>
      <w:r>
        <w:rPr>
          <w:rFonts w:hint="eastAsia"/>
        </w:rPr>
        <w:t>群落样方编号</w:t>
      </w:r>
      <w:r>
        <w:t>1</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83"/>
        <w:gridCol w:w="1750"/>
        <w:gridCol w:w="1750"/>
        <w:gridCol w:w="1748"/>
        <w:gridCol w:w="1750"/>
        <w:gridCol w:w="1801"/>
      </w:tblGrid>
      <w:tr w14:paraId="71EB73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5F14D522">
            <w:pPr>
              <w:pStyle w:val="94"/>
              <w:rPr>
                <w:color w:val="auto"/>
              </w:rPr>
            </w:pPr>
            <w:r>
              <w:rPr>
                <w:rFonts w:hint="eastAsia"/>
                <w:color w:val="auto"/>
              </w:rPr>
              <w:t>调查日期</w:t>
            </w:r>
          </w:p>
        </w:tc>
        <w:tc>
          <w:tcPr>
            <w:tcW w:w="819" w:type="pct"/>
            <w:vAlign w:val="center"/>
          </w:tcPr>
          <w:p w14:paraId="3D415ED8">
            <w:pPr>
              <w:pStyle w:val="94"/>
              <w:rPr>
                <w:color w:val="auto"/>
              </w:rPr>
            </w:pPr>
            <w:r>
              <w:rPr>
                <w:rFonts w:hint="eastAsia"/>
                <w:color w:val="auto"/>
              </w:rPr>
              <w:t>2023-9-</w:t>
            </w:r>
            <w:r>
              <w:rPr>
                <w:color w:val="auto"/>
              </w:rPr>
              <w:t>16</w:t>
            </w:r>
          </w:p>
        </w:tc>
        <w:tc>
          <w:tcPr>
            <w:tcW w:w="819" w:type="pct"/>
            <w:vAlign w:val="center"/>
          </w:tcPr>
          <w:p w14:paraId="0FE06355">
            <w:pPr>
              <w:pStyle w:val="94"/>
              <w:rPr>
                <w:color w:val="auto"/>
              </w:rPr>
            </w:pPr>
            <w:r>
              <w:rPr>
                <w:rFonts w:hint="eastAsia"/>
                <w:color w:val="auto"/>
              </w:rPr>
              <w:t>调查地点</w:t>
            </w:r>
          </w:p>
        </w:tc>
        <w:tc>
          <w:tcPr>
            <w:tcW w:w="818" w:type="pct"/>
            <w:vAlign w:val="center"/>
          </w:tcPr>
          <w:p w14:paraId="2E4F65B5">
            <w:pPr>
              <w:pStyle w:val="94"/>
              <w:rPr>
                <w:color w:val="auto"/>
              </w:rPr>
            </w:pPr>
            <w:r>
              <w:rPr>
                <w:color w:val="auto"/>
              </w:rPr>
              <w:t>LXD12-8</w:t>
            </w:r>
            <w:r>
              <w:rPr>
                <w:rStyle w:val="92"/>
                <w:rFonts w:hint="default" w:cs="Arial"/>
                <w:b w:val="0"/>
                <w:bCs/>
                <w:color w:val="auto"/>
              </w:rPr>
              <w:t>井场</w:t>
            </w:r>
          </w:p>
        </w:tc>
        <w:tc>
          <w:tcPr>
            <w:tcW w:w="819" w:type="pct"/>
            <w:vAlign w:val="center"/>
          </w:tcPr>
          <w:p w14:paraId="36FDA294">
            <w:pPr>
              <w:pStyle w:val="94"/>
              <w:rPr>
                <w:color w:val="auto"/>
              </w:rPr>
            </w:pPr>
            <w:r>
              <w:rPr>
                <w:rFonts w:hint="eastAsia"/>
                <w:color w:val="auto"/>
              </w:rPr>
              <w:t>样方面积</w:t>
            </w:r>
          </w:p>
        </w:tc>
        <w:tc>
          <w:tcPr>
            <w:tcW w:w="844" w:type="pct"/>
            <w:vAlign w:val="center"/>
          </w:tcPr>
          <w:p w14:paraId="3B52C8BB">
            <w:pPr>
              <w:pStyle w:val="94"/>
              <w:rPr>
                <w:color w:val="auto"/>
              </w:rPr>
            </w:pPr>
            <w:r>
              <w:rPr>
                <w:rFonts w:hint="eastAsia"/>
                <w:color w:val="auto"/>
              </w:rPr>
              <w:t>1m×1m</w:t>
            </w:r>
          </w:p>
        </w:tc>
      </w:tr>
      <w:tr w14:paraId="15F584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70CACADF">
            <w:pPr>
              <w:pStyle w:val="94"/>
              <w:rPr>
                <w:color w:val="auto"/>
              </w:rPr>
            </w:pPr>
            <w:r>
              <w:rPr>
                <w:rFonts w:hint="eastAsia"/>
                <w:color w:val="auto"/>
              </w:rPr>
              <w:t>海拔高度</w:t>
            </w:r>
          </w:p>
        </w:tc>
        <w:tc>
          <w:tcPr>
            <w:tcW w:w="819" w:type="pct"/>
            <w:vAlign w:val="center"/>
          </w:tcPr>
          <w:p w14:paraId="2ED5B863">
            <w:pPr>
              <w:pStyle w:val="94"/>
              <w:rPr>
                <w:color w:val="auto"/>
              </w:rPr>
            </w:pPr>
            <w:r>
              <w:rPr>
                <w:color w:val="auto"/>
              </w:rPr>
              <w:t>934m</w:t>
            </w:r>
          </w:p>
        </w:tc>
        <w:tc>
          <w:tcPr>
            <w:tcW w:w="819" w:type="pct"/>
            <w:vAlign w:val="center"/>
          </w:tcPr>
          <w:p w14:paraId="580F6CAE">
            <w:pPr>
              <w:pStyle w:val="94"/>
              <w:rPr>
                <w:color w:val="auto"/>
              </w:rPr>
            </w:pPr>
            <w:r>
              <w:rPr>
                <w:rFonts w:hint="eastAsia"/>
                <w:color w:val="auto"/>
              </w:rPr>
              <w:t>坡度</w:t>
            </w:r>
          </w:p>
        </w:tc>
        <w:tc>
          <w:tcPr>
            <w:tcW w:w="818" w:type="pct"/>
            <w:vAlign w:val="center"/>
          </w:tcPr>
          <w:p w14:paraId="62C92A52">
            <w:pPr>
              <w:pStyle w:val="94"/>
              <w:rPr>
                <w:color w:val="auto"/>
              </w:rPr>
            </w:pPr>
            <w:r>
              <w:rPr>
                <w:color w:val="auto"/>
              </w:rPr>
              <w:t>40</w:t>
            </w:r>
            <w:r>
              <w:rPr>
                <w:rFonts w:hint="eastAsia"/>
                <w:color w:val="auto"/>
              </w:rPr>
              <w:t>°</w:t>
            </w:r>
          </w:p>
        </w:tc>
        <w:tc>
          <w:tcPr>
            <w:tcW w:w="819" w:type="pct"/>
            <w:vAlign w:val="center"/>
          </w:tcPr>
          <w:p w14:paraId="5A698732">
            <w:pPr>
              <w:pStyle w:val="94"/>
              <w:rPr>
                <w:color w:val="auto"/>
              </w:rPr>
            </w:pPr>
            <w:r>
              <w:rPr>
                <w:rFonts w:hint="eastAsia"/>
                <w:color w:val="auto"/>
              </w:rPr>
              <w:t>坡向</w:t>
            </w:r>
          </w:p>
        </w:tc>
        <w:tc>
          <w:tcPr>
            <w:tcW w:w="844" w:type="pct"/>
            <w:vAlign w:val="center"/>
          </w:tcPr>
          <w:p w14:paraId="1D746939">
            <w:pPr>
              <w:pStyle w:val="94"/>
              <w:rPr>
                <w:color w:val="auto"/>
              </w:rPr>
            </w:pPr>
            <w:r>
              <w:rPr>
                <w:rFonts w:hint="eastAsia"/>
                <w:color w:val="auto"/>
              </w:rPr>
              <w:t>SW</w:t>
            </w:r>
          </w:p>
        </w:tc>
      </w:tr>
      <w:tr w14:paraId="183D61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06E15A96">
            <w:pPr>
              <w:pStyle w:val="94"/>
              <w:rPr>
                <w:color w:val="auto"/>
              </w:rPr>
            </w:pPr>
            <w:r>
              <w:rPr>
                <w:rFonts w:hint="eastAsia"/>
                <w:color w:val="auto"/>
              </w:rPr>
              <w:t>土壤类型</w:t>
            </w:r>
          </w:p>
        </w:tc>
        <w:tc>
          <w:tcPr>
            <w:tcW w:w="819" w:type="pct"/>
            <w:vAlign w:val="center"/>
          </w:tcPr>
          <w:p w14:paraId="0E5CF374">
            <w:pPr>
              <w:pStyle w:val="94"/>
              <w:rPr>
                <w:color w:val="auto"/>
              </w:rPr>
            </w:pPr>
            <w:r>
              <w:rPr>
                <w:rFonts w:hint="eastAsia"/>
                <w:color w:val="auto"/>
              </w:rPr>
              <w:t>红粘土</w:t>
            </w:r>
          </w:p>
        </w:tc>
        <w:tc>
          <w:tcPr>
            <w:tcW w:w="819" w:type="pct"/>
            <w:vAlign w:val="center"/>
          </w:tcPr>
          <w:p w14:paraId="1EF45D25">
            <w:pPr>
              <w:pStyle w:val="94"/>
              <w:rPr>
                <w:color w:val="auto"/>
              </w:rPr>
            </w:pPr>
            <w:r>
              <w:rPr>
                <w:rFonts w:hint="eastAsia"/>
                <w:color w:val="auto"/>
              </w:rPr>
              <w:t>地形</w:t>
            </w:r>
          </w:p>
        </w:tc>
        <w:tc>
          <w:tcPr>
            <w:tcW w:w="818" w:type="pct"/>
            <w:vAlign w:val="center"/>
          </w:tcPr>
          <w:p w14:paraId="1FA60A2B">
            <w:pPr>
              <w:pStyle w:val="94"/>
              <w:rPr>
                <w:color w:val="auto"/>
              </w:rPr>
            </w:pPr>
            <w:r>
              <w:rPr>
                <w:rFonts w:hint="eastAsia"/>
                <w:color w:val="auto"/>
              </w:rPr>
              <w:t>阴坡</w:t>
            </w:r>
          </w:p>
        </w:tc>
        <w:tc>
          <w:tcPr>
            <w:tcW w:w="819" w:type="pct"/>
            <w:vAlign w:val="center"/>
          </w:tcPr>
          <w:p w14:paraId="3FE0D02A">
            <w:pPr>
              <w:pStyle w:val="94"/>
              <w:rPr>
                <w:color w:val="auto"/>
              </w:rPr>
            </w:pPr>
            <w:r>
              <w:rPr>
                <w:rFonts w:hint="eastAsia"/>
                <w:color w:val="auto"/>
              </w:rPr>
              <w:t>群系</w:t>
            </w:r>
          </w:p>
        </w:tc>
        <w:tc>
          <w:tcPr>
            <w:tcW w:w="844" w:type="pct"/>
            <w:vAlign w:val="center"/>
          </w:tcPr>
          <w:p w14:paraId="2E9EAC1B">
            <w:pPr>
              <w:pStyle w:val="94"/>
              <w:rPr>
                <w:color w:val="auto"/>
              </w:rPr>
            </w:pPr>
            <w:r>
              <w:rPr>
                <w:rFonts w:hint="eastAsia"/>
                <w:color w:val="auto"/>
              </w:rPr>
              <w:t>蒿草草丛</w:t>
            </w:r>
          </w:p>
        </w:tc>
      </w:tr>
      <w:tr w14:paraId="7CB9F5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05C98FA1">
            <w:pPr>
              <w:pStyle w:val="94"/>
              <w:rPr>
                <w:color w:val="auto"/>
              </w:rPr>
            </w:pPr>
            <w:r>
              <w:rPr>
                <w:rFonts w:hint="eastAsia"/>
                <w:color w:val="auto"/>
              </w:rPr>
              <w:t>植被总盖度</w:t>
            </w:r>
          </w:p>
        </w:tc>
        <w:tc>
          <w:tcPr>
            <w:tcW w:w="819" w:type="pct"/>
            <w:vAlign w:val="center"/>
          </w:tcPr>
          <w:p w14:paraId="2097B4C2">
            <w:pPr>
              <w:pStyle w:val="94"/>
              <w:rPr>
                <w:color w:val="auto"/>
              </w:rPr>
            </w:pPr>
            <w:r>
              <w:rPr>
                <w:rFonts w:hint="eastAsia"/>
                <w:color w:val="auto"/>
              </w:rPr>
              <w:t>95%</w:t>
            </w:r>
          </w:p>
        </w:tc>
        <w:tc>
          <w:tcPr>
            <w:tcW w:w="819" w:type="pct"/>
            <w:vAlign w:val="center"/>
          </w:tcPr>
          <w:p w14:paraId="76FE42D3">
            <w:pPr>
              <w:pStyle w:val="94"/>
              <w:rPr>
                <w:color w:val="auto"/>
              </w:rPr>
            </w:pPr>
            <w:r>
              <w:rPr>
                <w:rFonts w:hint="eastAsia"/>
                <w:color w:val="auto"/>
              </w:rPr>
              <w:t>经纬度坐标</w:t>
            </w:r>
          </w:p>
        </w:tc>
        <w:tc>
          <w:tcPr>
            <w:tcW w:w="2481" w:type="pct"/>
            <w:gridSpan w:val="3"/>
            <w:vAlign w:val="center"/>
          </w:tcPr>
          <w:p w14:paraId="13569C61">
            <w:pPr>
              <w:pStyle w:val="94"/>
              <w:rPr>
                <w:color w:val="auto"/>
              </w:rPr>
            </w:pPr>
            <w:r>
              <w:rPr>
                <w:color w:val="auto"/>
              </w:rPr>
              <w:t>E110.86104°；N38.4358542°</w:t>
            </w:r>
          </w:p>
        </w:tc>
      </w:tr>
      <w:tr w14:paraId="75023A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0504706E">
            <w:pPr>
              <w:pStyle w:val="94"/>
              <w:rPr>
                <w:color w:val="auto"/>
              </w:rPr>
            </w:pPr>
            <w:r>
              <w:rPr>
                <w:rFonts w:hint="eastAsia"/>
                <w:color w:val="auto"/>
              </w:rPr>
              <w:t>序号</w:t>
            </w:r>
          </w:p>
        </w:tc>
        <w:tc>
          <w:tcPr>
            <w:tcW w:w="819" w:type="pct"/>
            <w:vAlign w:val="center"/>
          </w:tcPr>
          <w:p w14:paraId="1659DD57">
            <w:pPr>
              <w:pStyle w:val="94"/>
              <w:rPr>
                <w:color w:val="auto"/>
              </w:rPr>
            </w:pPr>
            <w:r>
              <w:rPr>
                <w:rFonts w:hint="eastAsia"/>
                <w:color w:val="auto"/>
              </w:rPr>
              <w:t>植物名称</w:t>
            </w:r>
          </w:p>
        </w:tc>
        <w:tc>
          <w:tcPr>
            <w:tcW w:w="1637" w:type="pct"/>
            <w:gridSpan w:val="2"/>
            <w:vAlign w:val="center"/>
          </w:tcPr>
          <w:p w14:paraId="108D20FC">
            <w:pPr>
              <w:pStyle w:val="94"/>
              <w:rPr>
                <w:color w:val="auto"/>
              </w:rPr>
            </w:pPr>
            <w:r>
              <w:rPr>
                <w:rFonts w:hint="eastAsia"/>
                <w:color w:val="auto"/>
              </w:rPr>
              <w:t>高度（cm）</w:t>
            </w:r>
          </w:p>
        </w:tc>
        <w:tc>
          <w:tcPr>
            <w:tcW w:w="819" w:type="pct"/>
            <w:vAlign w:val="center"/>
          </w:tcPr>
          <w:p w14:paraId="113716E0">
            <w:pPr>
              <w:pStyle w:val="94"/>
              <w:rPr>
                <w:color w:val="auto"/>
              </w:rPr>
            </w:pPr>
            <w:r>
              <w:rPr>
                <w:rFonts w:hint="eastAsia"/>
                <w:color w:val="auto"/>
              </w:rPr>
              <w:t>盖度（%）</w:t>
            </w:r>
          </w:p>
        </w:tc>
        <w:tc>
          <w:tcPr>
            <w:tcW w:w="844" w:type="pct"/>
            <w:vAlign w:val="center"/>
          </w:tcPr>
          <w:p w14:paraId="0975531D">
            <w:pPr>
              <w:pStyle w:val="94"/>
              <w:rPr>
                <w:color w:val="auto"/>
              </w:rPr>
            </w:pPr>
            <w:r>
              <w:rPr>
                <w:rFonts w:hint="eastAsia"/>
                <w:color w:val="auto"/>
              </w:rPr>
              <w:t>株数（个）</w:t>
            </w:r>
          </w:p>
        </w:tc>
      </w:tr>
      <w:tr w14:paraId="580782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7196BE4F">
            <w:pPr>
              <w:pStyle w:val="94"/>
              <w:rPr>
                <w:color w:val="auto"/>
              </w:rPr>
            </w:pPr>
            <w:r>
              <w:rPr>
                <w:rFonts w:hint="eastAsia"/>
                <w:color w:val="auto"/>
              </w:rPr>
              <w:t>1</w:t>
            </w:r>
          </w:p>
        </w:tc>
        <w:tc>
          <w:tcPr>
            <w:tcW w:w="819" w:type="pct"/>
            <w:vAlign w:val="center"/>
          </w:tcPr>
          <w:p w14:paraId="3F0FD602">
            <w:pPr>
              <w:pStyle w:val="94"/>
              <w:rPr>
                <w:color w:val="auto"/>
              </w:rPr>
            </w:pPr>
            <w:r>
              <w:rPr>
                <w:rFonts w:hint="eastAsia"/>
                <w:color w:val="auto"/>
              </w:rPr>
              <w:t>黄花蒿</w:t>
            </w:r>
          </w:p>
        </w:tc>
        <w:tc>
          <w:tcPr>
            <w:tcW w:w="1637" w:type="pct"/>
            <w:gridSpan w:val="2"/>
            <w:vAlign w:val="center"/>
          </w:tcPr>
          <w:p w14:paraId="5D91E790">
            <w:pPr>
              <w:pStyle w:val="94"/>
              <w:rPr>
                <w:color w:val="auto"/>
              </w:rPr>
            </w:pPr>
            <w:r>
              <w:rPr>
                <w:rFonts w:hint="eastAsia"/>
                <w:color w:val="auto"/>
              </w:rPr>
              <w:t>10~30</w:t>
            </w:r>
          </w:p>
        </w:tc>
        <w:tc>
          <w:tcPr>
            <w:tcW w:w="819" w:type="pct"/>
            <w:vAlign w:val="center"/>
          </w:tcPr>
          <w:p w14:paraId="416D5B2D">
            <w:pPr>
              <w:pStyle w:val="94"/>
              <w:rPr>
                <w:color w:val="auto"/>
              </w:rPr>
            </w:pPr>
            <w:r>
              <w:rPr>
                <w:rFonts w:hint="eastAsia"/>
                <w:color w:val="auto"/>
              </w:rPr>
              <w:t>80</w:t>
            </w:r>
          </w:p>
        </w:tc>
        <w:tc>
          <w:tcPr>
            <w:tcW w:w="844" w:type="pct"/>
            <w:vAlign w:val="center"/>
          </w:tcPr>
          <w:p w14:paraId="1B4F9B5A">
            <w:pPr>
              <w:pStyle w:val="94"/>
              <w:rPr>
                <w:color w:val="auto"/>
              </w:rPr>
            </w:pPr>
            <w:r>
              <w:rPr>
                <w:rFonts w:hint="eastAsia"/>
                <w:color w:val="auto"/>
              </w:rPr>
              <w:t>7</w:t>
            </w:r>
          </w:p>
        </w:tc>
      </w:tr>
      <w:tr w14:paraId="2063FA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3327E6D6">
            <w:pPr>
              <w:pStyle w:val="94"/>
              <w:rPr>
                <w:color w:val="auto"/>
              </w:rPr>
            </w:pPr>
            <w:r>
              <w:rPr>
                <w:rFonts w:hint="eastAsia"/>
                <w:color w:val="auto"/>
              </w:rPr>
              <w:t>2</w:t>
            </w:r>
          </w:p>
        </w:tc>
        <w:tc>
          <w:tcPr>
            <w:tcW w:w="819" w:type="pct"/>
            <w:vAlign w:val="center"/>
          </w:tcPr>
          <w:p w14:paraId="1CCF7F81">
            <w:pPr>
              <w:pStyle w:val="94"/>
              <w:rPr>
                <w:color w:val="auto"/>
              </w:rPr>
            </w:pPr>
            <w:r>
              <w:rPr>
                <w:rFonts w:hint="eastAsia"/>
                <w:color w:val="auto"/>
              </w:rPr>
              <w:t>蒲公英</w:t>
            </w:r>
          </w:p>
        </w:tc>
        <w:tc>
          <w:tcPr>
            <w:tcW w:w="1637" w:type="pct"/>
            <w:gridSpan w:val="2"/>
            <w:vAlign w:val="center"/>
          </w:tcPr>
          <w:p w14:paraId="5F5B3095">
            <w:pPr>
              <w:pStyle w:val="94"/>
              <w:rPr>
                <w:color w:val="auto"/>
              </w:rPr>
            </w:pPr>
            <w:r>
              <w:rPr>
                <w:rFonts w:hint="eastAsia"/>
                <w:color w:val="auto"/>
              </w:rPr>
              <w:t>5~10</w:t>
            </w:r>
          </w:p>
        </w:tc>
        <w:tc>
          <w:tcPr>
            <w:tcW w:w="819" w:type="pct"/>
            <w:vAlign w:val="center"/>
          </w:tcPr>
          <w:p w14:paraId="4863B139">
            <w:pPr>
              <w:pStyle w:val="94"/>
              <w:rPr>
                <w:color w:val="auto"/>
              </w:rPr>
            </w:pPr>
            <w:r>
              <w:rPr>
                <w:rFonts w:hint="eastAsia"/>
                <w:color w:val="auto"/>
              </w:rPr>
              <w:t>5</w:t>
            </w:r>
          </w:p>
        </w:tc>
        <w:tc>
          <w:tcPr>
            <w:tcW w:w="844" w:type="pct"/>
            <w:vAlign w:val="center"/>
          </w:tcPr>
          <w:p w14:paraId="3392C388">
            <w:pPr>
              <w:pStyle w:val="94"/>
              <w:rPr>
                <w:color w:val="auto"/>
              </w:rPr>
            </w:pPr>
            <w:r>
              <w:rPr>
                <w:rFonts w:hint="eastAsia"/>
                <w:color w:val="auto"/>
              </w:rPr>
              <w:t>15</w:t>
            </w:r>
          </w:p>
        </w:tc>
      </w:tr>
      <w:tr w14:paraId="58BB79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368D958E">
            <w:pPr>
              <w:pStyle w:val="94"/>
              <w:rPr>
                <w:color w:val="auto"/>
              </w:rPr>
            </w:pPr>
            <w:r>
              <w:rPr>
                <w:rFonts w:hint="eastAsia"/>
                <w:color w:val="auto"/>
              </w:rPr>
              <w:t>3</w:t>
            </w:r>
          </w:p>
        </w:tc>
        <w:tc>
          <w:tcPr>
            <w:tcW w:w="819" w:type="pct"/>
            <w:vAlign w:val="center"/>
          </w:tcPr>
          <w:p w14:paraId="70AF43FF">
            <w:pPr>
              <w:pStyle w:val="94"/>
              <w:rPr>
                <w:color w:val="auto"/>
              </w:rPr>
            </w:pPr>
            <w:r>
              <w:rPr>
                <w:rFonts w:hint="eastAsia"/>
                <w:color w:val="auto"/>
              </w:rPr>
              <w:t>茵陈蒿</w:t>
            </w:r>
          </w:p>
        </w:tc>
        <w:tc>
          <w:tcPr>
            <w:tcW w:w="1637" w:type="pct"/>
            <w:gridSpan w:val="2"/>
            <w:vAlign w:val="center"/>
          </w:tcPr>
          <w:p w14:paraId="0ED07E8F">
            <w:pPr>
              <w:pStyle w:val="94"/>
              <w:rPr>
                <w:color w:val="auto"/>
              </w:rPr>
            </w:pPr>
            <w:r>
              <w:rPr>
                <w:rFonts w:hint="eastAsia"/>
                <w:color w:val="auto"/>
              </w:rPr>
              <w:t>5-15</w:t>
            </w:r>
          </w:p>
        </w:tc>
        <w:tc>
          <w:tcPr>
            <w:tcW w:w="819" w:type="pct"/>
            <w:vAlign w:val="center"/>
          </w:tcPr>
          <w:p w14:paraId="6F93DD3B">
            <w:pPr>
              <w:pStyle w:val="94"/>
              <w:rPr>
                <w:color w:val="auto"/>
              </w:rPr>
            </w:pPr>
            <w:r>
              <w:rPr>
                <w:rFonts w:hint="eastAsia"/>
                <w:color w:val="auto"/>
              </w:rPr>
              <w:t>/</w:t>
            </w:r>
          </w:p>
        </w:tc>
        <w:tc>
          <w:tcPr>
            <w:tcW w:w="844" w:type="pct"/>
            <w:vAlign w:val="center"/>
          </w:tcPr>
          <w:p w14:paraId="169B23DC">
            <w:pPr>
              <w:pStyle w:val="94"/>
              <w:rPr>
                <w:color w:val="auto"/>
              </w:rPr>
            </w:pPr>
            <w:r>
              <w:rPr>
                <w:rFonts w:hint="eastAsia"/>
                <w:color w:val="auto"/>
              </w:rPr>
              <w:t>6</w:t>
            </w:r>
          </w:p>
        </w:tc>
      </w:tr>
    </w:tbl>
    <w:p w14:paraId="2B300CE5">
      <w:pPr>
        <w:pStyle w:val="19"/>
        <w:keepNext/>
      </w:pPr>
      <w:r>
        <w:t xml:space="preserve">表 </w:t>
      </w:r>
      <w:r>
        <w:fldChar w:fldCharType="begin"/>
      </w:r>
      <w:r>
        <w:instrText xml:space="preserve"> SEQ 表 \* ARABIC </w:instrText>
      </w:r>
      <w:r>
        <w:fldChar w:fldCharType="separate"/>
      </w:r>
      <w:r>
        <w:t>58</w:t>
      </w:r>
      <w:r>
        <w:fldChar w:fldCharType="end"/>
      </w:r>
      <w:r>
        <w:rPr>
          <w:rFonts w:hint="eastAsia"/>
        </w:rPr>
        <w:t>群落样方编号</w:t>
      </w:r>
      <w:r>
        <w:t>2</w:t>
      </w:r>
    </w:p>
    <w:tbl>
      <w:tblPr>
        <w:tblStyle w:val="73"/>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875"/>
        <w:gridCol w:w="1747"/>
        <w:gridCol w:w="1750"/>
        <w:gridCol w:w="1749"/>
        <w:gridCol w:w="1750"/>
        <w:gridCol w:w="1806"/>
      </w:tblGrid>
      <w:tr w14:paraId="12B10F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32" w:type="dxa"/>
            <w:vAlign w:val="center"/>
          </w:tcPr>
          <w:p w14:paraId="6D6B8348">
            <w:pPr>
              <w:pStyle w:val="94"/>
              <w:rPr>
                <w:color w:val="auto"/>
              </w:rPr>
            </w:pPr>
            <w:r>
              <w:rPr>
                <w:rFonts w:hint="eastAsia"/>
                <w:color w:val="auto"/>
              </w:rPr>
              <w:t>调查日期</w:t>
            </w:r>
          </w:p>
        </w:tc>
        <w:tc>
          <w:tcPr>
            <w:tcW w:w="1707" w:type="dxa"/>
            <w:vAlign w:val="center"/>
          </w:tcPr>
          <w:p w14:paraId="5098560B">
            <w:pPr>
              <w:pStyle w:val="94"/>
              <w:rPr>
                <w:color w:val="auto"/>
              </w:rPr>
            </w:pPr>
            <w:r>
              <w:rPr>
                <w:rFonts w:hint="eastAsia"/>
                <w:color w:val="auto"/>
              </w:rPr>
              <w:t>2023-9-</w:t>
            </w:r>
            <w:r>
              <w:rPr>
                <w:color w:val="auto"/>
              </w:rPr>
              <w:t>16</w:t>
            </w:r>
          </w:p>
        </w:tc>
        <w:tc>
          <w:tcPr>
            <w:tcW w:w="1710" w:type="dxa"/>
            <w:vAlign w:val="center"/>
          </w:tcPr>
          <w:p w14:paraId="7F29CB9E">
            <w:pPr>
              <w:pStyle w:val="94"/>
              <w:rPr>
                <w:color w:val="auto"/>
              </w:rPr>
            </w:pPr>
            <w:r>
              <w:rPr>
                <w:rFonts w:hint="eastAsia"/>
                <w:color w:val="auto"/>
              </w:rPr>
              <w:t>调查地点</w:t>
            </w:r>
          </w:p>
        </w:tc>
        <w:tc>
          <w:tcPr>
            <w:tcW w:w="1709" w:type="dxa"/>
            <w:vAlign w:val="center"/>
          </w:tcPr>
          <w:p w14:paraId="0175749F">
            <w:pPr>
              <w:pStyle w:val="94"/>
              <w:rPr>
                <w:color w:val="auto"/>
              </w:rPr>
            </w:pPr>
            <w:r>
              <w:rPr>
                <w:color w:val="auto"/>
              </w:rPr>
              <w:t>LXD8-18</w:t>
            </w:r>
            <w:r>
              <w:rPr>
                <w:rStyle w:val="92"/>
                <w:rFonts w:hint="default" w:cs="Arial"/>
                <w:b w:val="0"/>
                <w:bCs/>
                <w:color w:val="auto"/>
              </w:rPr>
              <w:t>井场</w:t>
            </w:r>
          </w:p>
        </w:tc>
        <w:tc>
          <w:tcPr>
            <w:tcW w:w="1710" w:type="dxa"/>
            <w:vAlign w:val="center"/>
          </w:tcPr>
          <w:p w14:paraId="1207B3EF">
            <w:pPr>
              <w:pStyle w:val="94"/>
              <w:rPr>
                <w:color w:val="auto"/>
              </w:rPr>
            </w:pPr>
            <w:r>
              <w:rPr>
                <w:rFonts w:hint="eastAsia"/>
                <w:color w:val="auto"/>
              </w:rPr>
              <w:t>样方面积</w:t>
            </w:r>
          </w:p>
        </w:tc>
        <w:tc>
          <w:tcPr>
            <w:tcW w:w="1764" w:type="dxa"/>
            <w:vAlign w:val="center"/>
          </w:tcPr>
          <w:p w14:paraId="4C8E85D5">
            <w:pPr>
              <w:pStyle w:val="94"/>
              <w:rPr>
                <w:color w:val="auto"/>
              </w:rPr>
            </w:pPr>
            <w:r>
              <w:rPr>
                <w:rFonts w:hint="eastAsia"/>
                <w:color w:val="auto"/>
              </w:rPr>
              <w:t>1m×1m</w:t>
            </w:r>
          </w:p>
        </w:tc>
      </w:tr>
      <w:tr w14:paraId="26F160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32" w:type="dxa"/>
            <w:vAlign w:val="center"/>
          </w:tcPr>
          <w:p w14:paraId="2DAFCF80">
            <w:pPr>
              <w:pStyle w:val="94"/>
              <w:rPr>
                <w:color w:val="auto"/>
              </w:rPr>
            </w:pPr>
            <w:r>
              <w:rPr>
                <w:rFonts w:hint="eastAsia"/>
                <w:color w:val="auto"/>
              </w:rPr>
              <w:t>海拔高度</w:t>
            </w:r>
          </w:p>
        </w:tc>
        <w:tc>
          <w:tcPr>
            <w:tcW w:w="1707" w:type="dxa"/>
            <w:vAlign w:val="bottom"/>
          </w:tcPr>
          <w:p w14:paraId="4CB82B74">
            <w:pPr>
              <w:pStyle w:val="94"/>
              <w:rPr>
                <w:color w:val="auto"/>
              </w:rPr>
            </w:pPr>
            <w:r>
              <w:rPr>
                <w:color w:val="auto"/>
              </w:rPr>
              <w:t>976m</w:t>
            </w:r>
          </w:p>
        </w:tc>
        <w:tc>
          <w:tcPr>
            <w:tcW w:w="1710" w:type="dxa"/>
            <w:vAlign w:val="center"/>
          </w:tcPr>
          <w:p w14:paraId="5067E5B2">
            <w:pPr>
              <w:pStyle w:val="94"/>
              <w:rPr>
                <w:color w:val="auto"/>
              </w:rPr>
            </w:pPr>
            <w:r>
              <w:rPr>
                <w:rFonts w:hint="eastAsia"/>
                <w:color w:val="auto"/>
              </w:rPr>
              <w:t>坡度</w:t>
            </w:r>
          </w:p>
        </w:tc>
        <w:tc>
          <w:tcPr>
            <w:tcW w:w="1709" w:type="dxa"/>
            <w:vAlign w:val="center"/>
          </w:tcPr>
          <w:p w14:paraId="3CE3AE5D">
            <w:pPr>
              <w:pStyle w:val="94"/>
              <w:rPr>
                <w:color w:val="auto"/>
              </w:rPr>
            </w:pPr>
            <w:r>
              <w:rPr>
                <w:color w:val="auto"/>
              </w:rPr>
              <w:t>10</w:t>
            </w:r>
            <w:r>
              <w:rPr>
                <w:rFonts w:hint="eastAsia"/>
                <w:color w:val="auto"/>
              </w:rPr>
              <w:t>°</w:t>
            </w:r>
          </w:p>
        </w:tc>
        <w:tc>
          <w:tcPr>
            <w:tcW w:w="1710" w:type="dxa"/>
            <w:vAlign w:val="center"/>
          </w:tcPr>
          <w:p w14:paraId="05A4F151">
            <w:pPr>
              <w:pStyle w:val="94"/>
              <w:rPr>
                <w:color w:val="auto"/>
              </w:rPr>
            </w:pPr>
            <w:r>
              <w:rPr>
                <w:rFonts w:hint="eastAsia"/>
                <w:color w:val="auto"/>
              </w:rPr>
              <w:t>坡向</w:t>
            </w:r>
          </w:p>
        </w:tc>
        <w:tc>
          <w:tcPr>
            <w:tcW w:w="1764" w:type="dxa"/>
            <w:vAlign w:val="center"/>
          </w:tcPr>
          <w:p w14:paraId="23CA6780">
            <w:pPr>
              <w:pStyle w:val="94"/>
              <w:rPr>
                <w:color w:val="auto"/>
              </w:rPr>
            </w:pPr>
            <w:r>
              <w:rPr>
                <w:rFonts w:hint="eastAsia"/>
                <w:color w:val="auto"/>
              </w:rPr>
              <w:t>S</w:t>
            </w:r>
          </w:p>
        </w:tc>
      </w:tr>
      <w:tr w14:paraId="7DA4E7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32" w:type="dxa"/>
            <w:vAlign w:val="center"/>
          </w:tcPr>
          <w:p w14:paraId="150B6300">
            <w:pPr>
              <w:pStyle w:val="94"/>
              <w:rPr>
                <w:color w:val="auto"/>
              </w:rPr>
            </w:pPr>
            <w:r>
              <w:rPr>
                <w:rFonts w:hint="eastAsia"/>
                <w:color w:val="auto"/>
              </w:rPr>
              <w:t>土壤类型</w:t>
            </w:r>
          </w:p>
        </w:tc>
        <w:tc>
          <w:tcPr>
            <w:tcW w:w="1707" w:type="dxa"/>
            <w:vAlign w:val="center"/>
          </w:tcPr>
          <w:p w14:paraId="70E1B0D8">
            <w:pPr>
              <w:pStyle w:val="94"/>
              <w:rPr>
                <w:color w:val="auto"/>
              </w:rPr>
            </w:pPr>
            <w:r>
              <w:rPr>
                <w:rFonts w:hint="eastAsia"/>
                <w:color w:val="auto"/>
              </w:rPr>
              <w:t>黄绵土</w:t>
            </w:r>
          </w:p>
        </w:tc>
        <w:tc>
          <w:tcPr>
            <w:tcW w:w="1710" w:type="dxa"/>
            <w:vAlign w:val="center"/>
          </w:tcPr>
          <w:p w14:paraId="1D4A3100">
            <w:pPr>
              <w:pStyle w:val="94"/>
              <w:rPr>
                <w:color w:val="auto"/>
              </w:rPr>
            </w:pPr>
            <w:r>
              <w:rPr>
                <w:rFonts w:hint="eastAsia"/>
                <w:color w:val="auto"/>
              </w:rPr>
              <w:t>地形</w:t>
            </w:r>
          </w:p>
        </w:tc>
        <w:tc>
          <w:tcPr>
            <w:tcW w:w="1709" w:type="dxa"/>
            <w:vAlign w:val="center"/>
          </w:tcPr>
          <w:p w14:paraId="4246A172">
            <w:pPr>
              <w:pStyle w:val="94"/>
              <w:rPr>
                <w:color w:val="auto"/>
              </w:rPr>
            </w:pPr>
            <w:r>
              <w:rPr>
                <w:rFonts w:hint="eastAsia"/>
                <w:color w:val="auto"/>
              </w:rPr>
              <w:t>沟谷</w:t>
            </w:r>
          </w:p>
        </w:tc>
        <w:tc>
          <w:tcPr>
            <w:tcW w:w="1710" w:type="dxa"/>
            <w:vAlign w:val="center"/>
          </w:tcPr>
          <w:p w14:paraId="2AAC6117">
            <w:pPr>
              <w:pStyle w:val="94"/>
              <w:rPr>
                <w:color w:val="auto"/>
              </w:rPr>
            </w:pPr>
            <w:r>
              <w:rPr>
                <w:rFonts w:hint="eastAsia"/>
                <w:color w:val="auto"/>
              </w:rPr>
              <w:t>群系</w:t>
            </w:r>
          </w:p>
        </w:tc>
        <w:tc>
          <w:tcPr>
            <w:tcW w:w="1764" w:type="dxa"/>
            <w:vAlign w:val="center"/>
          </w:tcPr>
          <w:p w14:paraId="32157E8E">
            <w:pPr>
              <w:pStyle w:val="94"/>
              <w:rPr>
                <w:color w:val="auto"/>
              </w:rPr>
            </w:pPr>
            <w:r>
              <w:rPr>
                <w:rFonts w:hint="eastAsia"/>
                <w:color w:val="auto"/>
              </w:rPr>
              <w:t>蒿草草丛</w:t>
            </w:r>
          </w:p>
        </w:tc>
      </w:tr>
      <w:tr w14:paraId="6C29C8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832" w:type="dxa"/>
            <w:vAlign w:val="center"/>
          </w:tcPr>
          <w:p w14:paraId="3A4672A8">
            <w:pPr>
              <w:pStyle w:val="94"/>
              <w:rPr>
                <w:color w:val="auto"/>
              </w:rPr>
            </w:pPr>
            <w:r>
              <w:rPr>
                <w:rFonts w:hint="eastAsia"/>
                <w:color w:val="auto"/>
              </w:rPr>
              <w:t>植被总盖度</w:t>
            </w:r>
          </w:p>
        </w:tc>
        <w:tc>
          <w:tcPr>
            <w:tcW w:w="1707" w:type="dxa"/>
            <w:vAlign w:val="center"/>
          </w:tcPr>
          <w:p w14:paraId="3BA97CDC">
            <w:pPr>
              <w:pStyle w:val="94"/>
              <w:rPr>
                <w:color w:val="auto"/>
              </w:rPr>
            </w:pPr>
            <w:r>
              <w:rPr>
                <w:rFonts w:hint="eastAsia"/>
                <w:color w:val="auto"/>
              </w:rPr>
              <w:t>95%</w:t>
            </w:r>
          </w:p>
        </w:tc>
        <w:tc>
          <w:tcPr>
            <w:tcW w:w="1710" w:type="dxa"/>
            <w:vAlign w:val="center"/>
          </w:tcPr>
          <w:p w14:paraId="7027D7FD">
            <w:pPr>
              <w:pStyle w:val="94"/>
              <w:rPr>
                <w:color w:val="auto"/>
              </w:rPr>
            </w:pPr>
            <w:r>
              <w:rPr>
                <w:rFonts w:hint="eastAsia"/>
                <w:color w:val="auto"/>
              </w:rPr>
              <w:t>经纬度坐标</w:t>
            </w:r>
          </w:p>
        </w:tc>
        <w:tc>
          <w:tcPr>
            <w:tcW w:w="5183" w:type="dxa"/>
            <w:gridSpan w:val="3"/>
            <w:vAlign w:val="center"/>
          </w:tcPr>
          <w:p w14:paraId="4395FD78">
            <w:pPr>
              <w:pStyle w:val="94"/>
              <w:rPr>
                <w:color w:val="auto"/>
              </w:rPr>
            </w:pPr>
            <w:r>
              <w:rPr>
                <w:color w:val="auto"/>
              </w:rPr>
              <w:t>E110.86868°；N38.4065272°</w:t>
            </w:r>
          </w:p>
        </w:tc>
      </w:tr>
      <w:tr w14:paraId="772B45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32" w:type="dxa"/>
            <w:vAlign w:val="center"/>
          </w:tcPr>
          <w:p w14:paraId="19FCA8AB">
            <w:pPr>
              <w:pStyle w:val="94"/>
              <w:rPr>
                <w:color w:val="auto"/>
              </w:rPr>
            </w:pPr>
            <w:r>
              <w:rPr>
                <w:rFonts w:hint="eastAsia"/>
                <w:color w:val="auto"/>
              </w:rPr>
              <w:t>序号</w:t>
            </w:r>
          </w:p>
        </w:tc>
        <w:tc>
          <w:tcPr>
            <w:tcW w:w="1707" w:type="dxa"/>
            <w:vAlign w:val="center"/>
          </w:tcPr>
          <w:p w14:paraId="0CDF7261">
            <w:pPr>
              <w:pStyle w:val="94"/>
              <w:rPr>
                <w:color w:val="auto"/>
              </w:rPr>
            </w:pPr>
            <w:r>
              <w:rPr>
                <w:rFonts w:hint="eastAsia"/>
                <w:color w:val="auto"/>
              </w:rPr>
              <w:t>植物名称</w:t>
            </w:r>
          </w:p>
        </w:tc>
        <w:tc>
          <w:tcPr>
            <w:tcW w:w="3419" w:type="dxa"/>
            <w:gridSpan w:val="2"/>
            <w:vAlign w:val="center"/>
          </w:tcPr>
          <w:p w14:paraId="7333A6F0">
            <w:pPr>
              <w:pStyle w:val="94"/>
              <w:rPr>
                <w:color w:val="auto"/>
              </w:rPr>
            </w:pPr>
            <w:r>
              <w:rPr>
                <w:rFonts w:hint="eastAsia"/>
                <w:color w:val="auto"/>
              </w:rPr>
              <w:t>高度（cm）</w:t>
            </w:r>
          </w:p>
        </w:tc>
        <w:tc>
          <w:tcPr>
            <w:tcW w:w="1710" w:type="dxa"/>
            <w:vAlign w:val="center"/>
          </w:tcPr>
          <w:p w14:paraId="1F982BC4">
            <w:pPr>
              <w:pStyle w:val="94"/>
              <w:rPr>
                <w:color w:val="auto"/>
              </w:rPr>
            </w:pPr>
            <w:r>
              <w:rPr>
                <w:rFonts w:hint="eastAsia"/>
                <w:color w:val="auto"/>
              </w:rPr>
              <w:t>盖度（%）</w:t>
            </w:r>
          </w:p>
        </w:tc>
        <w:tc>
          <w:tcPr>
            <w:tcW w:w="1764" w:type="dxa"/>
            <w:vAlign w:val="center"/>
          </w:tcPr>
          <w:p w14:paraId="2BD3CB4E">
            <w:pPr>
              <w:pStyle w:val="94"/>
              <w:rPr>
                <w:color w:val="auto"/>
              </w:rPr>
            </w:pPr>
            <w:r>
              <w:rPr>
                <w:rFonts w:hint="eastAsia"/>
                <w:color w:val="auto"/>
              </w:rPr>
              <w:t>株数（个）</w:t>
            </w:r>
          </w:p>
        </w:tc>
      </w:tr>
      <w:tr w14:paraId="48B44D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32" w:type="dxa"/>
            <w:vAlign w:val="center"/>
          </w:tcPr>
          <w:p w14:paraId="521BFB19">
            <w:pPr>
              <w:pStyle w:val="94"/>
              <w:rPr>
                <w:color w:val="auto"/>
              </w:rPr>
            </w:pPr>
            <w:r>
              <w:rPr>
                <w:rFonts w:hint="eastAsia"/>
                <w:color w:val="auto"/>
              </w:rPr>
              <w:t>1</w:t>
            </w:r>
          </w:p>
        </w:tc>
        <w:tc>
          <w:tcPr>
            <w:tcW w:w="1707" w:type="dxa"/>
            <w:vAlign w:val="center"/>
          </w:tcPr>
          <w:p w14:paraId="167CC96C">
            <w:pPr>
              <w:pStyle w:val="94"/>
              <w:rPr>
                <w:color w:val="auto"/>
              </w:rPr>
            </w:pPr>
            <w:r>
              <w:rPr>
                <w:rFonts w:hint="eastAsia"/>
                <w:color w:val="auto"/>
              </w:rPr>
              <w:t>华北米蒿</w:t>
            </w:r>
          </w:p>
        </w:tc>
        <w:tc>
          <w:tcPr>
            <w:tcW w:w="3419" w:type="dxa"/>
            <w:gridSpan w:val="2"/>
            <w:vAlign w:val="center"/>
          </w:tcPr>
          <w:p w14:paraId="4C47F7D2">
            <w:pPr>
              <w:pStyle w:val="94"/>
              <w:rPr>
                <w:color w:val="auto"/>
              </w:rPr>
            </w:pPr>
            <w:r>
              <w:rPr>
                <w:rFonts w:hint="eastAsia"/>
                <w:color w:val="auto"/>
              </w:rPr>
              <w:t>50~60</w:t>
            </w:r>
          </w:p>
        </w:tc>
        <w:tc>
          <w:tcPr>
            <w:tcW w:w="1710" w:type="dxa"/>
            <w:vAlign w:val="center"/>
          </w:tcPr>
          <w:p w14:paraId="7FFB06FB">
            <w:pPr>
              <w:pStyle w:val="94"/>
              <w:rPr>
                <w:color w:val="auto"/>
              </w:rPr>
            </w:pPr>
            <w:r>
              <w:rPr>
                <w:rFonts w:hint="eastAsia"/>
                <w:color w:val="auto"/>
              </w:rPr>
              <w:t>90</w:t>
            </w:r>
          </w:p>
        </w:tc>
        <w:tc>
          <w:tcPr>
            <w:tcW w:w="1764" w:type="dxa"/>
            <w:vAlign w:val="center"/>
          </w:tcPr>
          <w:p w14:paraId="5C47C743">
            <w:pPr>
              <w:pStyle w:val="94"/>
              <w:rPr>
                <w:color w:val="auto"/>
              </w:rPr>
            </w:pPr>
            <w:r>
              <w:rPr>
                <w:rFonts w:hint="eastAsia"/>
                <w:color w:val="auto"/>
              </w:rPr>
              <w:t>15</w:t>
            </w:r>
          </w:p>
        </w:tc>
      </w:tr>
      <w:tr w14:paraId="7FB942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6" w:hRule="atLeast"/>
        </w:trPr>
        <w:tc>
          <w:tcPr>
            <w:tcW w:w="1832" w:type="dxa"/>
            <w:vAlign w:val="center"/>
          </w:tcPr>
          <w:p w14:paraId="4817949E">
            <w:pPr>
              <w:pStyle w:val="94"/>
              <w:rPr>
                <w:color w:val="auto"/>
              </w:rPr>
            </w:pPr>
            <w:r>
              <w:rPr>
                <w:rFonts w:hint="eastAsia"/>
                <w:color w:val="auto"/>
              </w:rPr>
              <w:t>2</w:t>
            </w:r>
          </w:p>
        </w:tc>
        <w:tc>
          <w:tcPr>
            <w:tcW w:w="1707" w:type="dxa"/>
            <w:vAlign w:val="center"/>
          </w:tcPr>
          <w:p w14:paraId="4BAD5162">
            <w:pPr>
              <w:pStyle w:val="94"/>
              <w:rPr>
                <w:color w:val="auto"/>
              </w:rPr>
            </w:pPr>
            <w:r>
              <w:rPr>
                <w:rFonts w:hint="eastAsia"/>
                <w:color w:val="auto"/>
              </w:rPr>
              <w:t>圆叶牵牛</w:t>
            </w:r>
          </w:p>
        </w:tc>
        <w:tc>
          <w:tcPr>
            <w:tcW w:w="3419" w:type="dxa"/>
            <w:gridSpan w:val="2"/>
            <w:vAlign w:val="center"/>
          </w:tcPr>
          <w:p w14:paraId="5317EA3A">
            <w:pPr>
              <w:pStyle w:val="94"/>
              <w:rPr>
                <w:color w:val="auto"/>
              </w:rPr>
            </w:pPr>
            <w:r>
              <w:rPr>
                <w:rFonts w:hint="eastAsia"/>
                <w:color w:val="auto"/>
              </w:rPr>
              <w:t>10~15</w:t>
            </w:r>
          </w:p>
        </w:tc>
        <w:tc>
          <w:tcPr>
            <w:tcW w:w="1710" w:type="dxa"/>
            <w:vAlign w:val="center"/>
          </w:tcPr>
          <w:p w14:paraId="578193CD">
            <w:pPr>
              <w:pStyle w:val="94"/>
              <w:rPr>
                <w:color w:val="auto"/>
              </w:rPr>
            </w:pPr>
            <w:r>
              <w:rPr>
                <w:rFonts w:hint="eastAsia"/>
                <w:color w:val="auto"/>
              </w:rPr>
              <w:t>/</w:t>
            </w:r>
          </w:p>
        </w:tc>
        <w:tc>
          <w:tcPr>
            <w:tcW w:w="1764" w:type="dxa"/>
            <w:vAlign w:val="center"/>
          </w:tcPr>
          <w:p w14:paraId="21100C6C">
            <w:pPr>
              <w:pStyle w:val="94"/>
              <w:rPr>
                <w:color w:val="auto"/>
              </w:rPr>
            </w:pPr>
            <w:r>
              <w:rPr>
                <w:rFonts w:hint="eastAsia"/>
                <w:color w:val="auto"/>
              </w:rPr>
              <w:t>2</w:t>
            </w:r>
          </w:p>
        </w:tc>
      </w:tr>
      <w:tr w14:paraId="112B23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32" w:type="dxa"/>
            <w:vAlign w:val="center"/>
          </w:tcPr>
          <w:p w14:paraId="0142D6CF">
            <w:pPr>
              <w:pStyle w:val="94"/>
              <w:rPr>
                <w:color w:val="auto"/>
              </w:rPr>
            </w:pPr>
            <w:r>
              <w:rPr>
                <w:rFonts w:hint="eastAsia"/>
                <w:color w:val="auto"/>
              </w:rPr>
              <w:t>3</w:t>
            </w:r>
          </w:p>
        </w:tc>
        <w:tc>
          <w:tcPr>
            <w:tcW w:w="1707" w:type="dxa"/>
            <w:vAlign w:val="center"/>
          </w:tcPr>
          <w:p w14:paraId="7C377DDD">
            <w:pPr>
              <w:pStyle w:val="94"/>
              <w:rPr>
                <w:color w:val="auto"/>
              </w:rPr>
            </w:pPr>
            <w:r>
              <w:rPr>
                <w:rFonts w:hint="eastAsia"/>
                <w:color w:val="auto"/>
              </w:rPr>
              <w:t>狗尾草</w:t>
            </w:r>
          </w:p>
        </w:tc>
        <w:tc>
          <w:tcPr>
            <w:tcW w:w="3419" w:type="dxa"/>
            <w:gridSpan w:val="2"/>
            <w:vAlign w:val="center"/>
          </w:tcPr>
          <w:p w14:paraId="77E4901A">
            <w:pPr>
              <w:pStyle w:val="94"/>
              <w:rPr>
                <w:color w:val="auto"/>
              </w:rPr>
            </w:pPr>
            <w:r>
              <w:rPr>
                <w:rFonts w:hint="eastAsia"/>
                <w:color w:val="auto"/>
              </w:rPr>
              <w:t>20-30</w:t>
            </w:r>
          </w:p>
        </w:tc>
        <w:tc>
          <w:tcPr>
            <w:tcW w:w="1710" w:type="dxa"/>
            <w:vAlign w:val="center"/>
          </w:tcPr>
          <w:p w14:paraId="167934C0">
            <w:pPr>
              <w:pStyle w:val="94"/>
              <w:rPr>
                <w:color w:val="auto"/>
              </w:rPr>
            </w:pPr>
            <w:r>
              <w:rPr>
                <w:rFonts w:hint="eastAsia"/>
                <w:color w:val="auto"/>
              </w:rPr>
              <w:t>5</w:t>
            </w:r>
          </w:p>
        </w:tc>
        <w:tc>
          <w:tcPr>
            <w:tcW w:w="1764" w:type="dxa"/>
            <w:vAlign w:val="center"/>
          </w:tcPr>
          <w:p w14:paraId="42E9749A">
            <w:pPr>
              <w:pStyle w:val="94"/>
              <w:rPr>
                <w:color w:val="auto"/>
              </w:rPr>
            </w:pPr>
            <w:r>
              <w:rPr>
                <w:rFonts w:hint="eastAsia"/>
                <w:color w:val="auto"/>
              </w:rPr>
              <w:t>8</w:t>
            </w:r>
          </w:p>
        </w:tc>
      </w:tr>
      <w:tr w14:paraId="3CFA38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32" w:type="dxa"/>
            <w:vAlign w:val="center"/>
          </w:tcPr>
          <w:p w14:paraId="3EF99F4D">
            <w:pPr>
              <w:pStyle w:val="94"/>
              <w:rPr>
                <w:color w:val="auto"/>
              </w:rPr>
            </w:pPr>
            <w:r>
              <w:rPr>
                <w:rFonts w:hint="eastAsia"/>
                <w:color w:val="auto"/>
              </w:rPr>
              <w:t>4</w:t>
            </w:r>
          </w:p>
        </w:tc>
        <w:tc>
          <w:tcPr>
            <w:tcW w:w="1707" w:type="dxa"/>
            <w:vAlign w:val="center"/>
          </w:tcPr>
          <w:p w14:paraId="09611D00">
            <w:pPr>
              <w:pStyle w:val="94"/>
              <w:rPr>
                <w:color w:val="auto"/>
              </w:rPr>
            </w:pPr>
            <w:r>
              <w:rPr>
                <w:rFonts w:hint="eastAsia"/>
                <w:color w:val="auto"/>
              </w:rPr>
              <w:t>针茅</w:t>
            </w:r>
          </w:p>
        </w:tc>
        <w:tc>
          <w:tcPr>
            <w:tcW w:w="3419" w:type="dxa"/>
            <w:gridSpan w:val="2"/>
            <w:vAlign w:val="center"/>
          </w:tcPr>
          <w:p w14:paraId="6DA23C2C">
            <w:pPr>
              <w:pStyle w:val="94"/>
              <w:rPr>
                <w:color w:val="auto"/>
              </w:rPr>
            </w:pPr>
            <w:r>
              <w:rPr>
                <w:rFonts w:hint="eastAsia"/>
                <w:color w:val="auto"/>
              </w:rPr>
              <w:t>20-30</w:t>
            </w:r>
          </w:p>
        </w:tc>
        <w:tc>
          <w:tcPr>
            <w:tcW w:w="1710" w:type="dxa"/>
            <w:vAlign w:val="center"/>
          </w:tcPr>
          <w:p w14:paraId="03EB6683">
            <w:pPr>
              <w:pStyle w:val="94"/>
              <w:rPr>
                <w:color w:val="auto"/>
              </w:rPr>
            </w:pPr>
            <w:r>
              <w:rPr>
                <w:rFonts w:hint="eastAsia"/>
                <w:color w:val="auto"/>
              </w:rPr>
              <w:t>/</w:t>
            </w:r>
          </w:p>
        </w:tc>
        <w:tc>
          <w:tcPr>
            <w:tcW w:w="1764" w:type="dxa"/>
            <w:vAlign w:val="center"/>
          </w:tcPr>
          <w:p w14:paraId="78C8733F">
            <w:pPr>
              <w:pStyle w:val="94"/>
              <w:rPr>
                <w:color w:val="auto"/>
              </w:rPr>
            </w:pPr>
            <w:r>
              <w:rPr>
                <w:rFonts w:hint="eastAsia"/>
                <w:color w:val="auto"/>
              </w:rPr>
              <w:t>2</w:t>
            </w:r>
          </w:p>
        </w:tc>
      </w:tr>
    </w:tbl>
    <w:p w14:paraId="66663AC1">
      <w:pPr>
        <w:pStyle w:val="19"/>
        <w:keepNext/>
      </w:pPr>
      <w:r>
        <w:t xml:space="preserve">表 </w:t>
      </w:r>
      <w:r>
        <w:fldChar w:fldCharType="begin"/>
      </w:r>
      <w:r>
        <w:instrText xml:space="preserve"> SEQ 表 \* ARABIC </w:instrText>
      </w:r>
      <w:r>
        <w:fldChar w:fldCharType="separate"/>
      </w:r>
      <w:r>
        <w:t>59</w:t>
      </w:r>
      <w:r>
        <w:fldChar w:fldCharType="end"/>
      </w:r>
      <w:r>
        <w:rPr>
          <w:rFonts w:hint="eastAsia"/>
        </w:rPr>
        <w:t>群落样方编号</w:t>
      </w:r>
      <w:r>
        <w:t>3</w:t>
      </w:r>
    </w:p>
    <w:tbl>
      <w:tblPr>
        <w:tblStyle w:val="73"/>
        <w:tblW w:w="4999"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81"/>
        <w:gridCol w:w="1944"/>
        <w:gridCol w:w="1750"/>
        <w:gridCol w:w="1749"/>
        <w:gridCol w:w="1750"/>
        <w:gridCol w:w="1806"/>
      </w:tblGrid>
      <w:tr w14:paraId="587883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642" w:type="dxa"/>
            <w:vAlign w:val="center"/>
          </w:tcPr>
          <w:p w14:paraId="7AE8DE78">
            <w:pPr>
              <w:pStyle w:val="94"/>
              <w:rPr>
                <w:color w:val="auto"/>
              </w:rPr>
            </w:pPr>
            <w:r>
              <w:rPr>
                <w:rFonts w:hint="eastAsia"/>
                <w:color w:val="auto"/>
              </w:rPr>
              <w:t>调查日期</w:t>
            </w:r>
          </w:p>
        </w:tc>
        <w:tc>
          <w:tcPr>
            <w:tcW w:w="1899" w:type="dxa"/>
            <w:vAlign w:val="center"/>
          </w:tcPr>
          <w:p w14:paraId="52AB920F">
            <w:pPr>
              <w:pStyle w:val="94"/>
              <w:rPr>
                <w:color w:val="auto"/>
              </w:rPr>
            </w:pPr>
            <w:r>
              <w:rPr>
                <w:rFonts w:hint="eastAsia"/>
                <w:color w:val="auto"/>
              </w:rPr>
              <w:t>2023-9-</w:t>
            </w:r>
            <w:r>
              <w:rPr>
                <w:color w:val="auto"/>
              </w:rPr>
              <w:t>16</w:t>
            </w:r>
          </w:p>
        </w:tc>
        <w:tc>
          <w:tcPr>
            <w:tcW w:w="1710" w:type="dxa"/>
            <w:vAlign w:val="center"/>
          </w:tcPr>
          <w:p w14:paraId="1B0F3C04">
            <w:pPr>
              <w:pStyle w:val="94"/>
              <w:rPr>
                <w:color w:val="auto"/>
              </w:rPr>
            </w:pPr>
            <w:r>
              <w:rPr>
                <w:rFonts w:hint="eastAsia"/>
                <w:color w:val="auto"/>
              </w:rPr>
              <w:t>调查地点</w:t>
            </w:r>
          </w:p>
        </w:tc>
        <w:tc>
          <w:tcPr>
            <w:tcW w:w="1709" w:type="dxa"/>
            <w:vAlign w:val="center"/>
          </w:tcPr>
          <w:p w14:paraId="327E34E1">
            <w:pPr>
              <w:pStyle w:val="94"/>
              <w:rPr>
                <w:color w:val="auto"/>
              </w:rPr>
            </w:pPr>
            <w:r>
              <w:rPr>
                <w:color w:val="auto"/>
              </w:rPr>
              <w:t>LXD12-26</w:t>
            </w:r>
            <w:r>
              <w:rPr>
                <w:rStyle w:val="92"/>
                <w:rFonts w:hint="default" w:cs="Arial"/>
                <w:b w:val="0"/>
                <w:bCs/>
                <w:color w:val="auto"/>
              </w:rPr>
              <w:t>井场</w:t>
            </w:r>
          </w:p>
        </w:tc>
        <w:tc>
          <w:tcPr>
            <w:tcW w:w="1710" w:type="dxa"/>
            <w:vAlign w:val="center"/>
          </w:tcPr>
          <w:p w14:paraId="2EBF63E5">
            <w:pPr>
              <w:pStyle w:val="94"/>
              <w:rPr>
                <w:color w:val="auto"/>
              </w:rPr>
            </w:pPr>
            <w:r>
              <w:rPr>
                <w:rFonts w:hint="eastAsia"/>
                <w:color w:val="auto"/>
              </w:rPr>
              <w:t>样方面积</w:t>
            </w:r>
          </w:p>
        </w:tc>
        <w:tc>
          <w:tcPr>
            <w:tcW w:w="1764" w:type="dxa"/>
            <w:vAlign w:val="center"/>
          </w:tcPr>
          <w:p w14:paraId="7F681EF4">
            <w:pPr>
              <w:pStyle w:val="94"/>
              <w:rPr>
                <w:color w:val="auto"/>
              </w:rPr>
            </w:pPr>
            <w:r>
              <w:rPr>
                <w:rFonts w:hint="eastAsia"/>
                <w:color w:val="auto"/>
              </w:rPr>
              <w:t>1m×1m</w:t>
            </w:r>
          </w:p>
        </w:tc>
      </w:tr>
      <w:tr w14:paraId="28C7B1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642" w:type="dxa"/>
            <w:vAlign w:val="center"/>
          </w:tcPr>
          <w:p w14:paraId="226837B7">
            <w:pPr>
              <w:pStyle w:val="94"/>
              <w:rPr>
                <w:color w:val="auto"/>
              </w:rPr>
            </w:pPr>
            <w:r>
              <w:rPr>
                <w:rFonts w:hint="eastAsia"/>
                <w:color w:val="auto"/>
              </w:rPr>
              <w:t>海拔高度</w:t>
            </w:r>
          </w:p>
        </w:tc>
        <w:tc>
          <w:tcPr>
            <w:tcW w:w="1899" w:type="dxa"/>
            <w:vAlign w:val="center"/>
          </w:tcPr>
          <w:p w14:paraId="132E2D51">
            <w:pPr>
              <w:pStyle w:val="94"/>
              <w:rPr>
                <w:color w:val="auto"/>
              </w:rPr>
            </w:pPr>
            <w:r>
              <w:rPr>
                <w:color w:val="auto"/>
              </w:rPr>
              <w:t>1017m</w:t>
            </w:r>
          </w:p>
        </w:tc>
        <w:tc>
          <w:tcPr>
            <w:tcW w:w="1710" w:type="dxa"/>
            <w:vAlign w:val="center"/>
          </w:tcPr>
          <w:p w14:paraId="6D8D3AFD">
            <w:pPr>
              <w:pStyle w:val="94"/>
              <w:rPr>
                <w:color w:val="auto"/>
              </w:rPr>
            </w:pPr>
            <w:r>
              <w:rPr>
                <w:rFonts w:hint="eastAsia"/>
                <w:color w:val="auto"/>
              </w:rPr>
              <w:t>坡度</w:t>
            </w:r>
          </w:p>
        </w:tc>
        <w:tc>
          <w:tcPr>
            <w:tcW w:w="1709" w:type="dxa"/>
            <w:vAlign w:val="center"/>
          </w:tcPr>
          <w:p w14:paraId="5E1CEF73">
            <w:pPr>
              <w:pStyle w:val="94"/>
              <w:rPr>
                <w:color w:val="auto"/>
              </w:rPr>
            </w:pPr>
            <w:r>
              <w:rPr>
                <w:color w:val="auto"/>
              </w:rPr>
              <w:t>45</w:t>
            </w:r>
            <w:r>
              <w:rPr>
                <w:rFonts w:hint="eastAsia"/>
                <w:color w:val="auto"/>
              </w:rPr>
              <w:t>°</w:t>
            </w:r>
          </w:p>
        </w:tc>
        <w:tc>
          <w:tcPr>
            <w:tcW w:w="1710" w:type="dxa"/>
            <w:vAlign w:val="center"/>
          </w:tcPr>
          <w:p w14:paraId="171AEC37">
            <w:pPr>
              <w:pStyle w:val="94"/>
              <w:rPr>
                <w:color w:val="auto"/>
              </w:rPr>
            </w:pPr>
            <w:r>
              <w:rPr>
                <w:rFonts w:hint="eastAsia"/>
                <w:color w:val="auto"/>
              </w:rPr>
              <w:t>坡向</w:t>
            </w:r>
          </w:p>
        </w:tc>
        <w:tc>
          <w:tcPr>
            <w:tcW w:w="1764" w:type="dxa"/>
            <w:vAlign w:val="center"/>
          </w:tcPr>
          <w:p w14:paraId="7EE4C0DC">
            <w:pPr>
              <w:pStyle w:val="94"/>
              <w:rPr>
                <w:color w:val="auto"/>
              </w:rPr>
            </w:pPr>
            <w:r>
              <w:rPr>
                <w:rFonts w:hint="eastAsia"/>
                <w:color w:val="auto"/>
              </w:rPr>
              <w:t>S</w:t>
            </w:r>
          </w:p>
        </w:tc>
      </w:tr>
      <w:tr w14:paraId="47F4D0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642" w:type="dxa"/>
            <w:vAlign w:val="center"/>
          </w:tcPr>
          <w:p w14:paraId="0FF8407F">
            <w:pPr>
              <w:pStyle w:val="94"/>
              <w:rPr>
                <w:color w:val="auto"/>
              </w:rPr>
            </w:pPr>
            <w:r>
              <w:rPr>
                <w:rFonts w:hint="eastAsia"/>
                <w:color w:val="auto"/>
              </w:rPr>
              <w:t>土壤类型</w:t>
            </w:r>
          </w:p>
        </w:tc>
        <w:tc>
          <w:tcPr>
            <w:tcW w:w="1899" w:type="dxa"/>
            <w:vAlign w:val="center"/>
          </w:tcPr>
          <w:p w14:paraId="41CF0B46">
            <w:pPr>
              <w:pStyle w:val="94"/>
              <w:rPr>
                <w:color w:val="auto"/>
              </w:rPr>
            </w:pPr>
            <w:r>
              <w:rPr>
                <w:rFonts w:hint="eastAsia"/>
                <w:color w:val="auto"/>
              </w:rPr>
              <w:t>黄绵土</w:t>
            </w:r>
          </w:p>
        </w:tc>
        <w:tc>
          <w:tcPr>
            <w:tcW w:w="1710" w:type="dxa"/>
            <w:vAlign w:val="center"/>
          </w:tcPr>
          <w:p w14:paraId="3EF04CAE">
            <w:pPr>
              <w:pStyle w:val="94"/>
              <w:rPr>
                <w:color w:val="auto"/>
              </w:rPr>
            </w:pPr>
            <w:r>
              <w:rPr>
                <w:rFonts w:hint="eastAsia"/>
                <w:color w:val="auto"/>
              </w:rPr>
              <w:t>地形</w:t>
            </w:r>
          </w:p>
        </w:tc>
        <w:tc>
          <w:tcPr>
            <w:tcW w:w="1709" w:type="dxa"/>
            <w:vAlign w:val="center"/>
          </w:tcPr>
          <w:p w14:paraId="23BA774B">
            <w:pPr>
              <w:pStyle w:val="94"/>
              <w:rPr>
                <w:color w:val="auto"/>
              </w:rPr>
            </w:pPr>
            <w:r>
              <w:rPr>
                <w:rFonts w:hint="eastAsia"/>
                <w:color w:val="auto"/>
              </w:rPr>
              <w:t>阳坡</w:t>
            </w:r>
          </w:p>
        </w:tc>
        <w:tc>
          <w:tcPr>
            <w:tcW w:w="1710" w:type="dxa"/>
            <w:vAlign w:val="center"/>
          </w:tcPr>
          <w:p w14:paraId="437F480B">
            <w:pPr>
              <w:pStyle w:val="94"/>
              <w:rPr>
                <w:color w:val="auto"/>
              </w:rPr>
            </w:pPr>
            <w:r>
              <w:rPr>
                <w:rFonts w:hint="eastAsia"/>
                <w:color w:val="auto"/>
              </w:rPr>
              <w:t>群系</w:t>
            </w:r>
          </w:p>
        </w:tc>
        <w:tc>
          <w:tcPr>
            <w:tcW w:w="1764" w:type="dxa"/>
            <w:vAlign w:val="center"/>
          </w:tcPr>
          <w:p w14:paraId="04FBB8FF">
            <w:pPr>
              <w:pStyle w:val="94"/>
              <w:rPr>
                <w:color w:val="auto"/>
              </w:rPr>
            </w:pPr>
            <w:r>
              <w:rPr>
                <w:rFonts w:hint="eastAsia"/>
                <w:color w:val="auto"/>
              </w:rPr>
              <w:t>蒿草草丛</w:t>
            </w:r>
          </w:p>
        </w:tc>
      </w:tr>
      <w:tr w14:paraId="74822F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642" w:type="dxa"/>
            <w:vAlign w:val="center"/>
          </w:tcPr>
          <w:p w14:paraId="15FB0ADD">
            <w:pPr>
              <w:pStyle w:val="94"/>
              <w:rPr>
                <w:color w:val="auto"/>
              </w:rPr>
            </w:pPr>
            <w:r>
              <w:rPr>
                <w:rFonts w:hint="eastAsia"/>
                <w:color w:val="auto"/>
              </w:rPr>
              <w:t>植被总盖度</w:t>
            </w:r>
          </w:p>
        </w:tc>
        <w:tc>
          <w:tcPr>
            <w:tcW w:w="1899" w:type="dxa"/>
            <w:vAlign w:val="center"/>
          </w:tcPr>
          <w:p w14:paraId="5ADC7136">
            <w:pPr>
              <w:pStyle w:val="94"/>
              <w:rPr>
                <w:color w:val="auto"/>
              </w:rPr>
            </w:pPr>
            <w:r>
              <w:rPr>
                <w:rFonts w:hint="eastAsia"/>
                <w:color w:val="auto"/>
              </w:rPr>
              <w:t>95%</w:t>
            </w:r>
          </w:p>
        </w:tc>
        <w:tc>
          <w:tcPr>
            <w:tcW w:w="1710" w:type="dxa"/>
            <w:vAlign w:val="center"/>
          </w:tcPr>
          <w:p w14:paraId="55F015E8">
            <w:pPr>
              <w:pStyle w:val="94"/>
              <w:rPr>
                <w:color w:val="auto"/>
              </w:rPr>
            </w:pPr>
            <w:r>
              <w:rPr>
                <w:rFonts w:hint="eastAsia"/>
                <w:color w:val="auto"/>
              </w:rPr>
              <w:t>经纬度坐标</w:t>
            </w:r>
          </w:p>
        </w:tc>
        <w:tc>
          <w:tcPr>
            <w:tcW w:w="5183" w:type="dxa"/>
            <w:gridSpan w:val="3"/>
            <w:vAlign w:val="center"/>
          </w:tcPr>
          <w:p w14:paraId="768557B2">
            <w:pPr>
              <w:pStyle w:val="94"/>
              <w:rPr>
                <w:color w:val="auto"/>
              </w:rPr>
            </w:pPr>
            <w:r>
              <w:rPr>
                <w:color w:val="auto"/>
              </w:rPr>
              <w:t>E110.92552°；N38.4418986°</w:t>
            </w:r>
          </w:p>
        </w:tc>
      </w:tr>
      <w:tr w14:paraId="57E8AB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642" w:type="dxa"/>
            <w:vAlign w:val="center"/>
          </w:tcPr>
          <w:p w14:paraId="4165AB80">
            <w:pPr>
              <w:pStyle w:val="94"/>
              <w:rPr>
                <w:color w:val="auto"/>
              </w:rPr>
            </w:pPr>
            <w:r>
              <w:rPr>
                <w:rFonts w:hint="eastAsia"/>
                <w:color w:val="auto"/>
              </w:rPr>
              <w:t>序号</w:t>
            </w:r>
          </w:p>
        </w:tc>
        <w:tc>
          <w:tcPr>
            <w:tcW w:w="1899" w:type="dxa"/>
            <w:vAlign w:val="center"/>
          </w:tcPr>
          <w:p w14:paraId="74713187">
            <w:pPr>
              <w:pStyle w:val="94"/>
              <w:rPr>
                <w:color w:val="auto"/>
              </w:rPr>
            </w:pPr>
            <w:r>
              <w:rPr>
                <w:rFonts w:hint="eastAsia"/>
                <w:color w:val="auto"/>
              </w:rPr>
              <w:t>植物名称</w:t>
            </w:r>
          </w:p>
        </w:tc>
        <w:tc>
          <w:tcPr>
            <w:tcW w:w="3419" w:type="dxa"/>
            <w:gridSpan w:val="2"/>
            <w:vAlign w:val="center"/>
          </w:tcPr>
          <w:p w14:paraId="3585F4B1">
            <w:pPr>
              <w:pStyle w:val="94"/>
              <w:rPr>
                <w:color w:val="auto"/>
              </w:rPr>
            </w:pPr>
            <w:r>
              <w:rPr>
                <w:rFonts w:hint="eastAsia"/>
                <w:color w:val="auto"/>
              </w:rPr>
              <w:t>高度（cm）</w:t>
            </w:r>
          </w:p>
        </w:tc>
        <w:tc>
          <w:tcPr>
            <w:tcW w:w="1710" w:type="dxa"/>
            <w:vAlign w:val="center"/>
          </w:tcPr>
          <w:p w14:paraId="6F08EC76">
            <w:pPr>
              <w:pStyle w:val="94"/>
              <w:rPr>
                <w:color w:val="auto"/>
              </w:rPr>
            </w:pPr>
            <w:r>
              <w:rPr>
                <w:rFonts w:hint="eastAsia"/>
                <w:color w:val="auto"/>
              </w:rPr>
              <w:t>盖度（%）</w:t>
            </w:r>
          </w:p>
        </w:tc>
        <w:tc>
          <w:tcPr>
            <w:tcW w:w="1764" w:type="dxa"/>
            <w:vAlign w:val="center"/>
          </w:tcPr>
          <w:p w14:paraId="4464539E">
            <w:pPr>
              <w:pStyle w:val="94"/>
              <w:rPr>
                <w:color w:val="auto"/>
              </w:rPr>
            </w:pPr>
            <w:r>
              <w:rPr>
                <w:rFonts w:hint="eastAsia"/>
                <w:color w:val="auto"/>
              </w:rPr>
              <w:t>株数（个）</w:t>
            </w:r>
          </w:p>
        </w:tc>
      </w:tr>
      <w:tr w14:paraId="0E3697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2" w:hRule="atLeast"/>
        </w:trPr>
        <w:tc>
          <w:tcPr>
            <w:tcW w:w="1642" w:type="dxa"/>
            <w:vAlign w:val="center"/>
          </w:tcPr>
          <w:p w14:paraId="14152FF9">
            <w:pPr>
              <w:pStyle w:val="94"/>
              <w:rPr>
                <w:color w:val="auto"/>
              </w:rPr>
            </w:pPr>
            <w:r>
              <w:rPr>
                <w:rFonts w:hint="eastAsia"/>
                <w:color w:val="auto"/>
              </w:rPr>
              <w:t>1</w:t>
            </w:r>
          </w:p>
        </w:tc>
        <w:tc>
          <w:tcPr>
            <w:tcW w:w="1899" w:type="dxa"/>
            <w:vAlign w:val="center"/>
          </w:tcPr>
          <w:p w14:paraId="0BDE2745">
            <w:pPr>
              <w:pStyle w:val="94"/>
              <w:rPr>
                <w:color w:val="auto"/>
              </w:rPr>
            </w:pPr>
            <w:r>
              <w:rPr>
                <w:rFonts w:hint="eastAsia"/>
                <w:color w:val="auto"/>
              </w:rPr>
              <w:t>华北米蒿</w:t>
            </w:r>
          </w:p>
        </w:tc>
        <w:tc>
          <w:tcPr>
            <w:tcW w:w="3419" w:type="dxa"/>
            <w:gridSpan w:val="2"/>
            <w:vAlign w:val="center"/>
          </w:tcPr>
          <w:p w14:paraId="6495444D">
            <w:pPr>
              <w:pStyle w:val="94"/>
              <w:rPr>
                <w:color w:val="auto"/>
              </w:rPr>
            </w:pPr>
            <w:r>
              <w:rPr>
                <w:rFonts w:hint="eastAsia"/>
                <w:color w:val="auto"/>
              </w:rPr>
              <w:t>30-50</w:t>
            </w:r>
          </w:p>
        </w:tc>
        <w:tc>
          <w:tcPr>
            <w:tcW w:w="1710" w:type="dxa"/>
            <w:vAlign w:val="center"/>
          </w:tcPr>
          <w:p w14:paraId="4D6A2DB1">
            <w:pPr>
              <w:pStyle w:val="94"/>
              <w:rPr>
                <w:color w:val="auto"/>
              </w:rPr>
            </w:pPr>
            <w:r>
              <w:rPr>
                <w:rFonts w:hint="eastAsia"/>
                <w:color w:val="auto"/>
              </w:rPr>
              <w:t>50</w:t>
            </w:r>
          </w:p>
        </w:tc>
        <w:tc>
          <w:tcPr>
            <w:tcW w:w="1764" w:type="dxa"/>
            <w:vAlign w:val="center"/>
          </w:tcPr>
          <w:p w14:paraId="7D67B278">
            <w:pPr>
              <w:pStyle w:val="94"/>
              <w:rPr>
                <w:color w:val="auto"/>
              </w:rPr>
            </w:pPr>
            <w:r>
              <w:rPr>
                <w:rFonts w:hint="eastAsia"/>
                <w:color w:val="auto"/>
              </w:rPr>
              <w:t>17</w:t>
            </w:r>
          </w:p>
        </w:tc>
      </w:tr>
      <w:tr w14:paraId="19D0E7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642" w:type="dxa"/>
            <w:vAlign w:val="center"/>
          </w:tcPr>
          <w:p w14:paraId="5F55ADF2">
            <w:pPr>
              <w:pStyle w:val="94"/>
              <w:rPr>
                <w:color w:val="auto"/>
              </w:rPr>
            </w:pPr>
            <w:r>
              <w:rPr>
                <w:rFonts w:hint="eastAsia"/>
                <w:color w:val="auto"/>
              </w:rPr>
              <w:t>2</w:t>
            </w:r>
          </w:p>
        </w:tc>
        <w:tc>
          <w:tcPr>
            <w:tcW w:w="1899" w:type="dxa"/>
            <w:vAlign w:val="center"/>
          </w:tcPr>
          <w:p w14:paraId="74FEF720">
            <w:pPr>
              <w:pStyle w:val="94"/>
              <w:rPr>
                <w:color w:val="auto"/>
              </w:rPr>
            </w:pPr>
            <w:r>
              <w:rPr>
                <w:rFonts w:hint="eastAsia"/>
                <w:color w:val="auto"/>
              </w:rPr>
              <w:t>乌头蛇叶葡萄</w:t>
            </w:r>
          </w:p>
        </w:tc>
        <w:tc>
          <w:tcPr>
            <w:tcW w:w="3419" w:type="dxa"/>
            <w:gridSpan w:val="2"/>
            <w:vAlign w:val="center"/>
          </w:tcPr>
          <w:p w14:paraId="745B7B23">
            <w:pPr>
              <w:pStyle w:val="94"/>
              <w:rPr>
                <w:color w:val="auto"/>
              </w:rPr>
            </w:pPr>
            <w:r>
              <w:rPr>
                <w:rFonts w:hint="eastAsia"/>
                <w:color w:val="auto"/>
              </w:rPr>
              <w:t>20~40</w:t>
            </w:r>
          </w:p>
        </w:tc>
        <w:tc>
          <w:tcPr>
            <w:tcW w:w="1710" w:type="dxa"/>
            <w:vAlign w:val="center"/>
          </w:tcPr>
          <w:p w14:paraId="748FD8EF">
            <w:pPr>
              <w:pStyle w:val="94"/>
              <w:rPr>
                <w:color w:val="auto"/>
              </w:rPr>
            </w:pPr>
            <w:r>
              <w:rPr>
                <w:rFonts w:hint="eastAsia"/>
                <w:color w:val="auto"/>
              </w:rPr>
              <w:t>40</w:t>
            </w:r>
          </w:p>
        </w:tc>
        <w:tc>
          <w:tcPr>
            <w:tcW w:w="1764" w:type="dxa"/>
            <w:vAlign w:val="center"/>
          </w:tcPr>
          <w:p w14:paraId="4D824654">
            <w:pPr>
              <w:pStyle w:val="94"/>
              <w:rPr>
                <w:color w:val="auto"/>
              </w:rPr>
            </w:pPr>
            <w:r>
              <w:rPr>
                <w:rFonts w:hint="eastAsia"/>
                <w:color w:val="auto"/>
              </w:rPr>
              <w:t>14</w:t>
            </w:r>
          </w:p>
        </w:tc>
      </w:tr>
      <w:tr w14:paraId="7CD613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642" w:type="dxa"/>
            <w:vAlign w:val="center"/>
          </w:tcPr>
          <w:p w14:paraId="7E5F0A2C">
            <w:pPr>
              <w:pStyle w:val="94"/>
              <w:rPr>
                <w:color w:val="auto"/>
              </w:rPr>
            </w:pPr>
            <w:r>
              <w:rPr>
                <w:rFonts w:hint="eastAsia"/>
                <w:color w:val="auto"/>
              </w:rPr>
              <w:t>3</w:t>
            </w:r>
          </w:p>
        </w:tc>
        <w:tc>
          <w:tcPr>
            <w:tcW w:w="1899" w:type="dxa"/>
            <w:vAlign w:val="center"/>
          </w:tcPr>
          <w:p w14:paraId="1F164355">
            <w:pPr>
              <w:pStyle w:val="94"/>
              <w:rPr>
                <w:color w:val="auto"/>
              </w:rPr>
            </w:pPr>
            <w:r>
              <w:rPr>
                <w:rFonts w:hint="eastAsia"/>
                <w:color w:val="auto"/>
              </w:rPr>
              <w:t>狗尾草</w:t>
            </w:r>
          </w:p>
        </w:tc>
        <w:tc>
          <w:tcPr>
            <w:tcW w:w="3419" w:type="dxa"/>
            <w:gridSpan w:val="2"/>
            <w:vAlign w:val="center"/>
          </w:tcPr>
          <w:p w14:paraId="3421C568">
            <w:pPr>
              <w:pStyle w:val="94"/>
              <w:rPr>
                <w:color w:val="auto"/>
              </w:rPr>
            </w:pPr>
            <w:r>
              <w:rPr>
                <w:rFonts w:hint="eastAsia"/>
                <w:color w:val="auto"/>
              </w:rPr>
              <w:t>10~30</w:t>
            </w:r>
          </w:p>
        </w:tc>
        <w:tc>
          <w:tcPr>
            <w:tcW w:w="1710" w:type="dxa"/>
            <w:vAlign w:val="center"/>
          </w:tcPr>
          <w:p w14:paraId="0E9F0319">
            <w:pPr>
              <w:pStyle w:val="94"/>
              <w:rPr>
                <w:color w:val="auto"/>
              </w:rPr>
            </w:pPr>
            <w:r>
              <w:rPr>
                <w:rFonts w:hint="eastAsia"/>
                <w:color w:val="auto"/>
              </w:rPr>
              <w:t>5</w:t>
            </w:r>
          </w:p>
        </w:tc>
        <w:tc>
          <w:tcPr>
            <w:tcW w:w="1764" w:type="dxa"/>
            <w:vAlign w:val="center"/>
          </w:tcPr>
          <w:p w14:paraId="0546812B">
            <w:pPr>
              <w:pStyle w:val="94"/>
              <w:rPr>
                <w:color w:val="auto"/>
              </w:rPr>
            </w:pPr>
            <w:r>
              <w:rPr>
                <w:rFonts w:hint="eastAsia"/>
                <w:color w:val="auto"/>
              </w:rPr>
              <w:t>4</w:t>
            </w:r>
          </w:p>
        </w:tc>
      </w:tr>
      <w:tr w14:paraId="6B71C7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642" w:type="dxa"/>
            <w:vAlign w:val="center"/>
          </w:tcPr>
          <w:p w14:paraId="3BA7CD66">
            <w:pPr>
              <w:pStyle w:val="94"/>
              <w:rPr>
                <w:color w:val="auto"/>
              </w:rPr>
            </w:pPr>
            <w:r>
              <w:rPr>
                <w:rFonts w:hint="eastAsia"/>
                <w:color w:val="auto"/>
              </w:rPr>
              <w:t>4</w:t>
            </w:r>
          </w:p>
        </w:tc>
        <w:tc>
          <w:tcPr>
            <w:tcW w:w="1899" w:type="dxa"/>
            <w:vAlign w:val="center"/>
          </w:tcPr>
          <w:p w14:paraId="2F7F8CC2">
            <w:pPr>
              <w:pStyle w:val="94"/>
              <w:rPr>
                <w:color w:val="auto"/>
              </w:rPr>
            </w:pPr>
            <w:r>
              <w:rPr>
                <w:rFonts w:hint="eastAsia"/>
                <w:color w:val="auto"/>
              </w:rPr>
              <w:t>阿尔泰狗娃花</w:t>
            </w:r>
          </w:p>
        </w:tc>
        <w:tc>
          <w:tcPr>
            <w:tcW w:w="3419" w:type="dxa"/>
            <w:gridSpan w:val="2"/>
            <w:vAlign w:val="center"/>
          </w:tcPr>
          <w:p w14:paraId="4B47CBFD">
            <w:pPr>
              <w:pStyle w:val="94"/>
              <w:rPr>
                <w:color w:val="auto"/>
              </w:rPr>
            </w:pPr>
            <w:r>
              <w:rPr>
                <w:rFonts w:hint="eastAsia"/>
                <w:color w:val="auto"/>
              </w:rPr>
              <w:t>20~40</w:t>
            </w:r>
          </w:p>
        </w:tc>
        <w:tc>
          <w:tcPr>
            <w:tcW w:w="1710" w:type="dxa"/>
            <w:vAlign w:val="center"/>
          </w:tcPr>
          <w:p w14:paraId="1C6976C3">
            <w:pPr>
              <w:pStyle w:val="94"/>
              <w:rPr>
                <w:color w:val="auto"/>
              </w:rPr>
            </w:pPr>
            <w:r>
              <w:rPr>
                <w:rFonts w:hint="eastAsia"/>
                <w:color w:val="auto"/>
              </w:rPr>
              <w:t>/</w:t>
            </w:r>
          </w:p>
        </w:tc>
        <w:tc>
          <w:tcPr>
            <w:tcW w:w="1764" w:type="dxa"/>
            <w:vAlign w:val="center"/>
          </w:tcPr>
          <w:p w14:paraId="14FDE61E">
            <w:pPr>
              <w:pStyle w:val="94"/>
              <w:rPr>
                <w:color w:val="auto"/>
              </w:rPr>
            </w:pPr>
            <w:r>
              <w:rPr>
                <w:rFonts w:hint="eastAsia"/>
                <w:color w:val="auto"/>
              </w:rPr>
              <w:t>1</w:t>
            </w:r>
          </w:p>
        </w:tc>
      </w:tr>
      <w:tr w14:paraId="4D685F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642" w:type="dxa"/>
            <w:vAlign w:val="center"/>
          </w:tcPr>
          <w:p w14:paraId="06F0A8E9">
            <w:pPr>
              <w:pStyle w:val="94"/>
              <w:rPr>
                <w:color w:val="auto"/>
              </w:rPr>
            </w:pPr>
            <w:r>
              <w:rPr>
                <w:rFonts w:hint="eastAsia"/>
                <w:color w:val="auto"/>
              </w:rPr>
              <w:t>5</w:t>
            </w:r>
          </w:p>
        </w:tc>
        <w:tc>
          <w:tcPr>
            <w:tcW w:w="1899" w:type="dxa"/>
            <w:vAlign w:val="center"/>
          </w:tcPr>
          <w:p w14:paraId="598CB268">
            <w:pPr>
              <w:pStyle w:val="94"/>
              <w:rPr>
                <w:color w:val="auto"/>
              </w:rPr>
            </w:pPr>
            <w:r>
              <w:rPr>
                <w:rFonts w:hint="eastAsia"/>
                <w:color w:val="auto"/>
              </w:rPr>
              <w:t>白茅</w:t>
            </w:r>
          </w:p>
        </w:tc>
        <w:tc>
          <w:tcPr>
            <w:tcW w:w="3419" w:type="dxa"/>
            <w:gridSpan w:val="2"/>
            <w:vAlign w:val="center"/>
          </w:tcPr>
          <w:p w14:paraId="05A52FBA">
            <w:pPr>
              <w:pStyle w:val="94"/>
              <w:rPr>
                <w:color w:val="auto"/>
              </w:rPr>
            </w:pPr>
            <w:r>
              <w:rPr>
                <w:rFonts w:hint="eastAsia"/>
                <w:color w:val="auto"/>
              </w:rPr>
              <w:t>25-35</w:t>
            </w:r>
          </w:p>
        </w:tc>
        <w:tc>
          <w:tcPr>
            <w:tcW w:w="1710" w:type="dxa"/>
            <w:vAlign w:val="center"/>
          </w:tcPr>
          <w:p w14:paraId="2D24B449">
            <w:pPr>
              <w:pStyle w:val="94"/>
              <w:rPr>
                <w:color w:val="auto"/>
              </w:rPr>
            </w:pPr>
            <w:r>
              <w:rPr>
                <w:rFonts w:hint="eastAsia"/>
                <w:color w:val="auto"/>
              </w:rPr>
              <w:t>/</w:t>
            </w:r>
          </w:p>
        </w:tc>
        <w:tc>
          <w:tcPr>
            <w:tcW w:w="1764" w:type="dxa"/>
            <w:vAlign w:val="center"/>
          </w:tcPr>
          <w:p w14:paraId="74251375">
            <w:pPr>
              <w:pStyle w:val="94"/>
              <w:rPr>
                <w:color w:val="auto"/>
              </w:rPr>
            </w:pPr>
            <w:r>
              <w:rPr>
                <w:rFonts w:hint="eastAsia"/>
                <w:color w:val="auto"/>
              </w:rPr>
              <w:t>3</w:t>
            </w:r>
          </w:p>
        </w:tc>
      </w:tr>
      <w:tr w14:paraId="49B622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642" w:type="dxa"/>
            <w:vAlign w:val="center"/>
          </w:tcPr>
          <w:p w14:paraId="38256070">
            <w:pPr>
              <w:pStyle w:val="94"/>
              <w:rPr>
                <w:color w:val="auto"/>
              </w:rPr>
            </w:pPr>
            <w:r>
              <w:rPr>
                <w:rFonts w:hint="eastAsia"/>
                <w:color w:val="auto"/>
              </w:rPr>
              <w:t>6</w:t>
            </w:r>
          </w:p>
        </w:tc>
        <w:tc>
          <w:tcPr>
            <w:tcW w:w="1899" w:type="dxa"/>
            <w:vAlign w:val="center"/>
          </w:tcPr>
          <w:p w14:paraId="0CF16A7A">
            <w:pPr>
              <w:pStyle w:val="94"/>
              <w:rPr>
                <w:color w:val="auto"/>
              </w:rPr>
            </w:pPr>
            <w:r>
              <w:rPr>
                <w:rFonts w:hint="eastAsia"/>
                <w:color w:val="auto"/>
              </w:rPr>
              <w:t>白羊草</w:t>
            </w:r>
          </w:p>
        </w:tc>
        <w:tc>
          <w:tcPr>
            <w:tcW w:w="3419" w:type="dxa"/>
            <w:gridSpan w:val="2"/>
            <w:vAlign w:val="center"/>
          </w:tcPr>
          <w:p w14:paraId="248E903B">
            <w:pPr>
              <w:pStyle w:val="94"/>
              <w:rPr>
                <w:color w:val="auto"/>
              </w:rPr>
            </w:pPr>
            <w:r>
              <w:rPr>
                <w:rFonts w:hint="eastAsia"/>
                <w:color w:val="auto"/>
              </w:rPr>
              <w:t>20-30</w:t>
            </w:r>
          </w:p>
        </w:tc>
        <w:tc>
          <w:tcPr>
            <w:tcW w:w="1710" w:type="dxa"/>
            <w:vAlign w:val="center"/>
          </w:tcPr>
          <w:p w14:paraId="0C3FECF8">
            <w:pPr>
              <w:pStyle w:val="94"/>
              <w:rPr>
                <w:color w:val="auto"/>
              </w:rPr>
            </w:pPr>
            <w:r>
              <w:rPr>
                <w:rFonts w:hint="eastAsia"/>
                <w:color w:val="auto"/>
              </w:rPr>
              <w:t>/</w:t>
            </w:r>
          </w:p>
        </w:tc>
        <w:tc>
          <w:tcPr>
            <w:tcW w:w="1764" w:type="dxa"/>
            <w:vAlign w:val="center"/>
          </w:tcPr>
          <w:p w14:paraId="0B72AF27">
            <w:pPr>
              <w:pStyle w:val="94"/>
              <w:rPr>
                <w:color w:val="auto"/>
              </w:rPr>
            </w:pPr>
            <w:r>
              <w:rPr>
                <w:rFonts w:hint="eastAsia"/>
                <w:color w:val="auto"/>
              </w:rPr>
              <w:t>2</w:t>
            </w:r>
          </w:p>
        </w:tc>
      </w:tr>
    </w:tbl>
    <w:p w14:paraId="6B550B04">
      <w:pPr>
        <w:pStyle w:val="96"/>
        <w:ind w:firstLine="480"/>
        <w:rPr>
          <w:rFonts w:cs="Arial"/>
        </w:rPr>
      </w:pPr>
      <w:r>
        <w:t>4</w:t>
      </w:r>
      <w:r>
        <w:rPr>
          <w:rFonts w:hint="eastAsia"/>
        </w:rPr>
        <w:t>、小叶杨林：主要分布在较为平坦的区域，以人工栽培为主，林下植被主要为狗尾草、蒿草等。</w:t>
      </w:r>
    </w:p>
    <w:p w14:paraId="389485D9">
      <w:pPr>
        <w:pStyle w:val="19"/>
        <w:keepNext/>
        <w:ind w:firstLine="480"/>
      </w:pPr>
      <w:r>
        <w:t xml:space="preserve">表 </w:t>
      </w:r>
      <w:r>
        <w:fldChar w:fldCharType="begin"/>
      </w:r>
      <w:r>
        <w:instrText xml:space="preserve"> SEQ 表 \* ARABIC </w:instrText>
      </w:r>
      <w:r>
        <w:fldChar w:fldCharType="separate"/>
      </w:r>
      <w:r>
        <w:t>60</w:t>
      </w:r>
      <w:r>
        <w:fldChar w:fldCharType="end"/>
      </w:r>
      <w:r>
        <w:rPr>
          <w:rFonts w:hint="eastAsia"/>
        </w:rPr>
        <w:t>群落样方编号</w:t>
      </w:r>
      <w:r>
        <w:t>4</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83"/>
        <w:gridCol w:w="1748"/>
        <w:gridCol w:w="1750"/>
        <w:gridCol w:w="1748"/>
        <w:gridCol w:w="1750"/>
        <w:gridCol w:w="1803"/>
      </w:tblGrid>
      <w:tr w14:paraId="7CDDFF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34DFB72A">
            <w:pPr>
              <w:pStyle w:val="94"/>
              <w:rPr>
                <w:color w:val="auto"/>
              </w:rPr>
            </w:pPr>
            <w:r>
              <w:rPr>
                <w:color w:val="auto"/>
              </w:rPr>
              <w:t>调查日期</w:t>
            </w:r>
          </w:p>
        </w:tc>
        <w:tc>
          <w:tcPr>
            <w:tcW w:w="818" w:type="pct"/>
            <w:vAlign w:val="center"/>
          </w:tcPr>
          <w:p w14:paraId="05829E3A">
            <w:pPr>
              <w:pStyle w:val="94"/>
              <w:rPr>
                <w:color w:val="auto"/>
              </w:rPr>
            </w:pPr>
            <w:r>
              <w:rPr>
                <w:rFonts w:hint="eastAsia"/>
                <w:color w:val="auto"/>
              </w:rPr>
              <w:t>2023-9-</w:t>
            </w:r>
            <w:r>
              <w:rPr>
                <w:color w:val="auto"/>
              </w:rPr>
              <w:t>16</w:t>
            </w:r>
          </w:p>
        </w:tc>
        <w:tc>
          <w:tcPr>
            <w:tcW w:w="819" w:type="pct"/>
            <w:vAlign w:val="center"/>
          </w:tcPr>
          <w:p w14:paraId="7EFCD3FC">
            <w:pPr>
              <w:pStyle w:val="94"/>
              <w:rPr>
                <w:color w:val="auto"/>
              </w:rPr>
            </w:pPr>
            <w:r>
              <w:rPr>
                <w:color w:val="auto"/>
              </w:rPr>
              <w:t>调查地点</w:t>
            </w:r>
          </w:p>
        </w:tc>
        <w:tc>
          <w:tcPr>
            <w:tcW w:w="818" w:type="pct"/>
            <w:vAlign w:val="center"/>
          </w:tcPr>
          <w:p w14:paraId="445D5E3C">
            <w:pPr>
              <w:pStyle w:val="94"/>
              <w:rPr>
                <w:color w:val="auto"/>
              </w:rPr>
            </w:pPr>
            <w:r>
              <w:rPr>
                <w:color w:val="auto"/>
              </w:rPr>
              <w:t>LXD11-25</w:t>
            </w:r>
            <w:r>
              <w:rPr>
                <w:rStyle w:val="92"/>
                <w:rFonts w:hint="default" w:cs="Arial"/>
                <w:b w:val="0"/>
                <w:bCs/>
                <w:color w:val="auto"/>
              </w:rPr>
              <w:t>井场</w:t>
            </w:r>
          </w:p>
        </w:tc>
        <w:tc>
          <w:tcPr>
            <w:tcW w:w="819" w:type="pct"/>
            <w:vAlign w:val="center"/>
          </w:tcPr>
          <w:p w14:paraId="4CF50F05">
            <w:pPr>
              <w:pStyle w:val="94"/>
              <w:rPr>
                <w:color w:val="auto"/>
              </w:rPr>
            </w:pPr>
            <w:r>
              <w:rPr>
                <w:color w:val="auto"/>
              </w:rPr>
              <w:t>样方面积</w:t>
            </w:r>
          </w:p>
        </w:tc>
        <w:tc>
          <w:tcPr>
            <w:tcW w:w="845" w:type="pct"/>
            <w:vAlign w:val="center"/>
          </w:tcPr>
          <w:p w14:paraId="704E09E1">
            <w:pPr>
              <w:pStyle w:val="94"/>
              <w:rPr>
                <w:color w:val="auto"/>
              </w:rPr>
            </w:pPr>
            <w:r>
              <w:rPr>
                <w:color w:val="auto"/>
              </w:rPr>
              <w:t>10m×10 m</w:t>
            </w:r>
          </w:p>
        </w:tc>
      </w:tr>
      <w:tr w14:paraId="6CE51D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6B9F36E6">
            <w:pPr>
              <w:pStyle w:val="94"/>
              <w:rPr>
                <w:color w:val="auto"/>
              </w:rPr>
            </w:pPr>
            <w:r>
              <w:rPr>
                <w:color w:val="auto"/>
              </w:rPr>
              <w:t>海拔高度</w:t>
            </w:r>
          </w:p>
        </w:tc>
        <w:tc>
          <w:tcPr>
            <w:tcW w:w="818" w:type="pct"/>
            <w:vAlign w:val="center"/>
          </w:tcPr>
          <w:p w14:paraId="560A0353">
            <w:pPr>
              <w:pStyle w:val="94"/>
              <w:rPr>
                <w:color w:val="auto"/>
              </w:rPr>
            </w:pPr>
            <w:r>
              <w:rPr>
                <w:color w:val="auto"/>
              </w:rPr>
              <w:t>992m</w:t>
            </w:r>
          </w:p>
        </w:tc>
        <w:tc>
          <w:tcPr>
            <w:tcW w:w="819" w:type="pct"/>
            <w:vAlign w:val="center"/>
          </w:tcPr>
          <w:p w14:paraId="592E6509">
            <w:pPr>
              <w:pStyle w:val="94"/>
              <w:rPr>
                <w:color w:val="auto"/>
              </w:rPr>
            </w:pPr>
            <w:r>
              <w:rPr>
                <w:color w:val="auto"/>
              </w:rPr>
              <w:t>坡度</w:t>
            </w:r>
          </w:p>
        </w:tc>
        <w:tc>
          <w:tcPr>
            <w:tcW w:w="818" w:type="pct"/>
            <w:vAlign w:val="center"/>
          </w:tcPr>
          <w:p w14:paraId="63E6FAF6">
            <w:pPr>
              <w:pStyle w:val="94"/>
              <w:rPr>
                <w:color w:val="auto"/>
              </w:rPr>
            </w:pPr>
            <w:r>
              <w:rPr>
                <w:color w:val="auto"/>
              </w:rPr>
              <w:t>15</w:t>
            </w:r>
          </w:p>
        </w:tc>
        <w:tc>
          <w:tcPr>
            <w:tcW w:w="819" w:type="pct"/>
            <w:vAlign w:val="center"/>
          </w:tcPr>
          <w:p w14:paraId="2F369067">
            <w:pPr>
              <w:pStyle w:val="94"/>
              <w:rPr>
                <w:color w:val="auto"/>
              </w:rPr>
            </w:pPr>
            <w:r>
              <w:rPr>
                <w:color w:val="auto"/>
              </w:rPr>
              <w:t>坡向</w:t>
            </w:r>
          </w:p>
        </w:tc>
        <w:tc>
          <w:tcPr>
            <w:tcW w:w="845" w:type="pct"/>
            <w:vAlign w:val="center"/>
          </w:tcPr>
          <w:p w14:paraId="5B4E7B82">
            <w:pPr>
              <w:pStyle w:val="94"/>
              <w:rPr>
                <w:color w:val="auto"/>
              </w:rPr>
            </w:pPr>
            <w:r>
              <w:rPr>
                <w:color w:val="auto"/>
              </w:rPr>
              <w:t>S</w:t>
            </w:r>
          </w:p>
        </w:tc>
      </w:tr>
      <w:tr w14:paraId="17F0E3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2CBC651A">
            <w:pPr>
              <w:pStyle w:val="94"/>
              <w:rPr>
                <w:color w:val="auto"/>
              </w:rPr>
            </w:pPr>
            <w:r>
              <w:rPr>
                <w:color w:val="auto"/>
              </w:rPr>
              <w:t>土壤类型</w:t>
            </w:r>
          </w:p>
        </w:tc>
        <w:tc>
          <w:tcPr>
            <w:tcW w:w="818" w:type="pct"/>
            <w:vAlign w:val="center"/>
          </w:tcPr>
          <w:p w14:paraId="527F6964">
            <w:pPr>
              <w:pStyle w:val="94"/>
              <w:rPr>
                <w:color w:val="auto"/>
              </w:rPr>
            </w:pPr>
            <w:r>
              <w:rPr>
                <w:rFonts w:hint="eastAsia"/>
                <w:color w:val="auto"/>
              </w:rPr>
              <w:t>黄绵土</w:t>
            </w:r>
          </w:p>
        </w:tc>
        <w:tc>
          <w:tcPr>
            <w:tcW w:w="819" w:type="pct"/>
            <w:vAlign w:val="center"/>
          </w:tcPr>
          <w:p w14:paraId="7CFAFE16">
            <w:pPr>
              <w:pStyle w:val="94"/>
              <w:rPr>
                <w:color w:val="auto"/>
              </w:rPr>
            </w:pPr>
            <w:r>
              <w:rPr>
                <w:color w:val="auto"/>
              </w:rPr>
              <w:t>地形</w:t>
            </w:r>
          </w:p>
        </w:tc>
        <w:tc>
          <w:tcPr>
            <w:tcW w:w="818" w:type="pct"/>
            <w:vAlign w:val="center"/>
          </w:tcPr>
          <w:p w14:paraId="43F28D40">
            <w:pPr>
              <w:pStyle w:val="94"/>
              <w:rPr>
                <w:color w:val="auto"/>
              </w:rPr>
            </w:pPr>
            <w:r>
              <w:rPr>
                <w:rFonts w:hint="eastAsia"/>
                <w:color w:val="auto"/>
              </w:rPr>
              <w:t>沟谷</w:t>
            </w:r>
          </w:p>
        </w:tc>
        <w:tc>
          <w:tcPr>
            <w:tcW w:w="819" w:type="pct"/>
            <w:vAlign w:val="center"/>
          </w:tcPr>
          <w:p w14:paraId="4B21A272">
            <w:pPr>
              <w:pStyle w:val="94"/>
              <w:rPr>
                <w:color w:val="auto"/>
              </w:rPr>
            </w:pPr>
            <w:r>
              <w:rPr>
                <w:rFonts w:hint="eastAsia"/>
                <w:color w:val="auto"/>
              </w:rPr>
              <w:t>群系</w:t>
            </w:r>
          </w:p>
        </w:tc>
        <w:tc>
          <w:tcPr>
            <w:tcW w:w="845" w:type="pct"/>
            <w:vAlign w:val="center"/>
          </w:tcPr>
          <w:p w14:paraId="6461D337">
            <w:pPr>
              <w:pStyle w:val="94"/>
              <w:rPr>
                <w:color w:val="auto"/>
              </w:rPr>
            </w:pPr>
            <w:r>
              <w:rPr>
                <w:rFonts w:hint="eastAsia"/>
                <w:color w:val="auto"/>
              </w:rPr>
              <w:t>小叶杨林</w:t>
            </w:r>
          </w:p>
        </w:tc>
      </w:tr>
      <w:tr w14:paraId="397154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0F44915F">
            <w:pPr>
              <w:pStyle w:val="94"/>
              <w:rPr>
                <w:color w:val="auto"/>
              </w:rPr>
            </w:pPr>
            <w:r>
              <w:rPr>
                <w:color w:val="auto"/>
              </w:rPr>
              <w:t>植被总盖度</w:t>
            </w:r>
          </w:p>
        </w:tc>
        <w:tc>
          <w:tcPr>
            <w:tcW w:w="818" w:type="pct"/>
            <w:vAlign w:val="center"/>
          </w:tcPr>
          <w:p w14:paraId="54899CD6">
            <w:pPr>
              <w:pStyle w:val="94"/>
              <w:rPr>
                <w:color w:val="auto"/>
              </w:rPr>
            </w:pPr>
            <w:r>
              <w:rPr>
                <w:color w:val="auto"/>
              </w:rPr>
              <w:t>70%</w:t>
            </w:r>
          </w:p>
        </w:tc>
        <w:tc>
          <w:tcPr>
            <w:tcW w:w="819" w:type="pct"/>
            <w:vAlign w:val="center"/>
          </w:tcPr>
          <w:p w14:paraId="3E52A7D7">
            <w:pPr>
              <w:pStyle w:val="94"/>
              <w:rPr>
                <w:color w:val="auto"/>
              </w:rPr>
            </w:pPr>
            <w:r>
              <w:rPr>
                <w:color w:val="auto"/>
              </w:rPr>
              <w:t>经纬度坐标</w:t>
            </w:r>
          </w:p>
        </w:tc>
        <w:tc>
          <w:tcPr>
            <w:tcW w:w="2482" w:type="pct"/>
            <w:gridSpan w:val="3"/>
            <w:vAlign w:val="center"/>
          </w:tcPr>
          <w:p w14:paraId="03FDC4BE">
            <w:pPr>
              <w:pStyle w:val="94"/>
              <w:rPr>
                <w:color w:val="auto"/>
              </w:rPr>
            </w:pPr>
            <w:r>
              <w:rPr>
                <w:color w:val="auto"/>
              </w:rPr>
              <w:t>E110.90176°；N38.4254724°</w:t>
            </w:r>
          </w:p>
        </w:tc>
      </w:tr>
      <w:tr w14:paraId="34735B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 w:hRule="atLeast"/>
        </w:trPr>
        <w:tc>
          <w:tcPr>
            <w:tcW w:w="882" w:type="pct"/>
            <w:vAlign w:val="center"/>
          </w:tcPr>
          <w:p w14:paraId="4BB59583">
            <w:pPr>
              <w:pStyle w:val="94"/>
              <w:rPr>
                <w:color w:val="auto"/>
              </w:rPr>
            </w:pPr>
            <w:r>
              <w:rPr>
                <w:color w:val="auto"/>
              </w:rPr>
              <w:t>序号</w:t>
            </w:r>
          </w:p>
        </w:tc>
        <w:tc>
          <w:tcPr>
            <w:tcW w:w="818" w:type="pct"/>
            <w:vAlign w:val="center"/>
          </w:tcPr>
          <w:p w14:paraId="1035916B">
            <w:pPr>
              <w:pStyle w:val="94"/>
              <w:rPr>
                <w:color w:val="auto"/>
              </w:rPr>
            </w:pPr>
            <w:r>
              <w:rPr>
                <w:color w:val="auto"/>
              </w:rPr>
              <w:t>植物名称</w:t>
            </w:r>
          </w:p>
        </w:tc>
        <w:tc>
          <w:tcPr>
            <w:tcW w:w="1637" w:type="pct"/>
            <w:gridSpan w:val="2"/>
            <w:vAlign w:val="center"/>
          </w:tcPr>
          <w:p w14:paraId="72186CA4">
            <w:pPr>
              <w:pStyle w:val="94"/>
              <w:rPr>
                <w:color w:val="auto"/>
              </w:rPr>
            </w:pPr>
            <w:r>
              <w:rPr>
                <w:color w:val="auto"/>
              </w:rPr>
              <w:t>高度（cm）</w:t>
            </w:r>
          </w:p>
        </w:tc>
        <w:tc>
          <w:tcPr>
            <w:tcW w:w="819" w:type="pct"/>
            <w:vAlign w:val="center"/>
          </w:tcPr>
          <w:p w14:paraId="2E0CC751">
            <w:pPr>
              <w:pStyle w:val="94"/>
              <w:rPr>
                <w:color w:val="auto"/>
              </w:rPr>
            </w:pPr>
            <w:r>
              <w:rPr>
                <w:color w:val="auto"/>
              </w:rPr>
              <w:t>盖度（%）</w:t>
            </w:r>
          </w:p>
        </w:tc>
        <w:tc>
          <w:tcPr>
            <w:tcW w:w="845" w:type="pct"/>
            <w:vAlign w:val="center"/>
          </w:tcPr>
          <w:p w14:paraId="3B472C18">
            <w:pPr>
              <w:pStyle w:val="94"/>
              <w:rPr>
                <w:color w:val="auto"/>
              </w:rPr>
            </w:pPr>
            <w:r>
              <w:rPr>
                <w:color w:val="auto"/>
              </w:rPr>
              <w:t>频度（个）</w:t>
            </w:r>
          </w:p>
        </w:tc>
      </w:tr>
      <w:tr w14:paraId="7D1032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4876F760">
            <w:pPr>
              <w:pStyle w:val="94"/>
              <w:rPr>
                <w:color w:val="auto"/>
              </w:rPr>
            </w:pPr>
            <w:r>
              <w:rPr>
                <w:color w:val="auto"/>
              </w:rPr>
              <w:t>1</w:t>
            </w:r>
          </w:p>
        </w:tc>
        <w:tc>
          <w:tcPr>
            <w:tcW w:w="818" w:type="pct"/>
            <w:vAlign w:val="center"/>
          </w:tcPr>
          <w:p w14:paraId="16FCF8B1">
            <w:pPr>
              <w:pStyle w:val="94"/>
              <w:rPr>
                <w:color w:val="auto"/>
              </w:rPr>
            </w:pPr>
            <w:r>
              <w:rPr>
                <w:rFonts w:hint="eastAsia"/>
                <w:color w:val="auto"/>
              </w:rPr>
              <w:t>小叶杨林</w:t>
            </w:r>
          </w:p>
        </w:tc>
        <w:tc>
          <w:tcPr>
            <w:tcW w:w="1637" w:type="pct"/>
            <w:gridSpan w:val="2"/>
            <w:vAlign w:val="center"/>
          </w:tcPr>
          <w:p w14:paraId="01DD577A">
            <w:pPr>
              <w:pStyle w:val="94"/>
              <w:rPr>
                <w:color w:val="auto"/>
              </w:rPr>
            </w:pPr>
            <w:r>
              <w:rPr>
                <w:color w:val="auto"/>
              </w:rPr>
              <w:t>800~1000</w:t>
            </w:r>
          </w:p>
        </w:tc>
        <w:tc>
          <w:tcPr>
            <w:tcW w:w="819" w:type="pct"/>
            <w:vAlign w:val="center"/>
          </w:tcPr>
          <w:p w14:paraId="23718723">
            <w:pPr>
              <w:pStyle w:val="94"/>
              <w:rPr>
                <w:color w:val="auto"/>
              </w:rPr>
            </w:pPr>
            <w:r>
              <w:rPr>
                <w:color w:val="auto"/>
              </w:rPr>
              <w:t>60</w:t>
            </w:r>
          </w:p>
        </w:tc>
        <w:tc>
          <w:tcPr>
            <w:tcW w:w="845" w:type="pct"/>
            <w:vAlign w:val="center"/>
          </w:tcPr>
          <w:p w14:paraId="555A1CD0">
            <w:pPr>
              <w:pStyle w:val="94"/>
              <w:rPr>
                <w:color w:val="auto"/>
              </w:rPr>
            </w:pPr>
            <w:r>
              <w:rPr>
                <w:color w:val="auto"/>
              </w:rPr>
              <w:t>15</w:t>
            </w:r>
          </w:p>
        </w:tc>
      </w:tr>
      <w:tr w14:paraId="6581F7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717D8B80">
            <w:pPr>
              <w:pStyle w:val="94"/>
              <w:rPr>
                <w:color w:val="auto"/>
              </w:rPr>
            </w:pPr>
            <w:r>
              <w:rPr>
                <w:color w:val="auto"/>
              </w:rPr>
              <w:t>2</w:t>
            </w:r>
          </w:p>
        </w:tc>
        <w:tc>
          <w:tcPr>
            <w:tcW w:w="818" w:type="pct"/>
            <w:vAlign w:val="top"/>
          </w:tcPr>
          <w:p w14:paraId="785DA7B4">
            <w:pPr>
              <w:pStyle w:val="94"/>
              <w:rPr>
                <w:color w:val="auto"/>
              </w:rPr>
            </w:pPr>
            <w:r>
              <w:rPr>
                <w:rFonts w:hint="eastAsia"/>
                <w:color w:val="auto"/>
              </w:rPr>
              <w:t>白莲蒿</w:t>
            </w:r>
          </w:p>
        </w:tc>
        <w:tc>
          <w:tcPr>
            <w:tcW w:w="1637" w:type="pct"/>
            <w:gridSpan w:val="2"/>
            <w:vAlign w:val="center"/>
          </w:tcPr>
          <w:p w14:paraId="3BF7AE7C">
            <w:pPr>
              <w:pStyle w:val="94"/>
              <w:rPr>
                <w:color w:val="auto"/>
              </w:rPr>
            </w:pPr>
            <w:r>
              <w:rPr>
                <w:color w:val="auto"/>
              </w:rPr>
              <w:t>12</w:t>
            </w:r>
            <w:r>
              <w:rPr>
                <w:rFonts w:hint="eastAsia"/>
                <w:color w:val="auto"/>
              </w:rPr>
              <w:t>~</w:t>
            </w:r>
            <w:r>
              <w:rPr>
                <w:color w:val="auto"/>
              </w:rPr>
              <w:t>30</w:t>
            </w:r>
          </w:p>
        </w:tc>
        <w:tc>
          <w:tcPr>
            <w:tcW w:w="819" w:type="pct"/>
            <w:vAlign w:val="center"/>
          </w:tcPr>
          <w:p w14:paraId="27ED9BE5">
            <w:pPr>
              <w:pStyle w:val="94"/>
              <w:rPr>
                <w:color w:val="auto"/>
              </w:rPr>
            </w:pPr>
            <w:r>
              <w:rPr>
                <w:color w:val="auto"/>
              </w:rPr>
              <w:t>10</w:t>
            </w:r>
          </w:p>
        </w:tc>
        <w:tc>
          <w:tcPr>
            <w:tcW w:w="845" w:type="pct"/>
            <w:vAlign w:val="center"/>
          </w:tcPr>
          <w:p w14:paraId="618279A7">
            <w:pPr>
              <w:pStyle w:val="94"/>
              <w:rPr>
                <w:color w:val="auto"/>
              </w:rPr>
            </w:pPr>
            <w:r>
              <w:rPr>
                <w:color w:val="auto"/>
              </w:rPr>
              <w:t>120</w:t>
            </w:r>
          </w:p>
        </w:tc>
      </w:tr>
      <w:tr w14:paraId="71FE47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45F633B4">
            <w:pPr>
              <w:pStyle w:val="94"/>
              <w:rPr>
                <w:color w:val="auto"/>
              </w:rPr>
            </w:pPr>
            <w:r>
              <w:rPr>
                <w:color w:val="auto"/>
              </w:rPr>
              <w:t>3</w:t>
            </w:r>
          </w:p>
        </w:tc>
        <w:tc>
          <w:tcPr>
            <w:tcW w:w="818" w:type="pct"/>
            <w:vAlign w:val="top"/>
          </w:tcPr>
          <w:p w14:paraId="112A4CBF">
            <w:pPr>
              <w:pStyle w:val="94"/>
              <w:rPr>
                <w:color w:val="auto"/>
              </w:rPr>
            </w:pPr>
            <w:r>
              <w:rPr>
                <w:rFonts w:hint="eastAsia"/>
                <w:color w:val="auto"/>
              </w:rPr>
              <w:t>狗尾草</w:t>
            </w:r>
          </w:p>
        </w:tc>
        <w:tc>
          <w:tcPr>
            <w:tcW w:w="1637" w:type="pct"/>
            <w:gridSpan w:val="2"/>
            <w:vAlign w:val="center"/>
          </w:tcPr>
          <w:p w14:paraId="1ECEF263">
            <w:pPr>
              <w:pStyle w:val="94"/>
              <w:rPr>
                <w:color w:val="auto"/>
              </w:rPr>
            </w:pPr>
            <w:r>
              <w:rPr>
                <w:color w:val="auto"/>
              </w:rPr>
              <w:t>20~40</w:t>
            </w:r>
          </w:p>
        </w:tc>
        <w:tc>
          <w:tcPr>
            <w:tcW w:w="819" w:type="pct"/>
            <w:vAlign w:val="center"/>
          </w:tcPr>
          <w:p w14:paraId="04357FE2">
            <w:pPr>
              <w:pStyle w:val="94"/>
              <w:rPr>
                <w:color w:val="auto"/>
              </w:rPr>
            </w:pPr>
            <w:r>
              <w:rPr>
                <w:color w:val="auto"/>
              </w:rPr>
              <w:t>/</w:t>
            </w:r>
          </w:p>
        </w:tc>
        <w:tc>
          <w:tcPr>
            <w:tcW w:w="845" w:type="pct"/>
            <w:vAlign w:val="center"/>
          </w:tcPr>
          <w:p w14:paraId="1377B242">
            <w:pPr>
              <w:pStyle w:val="94"/>
              <w:rPr>
                <w:color w:val="auto"/>
              </w:rPr>
            </w:pPr>
            <w:r>
              <w:rPr>
                <w:color w:val="auto"/>
              </w:rPr>
              <w:t>135</w:t>
            </w:r>
          </w:p>
        </w:tc>
      </w:tr>
      <w:tr w14:paraId="57D767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4307C677">
            <w:pPr>
              <w:pStyle w:val="94"/>
              <w:rPr>
                <w:color w:val="auto"/>
              </w:rPr>
            </w:pPr>
            <w:r>
              <w:rPr>
                <w:color w:val="auto"/>
              </w:rPr>
              <w:t>4</w:t>
            </w:r>
          </w:p>
        </w:tc>
        <w:tc>
          <w:tcPr>
            <w:tcW w:w="818" w:type="pct"/>
            <w:vAlign w:val="top"/>
          </w:tcPr>
          <w:p w14:paraId="1C55AC5B">
            <w:pPr>
              <w:pStyle w:val="94"/>
              <w:rPr>
                <w:color w:val="auto"/>
              </w:rPr>
            </w:pPr>
            <w:r>
              <w:rPr>
                <w:rFonts w:hint="eastAsia"/>
                <w:color w:val="auto"/>
              </w:rPr>
              <w:t>白茅</w:t>
            </w:r>
          </w:p>
        </w:tc>
        <w:tc>
          <w:tcPr>
            <w:tcW w:w="1637" w:type="pct"/>
            <w:gridSpan w:val="2"/>
            <w:vAlign w:val="center"/>
          </w:tcPr>
          <w:p w14:paraId="1DC1F2D5">
            <w:pPr>
              <w:pStyle w:val="94"/>
              <w:rPr>
                <w:color w:val="auto"/>
              </w:rPr>
            </w:pPr>
            <w:r>
              <w:rPr>
                <w:color w:val="auto"/>
              </w:rPr>
              <w:t>10~20</w:t>
            </w:r>
          </w:p>
        </w:tc>
        <w:tc>
          <w:tcPr>
            <w:tcW w:w="819" w:type="pct"/>
            <w:vAlign w:val="center"/>
          </w:tcPr>
          <w:p w14:paraId="348D8BB4">
            <w:pPr>
              <w:pStyle w:val="94"/>
              <w:rPr>
                <w:color w:val="auto"/>
              </w:rPr>
            </w:pPr>
            <w:r>
              <w:rPr>
                <w:color w:val="auto"/>
              </w:rPr>
              <w:t>/</w:t>
            </w:r>
          </w:p>
        </w:tc>
        <w:tc>
          <w:tcPr>
            <w:tcW w:w="845" w:type="pct"/>
            <w:vAlign w:val="center"/>
          </w:tcPr>
          <w:p w14:paraId="35354651">
            <w:pPr>
              <w:pStyle w:val="94"/>
              <w:rPr>
                <w:color w:val="auto"/>
              </w:rPr>
            </w:pPr>
            <w:r>
              <w:rPr>
                <w:color w:val="auto"/>
              </w:rPr>
              <w:t>20</w:t>
            </w:r>
          </w:p>
        </w:tc>
      </w:tr>
      <w:tr w14:paraId="20C00A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7DB0E794">
            <w:pPr>
              <w:pStyle w:val="94"/>
              <w:rPr>
                <w:color w:val="auto"/>
              </w:rPr>
            </w:pPr>
            <w:r>
              <w:rPr>
                <w:color w:val="auto"/>
              </w:rPr>
              <w:t>5</w:t>
            </w:r>
          </w:p>
        </w:tc>
        <w:tc>
          <w:tcPr>
            <w:tcW w:w="818" w:type="pct"/>
            <w:vAlign w:val="top"/>
          </w:tcPr>
          <w:p w14:paraId="06B11E84">
            <w:pPr>
              <w:pStyle w:val="94"/>
              <w:rPr>
                <w:color w:val="auto"/>
              </w:rPr>
            </w:pPr>
            <w:r>
              <w:rPr>
                <w:rFonts w:hint="eastAsia"/>
                <w:color w:val="auto"/>
              </w:rPr>
              <w:t>鬼针草</w:t>
            </w:r>
          </w:p>
        </w:tc>
        <w:tc>
          <w:tcPr>
            <w:tcW w:w="1637" w:type="pct"/>
            <w:gridSpan w:val="2"/>
            <w:vAlign w:val="center"/>
          </w:tcPr>
          <w:p w14:paraId="53EC6A45">
            <w:pPr>
              <w:pStyle w:val="94"/>
              <w:rPr>
                <w:color w:val="auto"/>
              </w:rPr>
            </w:pPr>
            <w:r>
              <w:rPr>
                <w:color w:val="auto"/>
              </w:rPr>
              <w:t>10~30</w:t>
            </w:r>
          </w:p>
        </w:tc>
        <w:tc>
          <w:tcPr>
            <w:tcW w:w="819" w:type="pct"/>
            <w:vAlign w:val="center"/>
          </w:tcPr>
          <w:p w14:paraId="2FB5BB60">
            <w:pPr>
              <w:pStyle w:val="94"/>
              <w:rPr>
                <w:color w:val="auto"/>
              </w:rPr>
            </w:pPr>
            <w:r>
              <w:rPr>
                <w:color w:val="auto"/>
              </w:rPr>
              <w:t>/</w:t>
            </w:r>
          </w:p>
        </w:tc>
        <w:tc>
          <w:tcPr>
            <w:tcW w:w="845" w:type="pct"/>
            <w:vAlign w:val="center"/>
          </w:tcPr>
          <w:p w14:paraId="69E21156">
            <w:pPr>
              <w:pStyle w:val="94"/>
              <w:rPr>
                <w:color w:val="auto"/>
              </w:rPr>
            </w:pPr>
            <w:r>
              <w:rPr>
                <w:color w:val="auto"/>
              </w:rPr>
              <w:t>40</w:t>
            </w:r>
          </w:p>
        </w:tc>
      </w:tr>
      <w:tr w14:paraId="086153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0266610C">
            <w:pPr>
              <w:pStyle w:val="94"/>
              <w:rPr>
                <w:color w:val="auto"/>
              </w:rPr>
            </w:pPr>
            <w:r>
              <w:rPr>
                <w:color w:val="auto"/>
              </w:rPr>
              <w:t>6</w:t>
            </w:r>
          </w:p>
        </w:tc>
        <w:tc>
          <w:tcPr>
            <w:tcW w:w="818" w:type="pct"/>
            <w:vAlign w:val="top"/>
          </w:tcPr>
          <w:p w14:paraId="2CA5C6CD">
            <w:pPr>
              <w:pStyle w:val="94"/>
              <w:rPr>
                <w:color w:val="auto"/>
              </w:rPr>
            </w:pPr>
            <w:r>
              <w:rPr>
                <w:rFonts w:hint="eastAsia"/>
                <w:color w:val="auto"/>
              </w:rPr>
              <w:t>迷迭香</w:t>
            </w:r>
          </w:p>
        </w:tc>
        <w:tc>
          <w:tcPr>
            <w:tcW w:w="1637" w:type="pct"/>
            <w:gridSpan w:val="2"/>
            <w:vAlign w:val="center"/>
          </w:tcPr>
          <w:p w14:paraId="6EC87E37">
            <w:pPr>
              <w:pStyle w:val="94"/>
              <w:rPr>
                <w:color w:val="auto"/>
              </w:rPr>
            </w:pPr>
            <w:r>
              <w:rPr>
                <w:color w:val="auto"/>
              </w:rPr>
              <w:t>10~15</w:t>
            </w:r>
          </w:p>
        </w:tc>
        <w:tc>
          <w:tcPr>
            <w:tcW w:w="819" w:type="pct"/>
            <w:vAlign w:val="center"/>
          </w:tcPr>
          <w:p w14:paraId="1C9EE95C">
            <w:pPr>
              <w:pStyle w:val="94"/>
              <w:rPr>
                <w:color w:val="auto"/>
              </w:rPr>
            </w:pPr>
            <w:r>
              <w:rPr>
                <w:color w:val="auto"/>
              </w:rPr>
              <w:t>/</w:t>
            </w:r>
          </w:p>
        </w:tc>
        <w:tc>
          <w:tcPr>
            <w:tcW w:w="845" w:type="pct"/>
            <w:vAlign w:val="center"/>
          </w:tcPr>
          <w:p w14:paraId="176B3F1F">
            <w:pPr>
              <w:pStyle w:val="94"/>
              <w:rPr>
                <w:color w:val="auto"/>
              </w:rPr>
            </w:pPr>
            <w:r>
              <w:rPr>
                <w:color w:val="auto"/>
              </w:rPr>
              <w:t>偶见</w:t>
            </w:r>
          </w:p>
        </w:tc>
      </w:tr>
      <w:tr w14:paraId="78115F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18D849D2">
            <w:pPr>
              <w:pStyle w:val="94"/>
              <w:rPr>
                <w:color w:val="auto"/>
              </w:rPr>
            </w:pPr>
            <w:r>
              <w:rPr>
                <w:color w:val="auto"/>
              </w:rPr>
              <w:t>7</w:t>
            </w:r>
          </w:p>
        </w:tc>
        <w:tc>
          <w:tcPr>
            <w:tcW w:w="818" w:type="pct"/>
            <w:vAlign w:val="top"/>
          </w:tcPr>
          <w:p w14:paraId="3C94C42C">
            <w:pPr>
              <w:pStyle w:val="94"/>
              <w:rPr>
                <w:color w:val="auto"/>
              </w:rPr>
            </w:pPr>
            <w:r>
              <w:rPr>
                <w:rFonts w:hint="eastAsia"/>
                <w:color w:val="auto"/>
              </w:rPr>
              <w:t>车轴草</w:t>
            </w:r>
          </w:p>
        </w:tc>
        <w:tc>
          <w:tcPr>
            <w:tcW w:w="1637" w:type="pct"/>
            <w:gridSpan w:val="2"/>
            <w:vAlign w:val="center"/>
          </w:tcPr>
          <w:p w14:paraId="32369F61">
            <w:pPr>
              <w:pStyle w:val="94"/>
              <w:rPr>
                <w:color w:val="auto"/>
              </w:rPr>
            </w:pPr>
            <w:r>
              <w:rPr>
                <w:color w:val="auto"/>
              </w:rPr>
              <w:t>5~7</w:t>
            </w:r>
          </w:p>
        </w:tc>
        <w:tc>
          <w:tcPr>
            <w:tcW w:w="819" w:type="pct"/>
            <w:vAlign w:val="center"/>
          </w:tcPr>
          <w:p w14:paraId="748D2C71">
            <w:pPr>
              <w:pStyle w:val="94"/>
              <w:rPr>
                <w:color w:val="auto"/>
              </w:rPr>
            </w:pPr>
            <w:r>
              <w:rPr>
                <w:color w:val="auto"/>
              </w:rPr>
              <w:t>/</w:t>
            </w:r>
          </w:p>
        </w:tc>
        <w:tc>
          <w:tcPr>
            <w:tcW w:w="845" w:type="pct"/>
            <w:vAlign w:val="center"/>
          </w:tcPr>
          <w:p w14:paraId="66EEF3F1">
            <w:pPr>
              <w:pStyle w:val="94"/>
              <w:rPr>
                <w:color w:val="auto"/>
              </w:rPr>
            </w:pPr>
            <w:r>
              <w:rPr>
                <w:color w:val="auto"/>
              </w:rPr>
              <w:t>偶见</w:t>
            </w:r>
          </w:p>
        </w:tc>
      </w:tr>
    </w:tbl>
    <w:p w14:paraId="4D841B19">
      <w:pPr>
        <w:pStyle w:val="19"/>
        <w:keepNext/>
        <w:ind w:firstLine="480"/>
      </w:pPr>
      <w:r>
        <w:t xml:space="preserve">表 </w:t>
      </w:r>
      <w:r>
        <w:fldChar w:fldCharType="begin"/>
      </w:r>
      <w:r>
        <w:instrText xml:space="preserve"> SEQ 表 \* ARABIC </w:instrText>
      </w:r>
      <w:r>
        <w:fldChar w:fldCharType="separate"/>
      </w:r>
      <w:r>
        <w:t>61</w:t>
      </w:r>
      <w:r>
        <w:fldChar w:fldCharType="end"/>
      </w:r>
      <w:r>
        <w:rPr>
          <w:rFonts w:hint="eastAsia"/>
        </w:rPr>
        <w:t>群落样方编号</w:t>
      </w:r>
      <w:r>
        <w:t>5</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83"/>
        <w:gridCol w:w="1748"/>
        <w:gridCol w:w="1750"/>
        <w:gridCol w:w="1748"/>
        <w:gridCol w:w="1750"/>
        <w:gridCol w:w="1803"/>
      </w:tblGrid>
      <w:tr w14:paraId="236C28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60105D6E">
            <w:pPr>
              <w:pStyle w:val="94"/>
              <w:rPr>
                <w:color w:val="auto"/>
              </w:rPr>
            </w:pPr>
            <w:r>
              <w:rPr>
                <w:color w:val="auto"/>
              </w:rPr>
              <w:t>调查日期</w:t>
            </w:r>
          </w:p>
        </w:tc>
        <w:tc>
          <w:tcPr>
            <w:tcW w:w="818" w:type="pct"/>
            <w:vAlign w:val="center"/>
          </w:tcPr>
          <w:p w14:paraId="6EDD2C82">
            <w:pPr>
              <w:pStyle w:val="94"/>
              <w:rPr>
                <w:color w:val="auto"/>
              </w:rPr>
            </w:pPr>
            <w:r>
              <w:rPr>
                <w:rFonts w:hint="eastAsia"/>
                <w:color w:val="auto"/>
              </w:rPr>
              <w:t>2023-9-</w:t>
            </w:r>
            <w:r>
              <w:rPr>
                <w:color w:val="auto"/>
              </w:rPr>
              <w:t>16</w:t>
            </w:r>
          </w:p>
        </w:tc>
        <w:tc>
          <w:tcPr>
            <w:tcW w:w="819" w:type="pct"/>
            <w:vAlign w:val="center"/>
          </w:tcPr>
          <w:p w14:paraId="3601787B">
            <w:pPr>
              <w:pStyle w:val="94"/>
              <w:rPr>
                <w:color w:val="auto"/>
              </w:rPr>
            </w:pPr>
            <w:r>
              <w:rPr>
                <w:color w:val="auto"/>
              </w:rPr>
              <w:t>调查地点</w:t>
            </w:r>
          </w:p>
        </w:tc>
        <w:tc>
          <w:tcPr>
            <w:tcW w:w="818" w:type="pct"/>
            <w:vAlign w:val="center"/>
          </w:tcPr>
          <w:p w14:paraId="7177C6E5">
            <w:pPr>
              <w:pStyle w:val="94"/>
              <w:rPr>
                <w:color w:val="auto"/>
              </w:rPr>
            </w:pPr>
            <w:r>
              <w:rPr>
                <w:color w:val="auto"/>
              </w:rPr>
              <w:t>井场道路</w:t>
            </w:r>
          </w:p>
        </w:tc>
        <w:tc>
          <w:tcPr>
            <w:tcW w:w="819" w:type="pct"/>
            <w:vAlign w:val="center"/>
          </w:tcPr>
          <w:p w14:paraId="1B163295">
            <w:pPr>
              <w:pStyle w:val="94"/>
              <w:rPr>
                <w:color w:val="auto"/>
              </w:rPr>
            </w:pPr>
            <w:r>
              <w:rPr>
                <w:color w:val="auto"/>
              </w:rPr>
              <w:t>样方面积</w:t>
            </w:r>
          </w:p>
        </w:tc>
        <w:tc>
          <w:tcPr>
            <w:tcW w:w="845" w:type="pct"/>
            <w:vAlign w:val="center"/>
          </w:tcPr>
          <w:p w14:paraId="3D9F4D7A">
            <w:pPr>
              <w:pStyle w:val="94"/>
              <w:rPr>
                <w:color w:val="auto"/>
              </w:rPr>
            </w:pPr>
            <w:r>
              <w:rPr>
                <w:color w:val="auto"/>
              </w:rPr>
              <w:t>10m×10 m</w:t>
            </w:r>
          </w:p>
        </w:tc>
      </w:tr>
      <w:tr w14:paraId="6BE4AB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0768CDE7">
            <w:pPr>
              <w:pStyle w:val="94"/>
              <w:rPr>
                <w:color w:val="auto"/>
              </w:rPr>
            </w:pPr>
            <w:r>
              <w:rPr>
                <w:color w:val="auto"/>
              </w:rPr>
              <w:t>海拔高度</w:t>
            </w:r>
          </w:p>
        </w:tc>
        <w:tc>
          <w:tcPr>
            <w:tcW w:w="818" w:type="pct"/>
            <w:vAlign w:val="center"/>
          </w:tcPr>
          <w:p w14:paraId="5AAFD70E">
            <w:pPr>
              <w:pStyle w:val="94"/>
              <w:rPr>
                <w:color w:val="auto"/>
              </w:rPr>
            </w:pPr>
            <w:r>
              <w:rPr>
                <w:color w:val="auto"/>
              </w:rPr>
              <w:t>1080m</w:t>
            </w:r>
          </w:p>
        </w:tc>
        <w:tc>
          <w:tcPr>
            <w:tcW w:w="819" w:type="pct"/>
            <w:vAlign w:val="center"/>
          </w:tcPr>
          <w:p w14:paraId="26DA2082">
            <w:pPr>
              <w:pStyle w:val="94"/>
              <w:rPr>
                <w:color w:val="auto"/>
              </w:rPr>
            </w:pPr>
            <w:r>
              <w:rPr>
                <w:color w:val="auto"/>
              </w:rPr>
              <w:t>坡度</w:t>
            </w:r>
          </w:p>
        </w:tc>
        <w:tc>
          <w:tcPr>
            <w:tcW w:w="818" w:type="pct"/>
            <w:vAlign w:val="center"/>
          </w:tcPr>
          <w:p w14:paraId="191DEEB3">
            <w:pPr>
              <w:pStyle w:val="94"/>
              <w:rPr>
                <w:color w:val="auto"/>
              </w:rPr>
            </w:pPr>
            <w:r>
              <w:rPr>
                <w:color w:val="auto"/>
              </w:rPr>
              <w:t>10</w:t>
            </w:r>
          </w:p>
        </w:tc>
        <w:tc>
          <w:tcPr>
            <w:tcW w:w="819" w:type="pct"/>
            <w:vAlign w:val="center"/>
          </w:tcPr>
          <w:p w14:paraId="2C5B09D8">
            <w:pPr>
              <w:pStyle w:val="94"/>
              <w:rPr>
                <w:color w:val="auto"/>
              </w:rPr>
            </w:pPr>
            <w:r>
              <w:rPr>
                <w:color w:val="auto"/>
              </w:rPr>
              <w:t>坡向</w:t>
            </w:r>
          </w:p>
        </w:tc>
        <w:tc>
          <w:tcPr>
            <w:tcW w:w="845" w:type="pct"/>
            <w:vAlign w:val="center"/>
          </w:tcPr>
          <w:p w14:paraId="3B955B84">
            <w:pPr>
              <w:pStyle w:val="94"/>
              <w:rPr>
                <w:color w:val="auto"/>
              </w:rPr>
            </w:pPr>
            <w:r>
              <w:rPr>
                <w:color w:val="auto"/>
              </w:rPr>
              <w:t>W</w:t>
            </w:r>
          </w:p>
        </w:tc>
      </w:tr>
      <w:tr w14:paraId="4442F4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3E9BB636">
            <w:pPr>
              <w:pStyle w:val="94"/>
              <w:rPr>
                <w:color w:val="auto"/>
              </w:rPr>
            </w:pPr>
            <w:r>
              <w:rPr>
                <w:color w:val="auto"/>
              </w:rPr>
              <w:t>土壤类型</w:t>
            </w:r>
          </w:p>
        </w:tc>
        <w:tc>
          <w:tcPr>
            <w:tcW w:w="818" w:type="pct"/>
            <w:vAlign w:val="center"/>
          </w:tcPr>
          <w:p w14:paraId="76AA1AD8">
            <w:pPr>
              <w:pStyle w:val="94"/>
              <w:rPr>
                <w:color w:val="auto"/>
              </w:rPr>
            </w:pPr>
            <w:r>
              <w:rPr>
                <w:rFonts w:hint="eastAsia"/>
                <w:color w:val="auto"/>
              </w:rPr>
              <w:t>脱潮土</w:t>
            </w:r>
          </w:p>
        </w:tc>
        <w:tc>
          <w:tcPr>
            <w:tcW w:w="819" w:type="pct"/>
            <w:vAlign w:val="center"/>
          </w:tcPr>
          <w:p w14:paraId="76D4B984">
            <w:pPr>
              <w:pStyle w:val="94"/>
              <w:rPr>
                <w:color w:val="auto"/>
              </w:rPr>
            </w:pPr>
            <w:r>
              <w:rPr>
                <w:color w:val="auto"/>
              </w:rPr>
              <w:t>地形</w:t>
            </w:r>
          </w:p>
        </w:tc>
        <w:tc>
          <w:tcPr>
            <w:tcW w:w="818" w:type="pct"/>
            <w:vAlign w:val="center"/>
          </w:tcPr>
          <w:p w14:paraId="59DDF044">
            <w:pPr>
              <w:pStyle w:val="94"/>
              <w:rPr>
                <w:color w:val="auto"/>
              </w:rPr>
            </w:pPr>
            <w:r>
              <w:rPr>
                <w:rFonts w:hint="eastAsia"/>
                <w:color w:val="auto"/>
              </w:rPr>
              <w:t>沟谷</w:t>
            </w:r>
          </w:p>
        </w:tc>
        <w:tc>
          <w:tcPr>
            <w:tcW w:w="819" w:type="pct"/>
            <w:vAlign w:val="center"/>
          </w:tcPr>
          <w:p w14:paraId="32574F86">
            <w:pPr>
              <w:pStyle w:val="94"/>
              <w:rPr>
                <w:color w:val="auto"/>
              </w:rPr>
            </w:pPr>
            <w:r>
              <w:rPr>
                <w:rFonts w:hint="eastAsia"/>
                <w:color w:val="auto"/>
              </w:rPr>
              <w:t>群系</w:t>
            </w:r>
          </w:p>
        </w:tc>
        <w:tc>
          <w:tcPr>
            <w:tcW w:w="845" w:type="pct"/>
            <w:vAlign w:val="center"/>
          </w:tcPr>
          <w:p w14:paraId="5A9293F5">
            <w:pPr>
              <w:pStyle w:val="94"/>
              <w:rPr>
                <w:color w:val="auto"/>
              </w:rPr>
            </w:pPr>
            <w:r>
              <w:rPr>
                <w:rFonts w:hint="eastAsia"/>
                <w:color w:val="auto"/>
              </w:rPr>
              <w:t>小叶杨林</w:t>
            </w:r>
          </w:p>
        </w:tc>
      </w:tr>
      <w:tr w14:paraId="07CE02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57A6B117">
            <w:pPr>
              <w:pStyle w:val="94"/>
              <w:rPr>
                <w:color w:val="auto"/>
              </w:rPr>
            </w:pPr>
            <w:r>
              <w:rPr>
                <w:color w:val="auto"/>
              </w:rPr>
              <w:t>植被总盖度</w:t>
            </w:r>
          </w:p>
        </w:tc>
        <w:tc>
          <w:tcPr>
            <w:tcW w:w="818" w:type="pct"/>
            <w:vAlign w:val="center"/>
          </w:tcPr>
          <w:p w14:paraId="30E49680">
            <w:pPr>
              <w:pStyle w:val="94"/>
              <w:rPr>
                <w:color w:val="auto"/>
              </w:rPr>
            </w:pPr>
            <w:r>
              <w:rPr>
                <w:color w:val="auto"/>
              </w:rPr>
              <w:t>65%</w:t>
            </w:r>
          </w:p>
        </w:tc>
        <w:tc>
          <w:tcPr>
            <w:tcW w:w="819" w:type="pct"/>
            <w:vAlign w:val="center"/>
          </w:tcPr>
          <w:p w14:paraId="4C6E697E">
            <w:pPr>
              <w:pStyle w:val="94"/>
              <w:rPr>
                <w:color w:val="auto"/>
              </w:rPr>
            </w:pPr>
            <w:r>
              <w:rPr>
                <w:color w:val="auto"/>
              </w:rPr>
              <w:t>经纬度坐标</w:t>
            </w:r>
          </w:p>
        </w:tc>
        <w:tc>
          <w:tcPr>
            <w:tcW w:w="2482" w:type="pct"/>
            <w:gridSpan w:val="3"/>
            <w:vAlign w:val="center"/>
          </w:tcPr>
          <w:p w14:paraId="42D1DB11">
            <w:pPr>
              <w:pStyle w:val="94"/>
              <w:rPr>
                <w:color w:val="auto"/>
              </w:rPr>
            </w:pPr>
            <w:r>
              <w:rPr>
                <w:color w:val="auto"/>
              </w:rPr>
              <w:t>E110.91535°；N38.3848767°</w:t>
            </w:r>
          </w:p>
        </w:tc>
      </w:tr>
      <w:tr w14:paraId="5A7011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 w:hRule="atLeast"/>
        </w:trPr>
        <w:tc>
          <w:tcPr>
            <w:tcW w:w="882" w:type="pct"/>
            <w:vAlign w:val="center"/>
          </w:tcPr>
          <w:p w14:paraId="053A353D">
            <w:pPr>
              <w:pStyle w:val="94"/>
              <w:rPr>
                <w:color w:val="auto"/>
              </w:rPr>
            </w:pPr>
            <w:r>
              <w:rPr>
                <w:color w:val="auto"/>
              </w:rPr>
              <w:t>序号</w:t>
            </w:r>
          </w:p>
        </w:tc>
        <w:tc>
          <w:tcPr>
            <w:tcW w:w="818" w:type="pct"/>
            <w:vAlign w:val="center"/>
          </w:tcPr>
          <w:p w14:paraId="251917AA">
            <w:pPr>
              <w:pStyle w:val="94"/>
              <w:rPr>
                <w:color w:val="auto"/>
              </w:rPr>
            </w:pPr>
            <w:r>
              <w:rPr>
                <w:color w:val="auto"/>
              </w:rPr>
              <w:t>植物名称</w:t>
            </w:r>
          </w:p>
        </w:tc>
        <w:tc>
          <w:tcPr>
            <w:tcW w:w="1637" w:type="pct"/>
            <w:gridSpan w:val="2"/>
            <w:vAlign w:val="center"/>
          </w:tcPr>
          <w:p w14:paraId="4EAD9891">
            <w:pPr>
              <w:pStyle w:val="94"/>
              <w:rPr>
                <w:color w:val="auto"/>
              </w:rPr>
            </w:pPr>
            <w:r>
              <w:rPr>
                <w:color w:val="auto"/>
              </w:rPr>
              <w:t>高度（cm）</w:t>
            </w:r>
          </w:p>
        </w:tc>
        <w:tc>
          <w:tcPr>
            <w:tcW w:w="819" w:type="pct"/>
            <w:vAlign w:val="center"/>
          </w:tcPr>
          <w:p w14:paraId="74C2DB46">
            <w:pPr>
              <w:pStyle w:val="94"/>
              <w:rPr>
                <w:color w:val="auto"/>
              </w:rPr>
            </w:pPr>
            <w:r>
              <w:rPr>
                <w:color w:val="auto"/>
              </w:rPr>
              <w:t>盖度（%）</w:t>
            </w:r>
          </w:p>
        </w:tc>
        <w:tc>
          <w:tcPr>
            <w:tcW w:w="845" w:type="pct"/>
            <w:vAlign w:val="center"/>
          </w:tcPr>
          <w:p w14:paraId="7262FC25">
            <w:pPr>
              <w:pStyle w:val="94"/>
              <w:rPr>
                <w:color w:val="auto"/>
              </w:rPr>
            </w:pPr>
            <w:r>
              <w:rPr>
                <w:color w:val="auto"/>
              </w:rPr>
              <w:t>频度（个）</w:t>
            </w:r>
          </w:p>
        </w:tc>
      </w:tr>
      <w:tr w14:paraId="51F89C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184AF212">
            <w:pPr>
              <w:pStyle w:val="94"/>
              <w:rPr>
                <w:color w:val="auto"/>
              </w:rPr>
            </w:pPr>
            <w:r>
              <w:rPr>
                <w:color w:val="auto"/>
              </w:rPr>
              <w:t>1</w:t>
            </w:r>
          </w:p>
        </w:tc>
        <w:tc>
          <w:tcPr>
            <w:tcW w:w="818" w:type="pct"/>
            <w:vAlign w:val="center"/>
          </w:tcPr>
          <w:p w14:paraId="0E3567EC">
            <w:pPr>
              <w:pStyle w:val="94"/>
              <w:rPr>
                <w:color w:val="auto"/>
              </w:rPr>
            </w:pPr>
            <w:r>
              <w:rPr>
                <w:rFonts w:hint="eastAsia"/>
                <w:color w:val="auto"/>
              </w:rPr>
              <w:t>小叶杨林</w:t>
            </w:r>
          </w:p>
        </w:tc>
        <w:tc>
          <w:tcPr>
            <w:tcW w:w="1637" w:type="pct"/>
            <w:gridSpan w:val="2"/>
            <w:vAlign w:val="center"/>
          </w:tcPr>
          <w:p w14:paraId="31E071DF">
            <w:pPr>
              <w:pStyle w:val="94"/>
              <w:rPr>
                <w:color w:val="auto"/>
              </w:rPr>
            </w:pPr>
            <w:r>
              <w:rPr>
                <w:color w:val="auto"/>
              </w:rPr>
              <w:t>800~1000</w:t>
            </w:r>
          </w:p>
        </w:tc>
        <w:tc>
          <w:tcPr>
            <w:tcW w:w="819" w:type="pct"/>
            <w:vAlign w:val="center"/>
          </w:tcPr>
          <w:p w14:paraId="0A7D4724">
            <w:pPr>
              <w:pStyle w:val="94"/>
              <w:rPr>
                <w:color w:val="auto"/>
              </w:rPr>
            </w:pPr>
            <w:r>
              <w:rPr>
                <w:color w:val="auto"/>
              </w:rPr>
              <w:t>50</w:t>
            </w:r>
          </w:p>
        </w:tc>
        <w:tc>
          <w:tcPr>
            <w:tcW w:w="845" w:type="pct"/>
            <w:vAlign w:val="center"/>
          </w:tcPr>
          <w:p w14:paraId="031EDC5D">
            <w:pPr>
              <w:pStyle w:val="94"/>
              <w:rPr>
                <w:color w:val="auto"/>
              </w:rPr>
            </w:pPr>
            <w:r>
              <w:rPr>
                <w:color w:val="auto"/>
              </w:rPr>
              <w:t>15</w:t>
            </w:r>
          </w:p>
        </w:tc>
      </w:tr>
      <w:tr w14:paraId="776C53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499F57DD">
            <w:pPr>
              <w:pStyle w:val="94"/>
              <w:rPr>
                <w:color w:val="auto"/>
              </w:rPr>
            </w:pPr>
            <w:r>
              <w:rPr>
                <w:color w:val="auto"/>
              </w:rPr>
              <w:t>2</w:t>
            </w:r>
          </w:p>
        </w:tc>
        <w:tc>
          <w:tcPr>
            <w:tcW w:w="818" w:type="pct"/>
            <w:vAlign w:val="top"/>
          </w:tcPr>
          <w:p w14:paraId="00FAA0EA">
            <w:pPr>
              <w:pStyle w:val="94"/>
              <w:rPr>
                <w:color w:val="auto"/>
              </w:rPr>
            </w:pPr>
            <w:r>
              <w:rPr>
                <w:rFonts w:hint="eastAsia"/>
                <w:color w:val="auto"/>
              </w:rPr>
              <w:t>狗尾草</w:t>
            </w:r>
          </w:p>
        </w:tc>
        <w:tc>
          <w:tcPr>
            <w:tcW w:w="1637" w:type="pct"/>
            <w:gridSpan w:val="2"/>
            <w:vAlign w:val="center"/>
          </w:tcPr>
          <w:p w14:paraId="29FBEC81">
            <w:pPr>
              <w:pStyle w:val="94"/>
              <w:rPr>
                <w:color w:val="auto"/>
              </w:rPr>
            </w:pPr>
            <w:r>
              <w:rPr>
                <w:color w:val="auto"/>
              </w:rPr>
              <w:t>12</w:t>
            </w:r>
            <w:r>
              <w:rPr>
                <w:rFonts w:hint="eastAsia"/>
                <w:color w:val="auto"/>
              </w:rPr>
              <w:t>~</w:t>
            </w:r>
            <w:r>
              <w:rPr>
                <w:color w:val="auto"/>
              </w:rPr>
              <w:t>30</w:t>
            </w:r>
          </w:p>
        </w:tc>
        <w:tc>
          <w:tcPr>
            <w:tcW w:w="819" w:type="pct"/>
            <w:vAlign w:val="center"/>
          </w:tcPr>
          <w:p w14:paraId="40ACCCE2">
            <w:pPr>
              <w:pStyle w:val="94"/>
              <w:rPr>
                <w:color w:val="auto"/>
              </w:rPr>
            </w:pPr>
            <w:r>
              <w:rPr>
                <w:color w:val="auto"/>
              </w:rPr>
              <w:t>10</w:t>
            </w:r>
          </w:p>
        </w:tc>
        <w:tc>
          <w:tcPr>
            <w:tcW w:w="845" w:type="pct"/>
            <w:vAlign w:val="center"/>
          </w:tcPr>
          <w:p w14:paraId="403CCC09">
            <w:pPr>
              <w:pStyle w:val="94"/>
              <w:rPr>
                <w:color w:val="auto"/>
              </w:rPr>
            </w:pPr>
            <w:r>
              <w:rPr>
                <w:color w:val="auto"/>
              </w:rPr>
              <w:t>140</w:t>
            </w:r>
          </w:p>
        </w:tc>
      </w:tr>
      <w:tr w14:paraId="0FF5A3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11D8CEB3">
            <w:pPr>
              <w:pStyle w:val="94"/>
              <w:rPr>
                <w:color w:val="auto"/>
              </w:rPr>
            </w:pPr>
            <w:r>
              <w:rPr>
                <w:color w:val="auto"/>
              </w:rPr>
              <w:t>3</w:t>
            </w:r>
          </w:p>
        </w:tc>
        <w:tc>
          <w:tcPr>
            <w:tcW w:w="818" w:type="pct"/>
            <w:vAlign w:val="top"/>
          </w:tcPr>
          <w:p w14:paraId="457E650B">
            <w:pPr>
              <w:pStyle w:val="94"/>
              <w:rPr>
                <w:color w:val="auto"/>
              </w:rPr>
            </w:pPr>
            <w:r>
              <w:rPr>
                <w:rFonts w:hint="eastAsia"/>
                <w:color w:val="auto"/>
              </w:rPr>
              <w:t>白莲蒿</w:t>
            </w:r>
          </w:p>
        </w:tc>
        <w:tc>
          <w:tcPr>
            <w:tcW w:w="1637" w:type="pct"/>
            <w:gridSpan w:val="2"/>
            <w:vAlign w:val="center"/>
          </w:tcPr>
          <w:p w14:paraId="1CF743CB">
            <w:pPr>
              <w:pStyle w:val="94"/>
              <w:rPr>
                <w:color w:val="auto"/>
              </w:rPr>
            </w:pPr>
            <w:r>
              <w:rPr>
                <w:color w:val="auto"/>
              </w:rPr>
              <w:t>20~40</w:t>
            </w:r>
          </w:p>
        </w:tc>
        <w:tc>
          <w:tcPr>
            <w:tcW w:w="819" w:type="pct"/>
            <w:vAlign w:val="center"/>
          </w:tcPr>
          <w:p w14:paraId="54F092B2">
            <w:pPr>
              <w:pStyle w:val="94"/>
              <w:rPr>
                <w:color w:val="auto"/>
              </w:rPr>
            </w:pPr>
            <w:r>
              <w:rPr>
                <w:color w:val="auto"/>
              </w:rPr>
              <w:t>5</w:t>
            </w:r>
          </w:p>
        </w:tc>
        <w:tc>
          <w:tcPr>
            <w:tcW w:w="845" w:type="pct"/>
            <w:vAlign w:val="center"/>
          </w:tcPr>
          <w:p w14:paraId="2C38893D">
            <w:pPr>
              <w:pStyle w:val="94"/>
              <w:rPr>
                <w:color w:val="auto"/>
              </w:rPr>
            </w:pPr>
            <w:r>
              <w:rPr>
                <w:color w:val="auto"/>
              </w:rPr>
              <w:t>102</w:t>
            </w:r>
          </w:p>
        </w:tc>
      </w:tr>
      <w:tr w14:paraId="67BB51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5D7E1FC3">
            <w:pPr>
              <w:pStyle w:val="94"/>
              <w:rPr>
                <w:color w:val="auto"/>
              </w:rPr>
            </w:pPr>
            <w:r>
              <w:rPr>
                <w:color w:val="auto"/>
              </w:rPr>
              <w:t>4</w:t>
            </w:r>
          </w:p>
        </w:tc>
        <w:tc>
          <w:tcPr>
            <w:tcW w:w="818" w:type="pct"/>
            <w:vAlign w:val="top"/>
          </w:tcPr>
          <w:p w14:paraId="4A957273">
            <w:pPr>
              <w:pStyle w:val="94"/>
              <w:rPr>
                <w:color w:val="auto"/>
              </w:rPr>
            </w:pPr>
            <w:r>
              <w:rPr>
                <w:rFonts w:hint="eastAsia"/>
                <w:color w:val="auto"/>
              </w:rPr>
              <w:t>三脉紫菀</w:t>
            </w:r>
          </w:p>
        </w:tc>
        <w:tc>
          <w:tcPr>
            <w:tcW w:w="1637" w:type="pct"/>
            <w:gridSpan w:val="2"/>
            <w:vAlign w:val="center"/>
          </w:tcPr>
          <w:p w14:paraId="62549438">
            <w:pPr>
              <w:pStyle w:val="94"/>
              <w:rPr>
                <w:color w:val="auto"/>
              </w:rPr>
            </w:pPr>
            <w:r>
              <w:rPr>
                <w:color w:val="auto"/>
              </w:rPr>
              <w:t>10~20</w:t>
            </w:r>
          </w:p>
        </w:tc>
        <w:tc>
          <w:tcPr>
            <w:tcW w:w="819" w:type="pct"/>
            <w:vAlign w:val="center"/>
          </w:tcPr>
          <w:p w14:paraId="61C71E81">
            <w:pPr>
              <w:pStyle w:val="94"/>
              <w:rPr>
                <w:color w:val="auto"/>
              </w:rPr>
            </w:pPr>
            <w:r>
              <w:rPr>
                <w:color w:val="auto"/>
              </w:rPr>
              <w:t>/</w:t>
            </w:r>
          </w:p>
        </w:tc>
        <w:tc>
          <w:tcPr>
            <w:tcW w:w="845" w:type="pct"/>
            <w:vAlign w:val="center"/>
          </w:tcPr>
          <w:p w14:paraId="2EEA25DD">
            <w:pPr>
              <w:pStyle w:val="94"/>
              <w:rPr>
                <w:color w:val="auto"/>
              </w:rPr>
            </w:pPr>
            <w:r>
              <w:rPr>
                <w:color w:val="auto"/>
              </w:rPr>
              <w:t>16</w:t>
            </w:r>
          </w:p>
        </w:tc>
      </w:tr>
      <w:tr w14:paraId="428D1B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18306B2B">
            <w:pPr>
              <w:pStyle w:val="94"/>
              <w:rPr>
                <w:color w:val="auto"/>
              </w:rPr>
            </w:pPr>
            <w:r>
              <w:rPr>
                <w:color w:val="auto"/>
              </w:rPr>
              <w:t>5</w:t>
            </w:r>
          </w:p>
        </w:tc>
        <w:tc>
          <w:tcPr>
            <w:tcW w:w="818" w:type="pct"/>
            <w:vAlign w:val="top"/>
          </w:tcPr>
          <w:p w14:paraId="148C018D">
            <w:pPr>
              <w:pStyle w:val="94"/>
              <w:rPr>
                <w:color w:val="auto"/>
              </w:rPr>
            </w:pPr>
            <w:r>
              <w:rPr>
                <w:rFonts w:hint="eastAsia"/>
                <w:color w:val="auto"/>
              </w:rPr>
              <w:t>车前</w:t>
            </w:r>
          </w:p>
        </w:tc>
        <w:tc>
          <w:tcPr>
            <w:tcW w:w="1637" w:type="pct"/>
            <w:gridSpan w:val="2"/>
            <w:vAlign w:val="center"/>
          </w:tcPr>
          <w:p w14:paraId="5A244926">
            <w:pPr>
              <w:pStyle w:val="94"/>
              <w:rPr>
                <w:color w:val="auto"/>
              </w:rPr>
            </w:pPr>
            <w:r>
              <w:rPr>
                <w:color w:val="auto"/>
              </w:rPr>
              <w:t>10~30</w:t>
            </w:r>
          </w:p>
        </w:tc>
        <w:tc>
          <w:tcPr>
            <w:tcW w:w="819" w:type="pct"/>
            <w:vAlign w:val="center"/>
          </w:tcPr>
          <w:p w14:paraId="3D172938">
            <w:pPr>
              <w:pStyle w:val="94"/>
              <w:rPr>
                <w:color w:val="auto"/>
              </w:rPr>
            </w:pPr>
            <w:r>
              <w:rPr>
                <w:color w:val="auto"/>
              </w:rPr>
              <w:t>/</w:t>
            </w:r>
          </w:p>
        </w:tc>
        <w:tc>
          <w:tcPr>
            <w:tcW w:w="845" w:type="pct"/>
            <w:vAlign w:val="center"/>
          </w:tcPr>
          <w:p w14:paraId="3C953132">
            <w:pPr>
              <w:pStyle w:val="94"/>
              <w:rPr>
                <w:color w:val="auto"/>
              </w:rPr>
            </w:pPr>
            <w:r>
              <w:rPr>
                <w:color w:val="auto"/>
              </w:rPr>
              <w:t>10</w:t>
            </w:r>
          </w:p>
        </w:tc>
      </w:tr>
      <w:tr w14:paraId="4AFAE1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3A673955">
            <w:pPr>
              <w:pStyle w:val="94"/>
              <w:rPr>
                <w:color w:val="auto"/>
              </w:rPr>
            </w:pPr>
            <w:r>
              <w:rPr>
                <w:color w:val="auto"/>
              </w:rPr>
              <w:t>6</w:t>
            </w:r>
          </w:p>
        </w:tc>
        <w:tc>
          <w:tcPr>
            <w:tcW w:w="818" w:type="pct"/>
            <w:vAlign w:val="top"/>
          </w:tcPr>
          <w:p w14:paraId="250F3970">
            <w:pPr>
              <w:pStyle w:val="94"/>
              <w:rPr>
                <w:color w:val="auto"/>
              </w:rPr>
            </w:pPr>
            <w:r>
              <w:rPr>
                <w:rFonts w:hint="eastAsia"/>
                <w:color w:val="auto"/>
              </w:rPr>
              <w:t>桔梗</w:t>
            </w:r>
          </w:p>
        </w:tc>
        <w:tc>
          <w:tcPr>
            <w:tcW w:w="1637" w:type="pct"/>
            <w:gridSpan w:val="2"/>
            <w:vAlign w:val="center"/>
          </w:tcPr>
          <w:p w14:paraId="541B4312">
            <w:pPr>
              <w:pStyle w:val="94"/>
              <w:rPr>
                <w:color w:val="auto"/>
              </w:rPr>
            </w:pPr>
            <w:r>
              <w:rPr>
                <w:color w:val="auto"/>
              </w:rPr>
              <w:t>10~15</w:t>
            </w:r>
          </w:p>
        </w:tc>
        <w:tc>
          <w:tcPr>
            <w:tcW w:w="819" w:type="pct"/>
            <w:vAlign w:val="center"/>
          </w:tcPr>
          <w:p w14:paraId="34E8EB06">
            <w:pPr>
              <w:pStyle w:val="94"/>
              <w:rPr>
                <w:color w:val="auto"/>
              </w:rPr>
            </w:pPr>
            <w:r>
              <w:rPr>
                <w:color w:val="auto"/>
              </w:rPr>
              <w:t>/</w:t>
            </w:r>
          </w:p>
        </w:tc>
        <w:tc>
          <w:tcPr>
            <w:tcW w:w="845" w:type="pct"/>
            <w:vAlign w:val="center"/>
          </w:tcPr>
          <w:p w14:paraId="668D04B8">
            <w:pPr>
              <w:pStyle w:val="94"/>
              <w:rPr>
                <w:color w:val="auto"/>
              </w:rPr>
            </w:pPr>
            <w:r>
              <w:rPr>
                <w:color w:val="auto"/>
              </w:rPr>
              <w:t>偶见</w:t>
            </w:r>
          </w:p>
        </w:tc>
      </w:tr>
      <w:tr w14:paraId="35182B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15B8692E">
            <w:pPr>
              <w:pStyle w:val="94"/>
              <w:rPr>
                <w:color w:val="auto"/>
              </w:rPr>
            </w:pPr>
            <w:r>
              <w:rPr>
                <w:color w:val="auto"/>
              </w:rPr>
              <w:t>7</w:t>
            </w:r>
          </w:p>
        </w:tc>
        <w:tc>
          <w:tcPr>
            <w:tcW w:w="818" w:type="pct"/>
            <w:vAlign w:val="top"/>
          </w:tcPr>
          <w:p w14:paraId="5EA7C786">
            <w:pPr>
              <w:pStyle w:val="94"/>
              <w:rPr>
                <w:color w:val="auto"/>
              </w:rPr>
            </w:pPr>
            <w:r>
              <w:rPr>
                <w:rFonts w:hint="eastAsia"/>
                <w:color w:val="auto"/>
              </w:rPr>
              <w:t>野菊</w:t>
            </w:r>
          </w:p>
        </w:tc>
        <w:tc>
          <w:tcPr>
            <w:tcW w:w="1637" w:type="pct"/>
            <w:gridSpan w:val="2"/>
            <w:vAlign w:val="center"/>
          </w:tcPr>
          <w:p w14:paraId="659E5A43">
            <w:pPr>
              <w:pStyle w:val="94"/>
              <w:rPr>
                <w:color w:val="auto"/>
              </w:rPr>
            </w:pPr>
            <w:r>
              <w:rPr>
                <w:color w:val="auto"/>
              </w:rPr>
              <w:t>5~7</w:t>
            </w:r>
          </w:p>
        </w:tc>
        <w:tc>
          <w:tcPr>
            <w:tcW w:w="819" w:type="pct"/>
            <w:vAlign w:val="center"/>
          </w:tcPr>
          <w:p w14:paraId="06F99C7A">
            <w:pPr>
              <w:pStyle w:val="94"/>
              <w:rPr>
                <w:color w:val="auto"/>
              </w:rPr>
            </w:pPr>
            <w:r>
              <w:rPr>
                <w:color w:val="auto"/>
              </w:rPr>
              <w:t>/</w:t>
            </w:r>
          </w:p>
        </w:tc>
        <w:tc>
          <w:tcPr>
            <w:tcW w:w="845" w:type="pct"/>
            <w:vAlign w:val="center"/>
          </w:tcPr>
          <w:p w14:paraId="30F4A985">
            <w:pPr>
              <w:pStyle w:val="94"/>
              <w:rPr>
                <w:color w:val="auto"/>
              </w:rPr>
            </w:pPr>
            <w:r>
              <w:rPr>
                <w:color w:val="auto"/>
              </w:rPr>
              <w:t>偶见</w:t>
            </w:r>
          </w:p>
        </w:tc>
      </w:tr>
    </w:tbl>
    <w:p w14:paraId="7B556B87">
      <w:pPr>
        <w:pStyle w:val="19"/>
        <w:keepNext/>
      </w:pPr>
      <w:r>
        <w:t xml:space="preserve">表 </w:t>
      </w:r>
      <w:r>
        <w:fldChar w:fldCharType="begin"/>
      </w:r>
      <w:r>
        <w:instrText xml:space="preserve"> SEQ 表 \* ARABIC </w:instrText>
      </w:r>
      <w:r>
        <w:fldChar w:fldCharType="separate"/>
      </w:r>
      <w:r>
        <w:t>62</w:t>
      </w:r>
      <w:r>
        <w:fldChar w:fldCharType="end"/>
      </w:r>
      <w:r>
        <w:rPr>
          <w:rFonts w:hint="eastAsia"/>
        </w:rPr>
        <w:t>群落样方编号</w:t>
      </w:r>
      <w:r>
        <w:t>6</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83"/>
        <w:gridCol w:w="1748"/>
        <w:gridCol w:w="1750"/>
        <w:gridCol w:w="1748"/>
        <w:gridCol w:w="1750"/>
        <w:gridCol w:w="1803"/>
      </w:tblGrid>
      <w:tr w14:paraId="551F05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170B1740">
            <w:pPr>
              <w:pStyle w:val="94"/>
              <w:rPr>
                <w:color w:val="auto"/>
              </w:rPr>
            </w:pPr>
            <w:r>
              <w:rPr>
                <w:color w:val="auto"/>
              </w:rPr>
              <w:t>调查日期</w:t>
            </w:r>
          </w:p>
        </w:tc>
        <w:tc>
          <w:tcPr>
            <w:tcW w:w="818" w:type="pct"/>
            <w:vAlign w:val="center"/>
          </w:tcPr>
          <w:p w14:paraId="1F87B9CF">
            <w:pPr>
              <w:pStyle w:val="94"/>
              <w:rPr>
                <w:color w:val="auto"/>
              </w:rPr>
            </w:pPr>
            <w:r>
              <w:rPr>
                <w:rFonts w:hint="eastAsia"/>
                <w:color w:val="auto"/>
              </w:rPr>
              <w:t>2023-9-</w:t>
            </w:r>
            <w:r>
              <w:rPr>
                <w:color w:val="auto"/>
              </w:rPr>
              <w:t>16</w:t>
            </w:r>
          </w:p>
        </w:tc>
        <w:tc>
          <w:tcPr>
            <w:tcW w:w="819" w:type="pct"/>
            <w:vAlign w:val="center"/>
          </w:tcPr>
          <w:p w14:paraId="34EFFF95">
            <w:pPr>
              <w:pStyle w:val="94"/>
              <w:rPr>
                <w:color w:val="auto"/>
              </w:rPr>
            </w:pPr>
            <w:r>
              <w:rPr>
                <w:color w:val="auto"/>
              </w:rPr>
              <w:t>调查地点</w:t>
            </w:r>
          </w:p>
        </w:tc>
        <w:tc>
          <w:tcPr>
            <w:tcW w:w="818" w:type="pct"/>
            <w:vAlign w:val="center"/>
          </w:tcPr>
          <w:p w14:paraId="762CD89C">
            <w:pPr>
              <w:pStyle w:val="94"/>
              <w:rPr>
                <w:color w:val="auto"/>
              </w:rPr>
            </w:pPr>
            <w:r>
              <w:rPr>
                <w:color w:val="auto"/>
              </w:rPr>
              <w:t>LXD8-11</w:t>
            </w:r>
            <w:r>
              <w:rPr>
                <w:rStyle w:val="92"/>
                <w:rFonts w:hint="default" w:cs="Arial"/>
                <w:b w:val="0"/>
                <w:bCs/>
                <w:color w:val="auto"/>
              </w:rPr>
              <w:t>井场</w:t>
            </w:r>
          </w:p>
        </w:tc>
        <w:tc>
          <w:tcPr>
            <w:tcW w:w="819" w:type="pct"/>
            <w:vAlign w:val="center"/>
          </w:tcPr>
          <w:p w14:paraId="317EBE93">
            <w:pPr>
              <w:pStyle w:val="94"/>
              <w:rPr>
                <w:color w:val="auto"/>
              </w:rPr>
            </w:pPr>
            <w:r>
              <w:rPr>
                <w:color w:val="auto"/>
              </w:rPr>
              <w:t>样方面积</w:t>
            </w:r>
          </w:p>
        </w:tc>
        <w:tc>
          <w:tcPr>
            <w:tcW w:w="845" w:type="pct"/>
            <w:vAlign w:val="center"/>
          </w:tcPr>
          <w:p w14:paraId="6661E870">
            <w:pPr>
              <w:pStyle w:val="94"/>
              <w:rPr>
                <w:color w:val="auto"/>
              </w:rPr>
            </w:pPr>
            <w:r>
              <w:rPr>
                <w:color w:val="auto"/>
              </w:rPr>
              <w:t>10m×10 m</w:t>
            </w:r>
          </w:p>
        </w:tc>
      </w:tr>
      <w:tr w14:paraId="5918BF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2" w:hRule="atLeast"/>
        </w:trPr>
        <w:tc>
          <w:tcPr>
            <w:tcW w:w="882" w:type="pct"/>
            <w:vAlign w:val="center"/>
          </w:tcPr>
          <w:p w14:paraId="221480CE">
            <w:pPr>
              <w:pStyle w:val="94"/>
              <w:rPr>
                <w:color w:val="auto"/>
              </w:rPr>
            </w:pPr>
            <w:r>
              <w:rPr>
                <w:color w:val="auto"/>
              </w:rPr>
              <w:t>海拔高度</w:t>
            </w:r>
          </w:p>
        </w:tc>
        <w:tc>
          <w:tcPr>
            <w:tcW w:w="818" w:type="pct"/>
            <w:vAlign w:val="center"/>
          </w:tcPr>
          <w:p w14:paraId="079E330F">
            <w:pPr>
              <w:pStyle w:val="94"/>
              <w:rPr>
                <w:color w:val="auto"/>
              </w:rPr>
            </w:pPr>
            <w:r>
              <w:rPr>
                <w:color w:val="auto"/>
              </w:rPr>
              <w:t>981m</w:t>
            </w:r>
          </w:p>
        </w:tc>
        <w:tc>
          <w:tcPr>
            <w:tcW w:w="819" w:type="pct"/>
            <w:vAlign w:val="center"/>
          </w:tcPr>
          <w:p w14:paraId="5B198038">
            <w:pPr>
              <w:pStyle w:val="94"/>
              <w:rPr>
                <w:color w:val="auto"/>
              </w:rPr>
            </w:pPr>
            <w:r>
              <w:rPr>
                <w:color w:val="auto"/>
              </w:rPr>
              <w:t>坡度</w:t>
            </w:r>
          </w:p>
        </w:tc>
        <w:tc>
          <w:tcPr>
            <w:tcW w:w="818" w:type="pct"/>
            <w:vAlign w:val="center"/>
          </w:tcPr>
          <w:p w14:paraId="7C58BFE7">
            <w:pPr>
              <w:pStyle w:val="94"/>
              <w:rPr>
                <w:color w:val="auto"/>
              </w:rPr>
            </w:pPr>
            <w:r>
              <w:rPr>
                <w:rFonts w:hint="eastAsia"/>
                <w:color w:val="auto"/>
              </w:rPr>
              <w:t>1</w:t>
            </w:r>
            <w:r>
              <w:rPr>
                <w:color w:val="auto"/>
              </w:rPr>
              <w:t>0</w:t>
            </w:r>
          </w:p>
        </w:tc>
        <w:tc>
          <w:tcPr>
            <w:tcW w:w="819" w:type="pct"/>
            <w:vAlign w:val="center"/>
          </w:tcPr>
          <w:p w14:paraId="73C6FFC5">
            <w:pPr>
              <w:pStyle w:val="94"/>
              <w:rPr>
                <w:color w:val="auto"/>
              </w:rPr>
            </w:pPr>
            <w:r>
              <w:rPr>
                <w:color w:val="auto"/>
              </w:rPr>
              <w:t>坡向</w:t>
            </w:r>
          </w:p>
        </w:tc>
        <w:tc>
          <w:tcPr>
            <w:tcW w:w="845" w:type="pct"/>
            <w:vAlign w:val="center"/>
          </w:tcPr>
          <w:p w14:paraId="344F1656">
            <w:pPr>
              <w:pStyle w:val="94"/>
              <w:rPr>
                <w:color w:val="auto"/>
              </w:rPr>
            </w:pPr>
            <w:r>
              <w:rPr>
                <w:rFonts w:hint="eastAsia"/>
                <w:color w:val="auto"/>
              </w:rPr>
              <w:t>W</w:t>
            </w:r>
          </w:p>
        </w:tc>
      </w:tr>
      <w:tr w14:paraId="07817A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25691F52">
            <w:pPr>
              <w:pStyle w:val="94"/>
              <w:rPr>
                <w:color w:val="auto"/>
              </w:rPr>
            </w:pPr>
            <w:r>
              <w:rPr>
                <w:color w:val="auto"/>
              </w:rPr>
              <w:t>土壤类型</w:t>
            </w:r>
          </w:p>
        </w:tc>
        <w:tc>
          <w:tcPr>
            <w:tcW w:w="818" w:type="pct"/>
            <w:vAlign w:val="center"/>
          </w:tcPr>
          <w:p w14:paraId="4CE34775">
            <w:pPr>
              <w:pStyle w:val="94"/>
              <w:rPr>
                <w:color w:val="auto"/>
              </w:rPr>
            </w:pPr>
            <w:r>
              <w:rPr>
                <w:rFonts w:hint="eastAsia"/>
                <w:color w:val="auto"/>
              </w:rPr>
              <w:t>黄绵土</w:t>
            </w:r>
          </w:p>
        </w:tc>
        <w:tc>
          <w:tcPr>
            <w:tcW w:w="819" w:type="pct"/>
            <w:vAlign w:val="center"/>
          </w:tcPr>
          <w:p w14:paraId="463935F6">
            <w:pPr>
              <w:pStyle w:val="94"/>
              <w:rPr>
                <w:color w:val="auto"/>
              </w:rPr>
            </w:pPr>
            <w:r>
              <w:rPr>
                <w:color w:val="auto"/>
              </w:rPr>
              <w:t>地形</w:t>
            </w:r>
          </w:p>
        </w:tc>
        <w:tc>
          <w:tcPr>
            <w:tcW w:w="818" w:type="pct"/>
            <w:vAlign w:val="center"/>
          </w:tcPr>
          <w:p w14:paraId="1BD7EBC5">
            <w:pPr>
              <w:pStyle w:val="94"/>
              <w:rPr>
                <w:color w:val="auto"/>
              </w:rPr>
            </w:pPr>
            <w:r>
              <w:rPr>
                <w:rFonts w:hint="eastAsia"/>
                <w:color w:val="auto"/>
              </w:rPr>
              <w:t>沟台地</w:t>
            </w:r>
          </w:p>
        </w:tc>
        <w:tc>
          <w:tcPr>
            <w:tcW w:w="819" w:type="pct"/>
            <w:vAlign w:val="center"/>
          </w:tcPr>
          <w:p w14:paraId="457CB065">
            <w:pPr>
              <w:pStyle w:val="94"/>
              <w:rPr>
                <w:color w:val="auto"/>
              </w:rPr>
            </w:pPr>
            <w:r>
              <w:rPr>
                <w:rFonts w:hint="eastAsia"/>
                <w:color w:val="auto"/>
              </w:rPr>
              <w:t>群系</w:t>
            </w:r>
          </w:p>
        </w:tc>
        <w:tc>
          <w:tcPr>
            <w:tcW w:w="845" w:type="pct"/>
            <w:vAlign w:val="center"/>
          </w:tcPr>
          <w:p w14:paraId="5B87E5A3">
            <w:pPr>
              <w:pStyle w:val="94"/>
              <w:rPr>
                <w:color w:val="auto"/>
              </w:rPr>
            </w:pPr>
            <w:r>
              <w:rPr>
                <w:rFonts w:hint="eastAsia"/>
                <w:color w:val="auto"/>
              </w:rPr>
              <w:t>小叶杨林</w:t>
            </w:r>
          </w:p>
        </w:tc>
      </w:tr>
      <w:tr w14:paraId="137D73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0D579DB8">
            <w:pPr>
              <w:pStyle w:val="94"/>
              <w:rPr>
                <w:color w:val="auto"/>
              </w:rPr>
            </w:pPr>
            <w:r>
              <w:rPr>
                <w:color w:val="auto"/>
              </w:rPr>
              <w:t>植被总盖度</w:t>
            </w:r>
          </w:p>
        </w:tc>
        <w:tc>
          <w:tcPr>
            <w:tcW w:w="818" w:type="pct"/>
            <w:vAlign w:val="center"/>
          </w:tcPr>
          <w:p w14:paraId="754A4799">
            <w:pPr>
              <w:pStyle w:val="94"/>
              <w:rPr>
                <w:color w:val="auto"/>
              </w:rPr>
            </w:pPr>
            <w:r>
              <w:rPr>
                <w:color w:val="auto"/>
              </w:rPr>
              <w:t>70%</w:t>
            </w:r>
          </w:p>
        </w:tc>
        <w:tc>
          <w:tcPr>
            <w:tcW w:w="819" w:type="pct"/>
            <w:vAlign w:val="center"/>
          </w:tcPr>
          <w:p w14:paraId="3DA9BBC8">
            <w:pPr>
              <w:pStyle w:val="94"/>
              <w:rPr>
                <w:color w:val="auto"/>
              </w:rPr>
            </w:pPr>
            <w:r>
              <w:rPr>
                <w:color w:val="auto"/>
              </w:rPr>
              <w:t>经纬度坐标</w:t>
            </w:r>
          </w:p>
        </w:tc>
        <w:tc>
          <w:tcPr>
            <w:tcW w:w="2482" w:type="pct"/>
            <w:gridSpan w:val="3"/>
            <w:vAlign w:val="bottom"/>
          </w:tcPr>
          <w:p w14:paraId="3395C398">
            <w:pPr>
              <w:pStyle w:val="94"/>
              <w:rPr>
                <w:color w:val="auto"/>
              </w:rPr>
            </w:pPr>
            <w:r>
              <w:rPr>
                <w:color w:val="auto"/>
              </w:rPr>
              <w:t>E110.82583°；N38.4071117°</w:t>
            </w:r>
          </w:p>
        </w:tc>
      </w:tr>
      <w:tr w14:paraId="182627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 w:hRule="atLeast"/>
        </w:trPr>
        <w:tc>
          <w:tcPr>
            <w:tcW w:w="882" w:type="pct"/>
            <w:vAlign w:val="center"/>
          </w:tcPr>
          <w:p w14:paraId="4EB8D187">
            <w:pPr>
              <w:pStyle w:val="94"/>
              <w:rPr>
                <w:color w:val="auto"/>
              </w:rPr>
            </w:pPr>
            <w:r>
              <w:rPr>
                <w:color w:val="auto"/>
              </w:rPr>
              <w:t>序号</w:t>
            </w:r>
          </w:p>
        </w:tc>
        <w:tc>
          <w:tcPr>
            <w:tcW w:w="818" w:type="pct"/>
            <w:vAlign w:val="center"/>
          </w:tcPr>
          <w:p w14:paraId="234B00C3">
            <w:pPr>
              <w:pStyle w:val="94"/>
              <w:rPr>
                <w:color w:val="auto"/>
              </w:rPr>
            </w:pPr>
            <w:r>
              <w:rPr>
                <w:color w:val="auto"/>
              </w:rPr>
              <w:t>植物名称</w:t>
            </w:r>
          </w:p>
        </w:tc>
        <w:tc>
          <w:tcPr>
            <w:tcW w:w="1637" w:type="pct"/>
            <w:gridSpan w:val="2"/>
            <w:vAlign w:val="center"/>
          </w:tcPr>
          <w:p w14:paraId="0F68EEB7">
            <w:pPr>
              <w:pStyle w:val="94"/>
              <w:rPr>
                <w:color w:val="auto"/>
              </w:rPr>
            </w:pPr>
            <w:r>
              <w:rPr>
                <w:color w:val="auto"/>
              </w:rPr>
              <w:t>高度（cm）</w:t>
            </w:r>
          </w:p>
        </w:tc>
        <w:tc>
          <w:tcPr>
            <w:tcW w:w="819" w:type="pct"/>
            <w:vAlign w:val="center"/>
          </w:tcPr>
          <w:p w14:paraId="479AACF6">
            <w:pPr>
              <w:pStyle w:val="94"/>
              <w:rPr>
                <w:color w:val="auto"/>
              </w:rPr>
            </w:pPr>
            <w:r>
              <w:rPr>
                <w:color w:val="auto"/>
              </w:rPr>
              <w:t>盖度（%）</w:t>
            </w:r>
          </w:p>
        </w:tc>
        <w:tc>
          <w:tcPr>
            <w:tcW w:w="845" w:type="pct"/>
            <w:vAlign w:val="center"/>
          </w:tcPr>
          <w:p w14:paraId="13EA21FA">
            <w:pPr>
              <w:pStyle w:val="94"/>
              <w:rPr>
                <w:color w:val="auto"/>
              </w:rPr>
            </w:pPr>
            <w:r>
              <w:rPr>
                <w:color w:val="auto"/>
              </w:rPr>
              <w:t>频度（个）</w:t>
            </w:r>
          </w:p>
        </w:tc>
      </w:tr>
      <w:tr w14:paraId="57A4C9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0ACCBFA3">
            <w:pPr>
              <w:pStyle w:val="94"/>
              <w:rPr>
                <w:color w:val="auto"/>
              </w:rPr>
            </w:pPr>
            <w:r>
              <w:rPr>
                <w:color w:val="auto"/>
              </w:rPr>
              <w:t>1</w:t>
            </w:r>
          </w:p>
        </w:tc>
        <w:tc>
          <w:tcPr>
            <w:tcW w:w="818" w:type="pct"/>
            <w:vAlign w:val="center"/>
          </w:tcPr>
          <w:p w14:paraId="6BE094FF">
            <w:pPr>
              <w:pStyle w:val="94"/>
              <w:rPr>
                <w:color w:val="auto"/>
              </w:rPr>
            </w:pPr>
            <w:r>
              <w:rPr>
                <w:rFonts w:hint="eastAsia"/>
                <w:color w:val="auto"/>
              </w:rPr>
              <w:t>小叶杨林</w:t>
            </w:r>
          </w:p>
        </w:tc>
        <w:tc>
          <w:tcPr>
            <w:tcW w:w="1637" w:type="pct"/>
            <w:gridSpan w:val="2"/>
            <w:vAlign w:val="center"/>
          </w:tcPr>
          <w:p w14:paraId="21C0F11A">
            <w:pPr>
              <w:pStyle w:val="94"/>
              <w:rPr>
                <w:color w:val="auto"/>
              </w:rPr>
            </w:pPr>
            <w:r>
              <w:rPr>
                <w:color w:val="auto"/>
              </w:rPr>
              <w:t>800~1000</w:t>
            </w:r>
          </w:p>
        </w:tc>
        <w:tc>
          <w:tcPr>
            <w:tcW w:w="819" w:type="pct"/>
            <w:vAlign w:val="center"/>
          </w:tcPr>
          <w:p w14:paraId="01EE2CAB">
            <w:pPr>
              <w:pStyle w:val="94"/>
              <w:rPr>
                <w:color w:val="auto"/>
              </w:rPr>
            </w:pPr>
            <w:r>
              <w:rPr>
                <w:color w:val="auto"/>
              </w:rPr>
              <w:t>60</w:t>
            </w:r>
          </w:p>
        </w:tc>
        <w:tc>
          <w:tcPr>
            <w:tcW w:w="845" w:type="pct"/>
            <w:vAlign w:val="center"/>
          </w:tcPr>
          <w:p w14:paraId="293454C5">
            <w:pPr>
              <w:pStyle w:val="94"/>
              <w:rPr>
                <w:color w:val="auto"/>
              </w:rPr>
            </w:pPr>
            <w:r>
              <w:rPr>
                <w:color w:val="auto"/>
              </w:rPr>
              <w:t>15</w:t>
            </w:r>
          </w:p>
        </w:tc>
      </w:tr>
      <w:tr w14:paraId="3B2C83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67CCA276">
            <w:pPr>
              <w:pStyle w:val="94"/>
              <w:rPr>
                <w:color w:val="auto"/>
              </w:rPr>
            </w:pPr>
            <w:r>
              <w:rPr>
                <w:color w:val="auto"/>
              </w:rPr>
              <w:t>2</w:t>
            </w:r>
          </w:p>
        </w:tc>
        <w:tc>
          <w:tcPr>
            <w:tcW w:w="818" w:type="pct"/>
            <w:vAlign w:val="top"/>
          </w:tcPr>
          <w:p w14:paraId="308167E1">
            <w:pPr>
              <w:pStyle w:val="94"/>
              <w:rPr>
                <w:color w:val="auto"/>
              </w:rPr>
            </w:pPr>
            <w:r>
              <w:rPr>
                <w:rFonts w:hint="eastAsia"/>
                <w:color w:val="auto"/>
              </w:rPr>
              <w:t>鬼针草</w:t>
            </w:r>
          </w:p>
        </w:tc>
        <w:tc>
          <w:tcPr>
            <w:tcW w:w="1637" w:type="pct"/>
            <w:gridSpan w:val="2"/>
            <w:vAlign w:val="center"/>
          </w:tcPr>
          <w:p w14:paraId="6F7AE280">
            <w:pPr>
              <w:pStyle w:val="94"/>
              <w:rPr>
                <w:color w:val="auto"/>
              </w:rPr>
            </w:pPr>
            <w:r>
              <w:rPr>
                <w:color w:val="auto"/>
              </w:rPr>
              <w:t>12</w:t>
            </w:r>
            <w:r>
              <w:rPr>
                <w:rFonts w:hint="eastAsia"/>
                <w:color w:val="auto"/>
              </w:rPr>
              <w:t>~</w:t>
            </w:r>
            <w:r>
              <w:rPr>
                <w:color w:val="auto"/>
              </w:rPr>
              <w:t>30</w:t>
            </w:r>
          </w:p>
        </w:tc>
        <w:tc>
          <w:tcPr>
            <w:tcW w:w="819" w:type="pct"/>
            <w:vAlign w:val="center"/>
          </w:tcPr>
          <w:p w14:paraId="58503871">
            <w:pPr>
              <w:pStyle w:val="94"/>
              <w:rPr>
                <w:color w:val="auto"/>
              </w:rPr>
            </w:pPr>
            <w:r>
              <w:rPr>
                <w:color w:val="auto"/>
              </w:rPr>
              <w:t>10</w:t>
            </w:r>
          </w:p>
        </w:tc>
        <w:tc>
          <w:tcPr>
            <w:tcW w:w="845" w:type="pct"/>
            <w:vAlign w:val="center"/>
          </w:tcPr>
          <w:p w14:paraId="18922F47">
            <w:pPr>
              <w:pStyle w:val="94"/>
              <w:rPr>
                <w:color w:val="auto"/>
              </w:rPr>
            </w:pPr>
            <w:r>
              <w:rPr>
                <w:color w:val="auto"/>
              </w:rPr>
              <w:t>120</w:t>
            </w:r>
          </w:p>
        </w:tc>
      </w:tr>
      <w:tr w14:paraId="37D4ED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35C41EE6">
            <w:pPr>
              <w:pStyle w:val="94"/>
              <w:rPr>
                <w:color w:val="auto"/>
              </w:rPr>
            </w:pPr>
            <w:r>
              <w:rPr>
                <w:color w:val="auto"/>
              </w:rPr>
              <w:t>3</w:t>
            </w:r>
          </w:p>
        </w:tc>
        <w:tc>
          <w:tcPr>
            <w:tcW w:w="818" w:type="pct"/>
            <w:vAlign w:val="top"/>
          </w:tcPr>
          <w:p w14:paraId="3FE226FC">
            <w:pPr>
              <w:pStyle w:val="94"/>
              <w:rPr>
                <w:color w:val="auto"/>
              </w:rPr>
            </w:pPr>
            <w:r>
              <w:rPr>
                <w:rFonts w:hint="eastAsia"/>
                <w:color w:val="auto"/>
              </w:rPr>
              <w:t>白茅</w:t>
            </w:r>
          </w:p>
        </w:tc>
        <w:tc>
          <w:tcPr>
            <w:tcW w:w="1637" w:type="pct"/>
            <w:gridSpan w:val="2"/>
            <w:vAlign w:val="center"/>
          </w:tcPr>
          <w:p w14:paraId="61FE6BAF">
            <w:pPr>
              <w:pStyle w:val="94"/>
              <w:rPr>
                <w:color w:val="auto"/>
              </w:rPr>
            </w:pPr>
            <w:r>
              <w:rPr>
                <w:color w:val="auto"/>
              </w:rPr>
              <w:t>20~40</w:t>
            </w:r>
          </w:p>
        </w:tc>
        <w:tc>
          <w:tcPr>
            <w:tcW w:w="819" w:type="pct"/>
            <w:vAlign w:val="center"/>
          </w:tcPr>
          <w:p w14:paraId="7876061E">
            <w:pPr>
              <w:pStyle w:val="94"/>
              <w:rPr>
                <w:color w:val="auto"/>
              </w:rPr>
            </w:pPr>
            <w:r>
              <w:rPr>
                <w:color w:val="auto"/>
              </w:rPr>
              <w:t>/</w:t>
            </w:r>
          </w:p>
        </w:tc>
        <w:tc>
          <w:tcPr>
            <w:tcW w:w="845" w:type="pct"/>
            <w:vAlign w:val="center"/>
          </w:tcPr>
          <w:p w14:paraId="62D59C2A">
            <w:pPr>
              <w:pStyle w:val="94"/>
              <w:rPr>
                <w:color w:val="auto"/>
              </w:rPr>
            </w:pPr>
            <w:r>
              <w:rPr>
                <w:color w:val="auto"/>
              </w:rPr>
              <w:t>45</w:t>
            </w:r>
          </w:p>
        </w:tc>
      </w:tr>
      <w:tr w14:paraId="576CCE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7EA50CDD">
            <w:pPr>
              <w:pStyle w:val="94"/>
              <w:rPr>
                <w:color w:val="auto"/>
              </w:rPr>
            </w:pPr>
            <w:r>
              <w:rPr>
                <w:color w:val="auto"/>
              </w:rPr>
              <w:t>4</w:t>
            </w:r>
          </w:p>
        </w:tc>
        <w:tc>
          <w:tcPr>
            <w:tcW w:w="818" w:type="pct"/>
            <w:vAlign w:val="top"/>
          </w:tcPr>
          <w:p w14:paraId="1CEB892D">
            <w:pPr>
              <w:pStyle w:val="94"/>
              <w:rPr>
                <w:color w:val="auto"/>
              </w:rPr>
            </w:pPr>
            <w:r>
              <w:rPr>
                <w:rFonts w:hint="eastAsia"/>
                <w:color w:val="auto"/>
              </w:rPr>
              <w:t>狗尾草</w:t>
            </w:r>
          </w:p>
        </w:tc>
        <w:tc>
          <w:tcPr>
            <w:tcW w:w="1637" w:type="pct"/>
            <w:gridSpan w:val="2"/>
            <w:vAlign w:val="center"/>
          </w:tcPr>
          <w:p w14:paraId="12FA45D0">
            <w:pPr>
              <w:pStyle w:val="94"/>
              <w:rPr>
                <w:color w:val="auto"/>
              </w:rPr>
            </w:pPr>
            <w:r>
              <w:rPr>
                <w:color w:val="auto"/>
              </w:rPr>
              <w:t>10~20</w:t>
            </w:r>
          </w:p>
        </w:tc>
        <w:tc>
          <w:tcPr>
            <w:tcW w:w="819" w:type="pct"/>
            <w:vAlign w:val="center"/>
          </w:tcPr>
          <w:p w14:paraId="2654F476">
            <w:pPr>
              <w:pStyle w:val="94"/>
              <w:rPr>
                <w:color w:val="auto"/>
              </w:rPr>
            </w:pPr>
            <w:r>
              <w:rPr>
                <w:color w:val="auto"/>
              </w:rPr>
              <w:t>/</w:t>
            </w:r>
          </w:p>
        </w:tc>
        <w:tc>
          <w:tcPr>
            <w:tcW w:w="845" w:type="pct"/>
            <w:vAlign w:val="center"/>
          </w:tcPr>
          <w:p w14:paraId="243319AD">
            <w:pPr>
              <w:pStyle w:val="94"/>
              <w:rPr>
                <w:color w:val="auto"/>
              </w:rPr>
            </w:pPr>
            <w:r>
              <w:rPr>
                <w:color w:val="auto"/>
              </w:rPr>
              <w:t>123</w:t>
            </w:r>
          </w:p>
        </w:tc>
      </w:tr>
      <w:tr w14:paraId="7AE120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043237C3">
            <w:pPr>
              <w:pStyle w:val="94"/>
              <w:rPr>
                <w:color w:val="auto"/>
              </w:rPr>
            </w:pPr>
            <w:r>
              <w:rPr>
                <w:color w:val="auto"/>
              </w:rPr>
              <w:t>5</w:t>
            </w:r>
          </w:p>
        </w:tc>
        <w:tc>
          <w:tcPr>
            <w:tcW w:w="818" w:type="pct"/>
            <w:vAlign w:val="top"/>
          </w:tcPr>
          <w:p w14:paraId="1591EFA3">
            <w:pPr>
              <w:pStyle w:val="94"/>
              <w:rPr>
                <w:color w:val="auto"/>
              </w:rPr>
            </w:pPr>
            <w:r>
              <w:rPr>
                <w:rFonts w:hint="eastAsia"/>
                <w:color w:val="auto"/>
              </w:rPr>
              <w:t>白莲蒿</w:t>
            </w:r>
          </w:p>
        </w:tc>
        <w:tc>
          <w:tcPr>
            <w:tcW w:w="1637" w:type="pct"/>
            <w:gridSpan w:val="2"/>
            <w:vAlign w:val="center"/>
          </w:tcPr>
          <w:p w14:paraId="1AA2F1BF">
            <w:pPr>
              <w:pStyle w:val="94"/>
              <w:rPr>
                <w:color w:val="auto"/>
              </w:rPr>
            </w:pPr>
            <w:r>
              <w:rPr>
                <w:color w:val="auto"/>
              </w:rPr>
              <w:t>10~30</w:t>
            </w:r>
          </w:p>
        </w:tc>
        <w:tc>
          <w:tcPr>
            <w:tcW w:w="819" w:type="pct"/>
            <w:vAlign w:val="center"/>
          </w:tcPr>
          <w:p w14:paraId="7820E255">
            <w:pPr>
              <w:pStyle w:val="94"/>
              <w:rPr>
                <w:color w:val="auto"/>
              </w:rPr>
            </w:pPr>
            <w:r>
              <w:rPr>
                <w:color w:val="auto"/>
              </w:rPr>
              <w:t>/</w:t>
            </w:r>
          </w:p>
        </w:tc>
        <w:tc>
          <w:tcPr>
            <w:tcW w:w="845" w:type="pct"/>
            <w:vAlign w:val="center"/>
          </w:tcPr>
          <w:p w14:paraId="2097CEB1">
            <w:pPr>
              <w:pStyle w:val="94"/>
              <w:rPr>
                <w:color w:val="auto"/>
              </w:rPr>
            </w:pPr>
            <w:r>
              <w:rPr>
                <w:color w:val="auto"/>
              </w:rPr>
              <w:t>105</w:t>
            </w:r>
          </w:p>
        </w:tc>
      </w:tr>
      <w:tr w14:paraId="7ABF14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29B6797B">
            <w:pPr>
              <w:pStyle w:val="94"/>
              <w:rPr>
                <w:color w:val="auto"/>
              </w:rPr>
            </w:pPr>
            <w:r>
              <w:rPr>
                <w:color w:val="auto"/>
              </w:rPr>
              <w:t>6</w:t>
            </w:r>
          </w:p>
        </w:tc>
        <w:tc>
          <w:tcPr>
            <w:tcW w:w="818" w:type="pct"/>
            <w:vAlign w:val="top"/>
          </w:tcPr>
          <w:p w14:paraId="585F2A57">
            <w:pPr>
              <w:pStyle w:val="94"/>
              <w:rPr>
                <w:color w:val="auto"/>
              </w:rPr>
            </w:pPr>
            <w:r>
              <w:rPr>
                <w:rFonts w:hint="eastAsia"/>
                <w:color w:val="auto"/>
              </w:rPr>
              <w:t>小蓟</w:t>
            </w:r>
          </w:p>
        </w:tc>
        <w:tc>
          <w:tcPr>
            <w:tcW w:w="1637" w:type="pct"/>
            <w:gridSpan w:val="2"/>
            <w:vAlign w:val="center"/>
          </w:tcPr>
          <w:p w14:paraId="55E83075">
            <w:pPr>
              <w:pStyle w:val="94"/>
              <w:rPr>
                <w:color w:val="auto"/>
              </w:rPr>
            </w:pPr>
            <w:r>
              <w:rPr>
                <w:color w:val="auto"/>
              </w:rPr>
              <w:t>10~15</w:t>
            </w:r>
          </w:p>
        </w:tc>
        <w:tc>
          <w:tcPr>
            <w:tcW w:w="819" w:type="pct"/>
            <w:vAlign w:val="center"/>
          </w:tcPr>
          <w:p w14:paraId="4797E513">
            <w:pPr>
              <w:pStyle w:val="94"/>
              <w:rPr>
                <w:color w:val="auto"/>
              </w:rPr>
            </w:pPr>
            <w:r>
              <w:rPr>
                <w:color w:val="auto"/>
              </w:rPr>
              <w:t>/</w:t>
            </w:r>
          </w:p>
        </w:tc>
        <w:tc>
          <w:tcPr>
            <w:tcW w:w="845" w:type="pct"/>
            <w:vAlign w:val="center"/>
          </w:tcPr>
          <w:p w14:paraId="293BEB50">
            <w:pPr>
              <w:pStyle w:val="94"/>
              <w:rPr>
                <w:color w:val="auto"/>
              </w:rPr>
            </w:pPr>
            <w:r>
              <w:rPr>
                <w:color w:val="auto"/>
              </w:rPr>
              <w:t>偶见</w:t>
            </w:r>
          </w:p>
        </w:tc>
      </w:tr>
      <w:tr w14:paraId="2E9265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2" w:type="pct"/>
            <w:vAlign w:val="center"/>
          </w:tcPr>
          <w:p w14:paraId="0F876A04">
            <w:pPr>
              <w:pStyle w:val="94"/>
              <w:rPr>
                <w:color w:val="auto"/>
              </w:rPr>
            </w:pPr>
            <w:r>
              <w:rPr>
                <w:color w:val="auto"/>
              </w:rPr>
              <w:t>7</w:t>
            </w:r>
          </w:p>
        </w:tc>
        <w:tc>
          <w:tcPr>
            <w:tcW w:w="818" w:type="pct"/>
            <w:vAlign w:val="top"/>
          </w:tcPr>
          <w:p w14:paraId="58FAC2F0">
            <w:pPr>
              <w:pStyle w:val="94"/>
              <w:rPr>
                <w:color w:val="auto"/>
              </w:rPr>
            </w:pPr>
            <w:r>
              <w:rPr>
                <w:rFonts w:hint="eastAsia"/>
                <w:color w:val="auto"/>
              </w:rPr>
              <w:t>苦苣菜</w:t>
            </w:r>
          </w:p>
        </w:tc>
        <w:tc>
          <w:tcPr>
            <w:tcW w:w="1637" w:type="pct"/>
            <w:gridSpan w:val="2"/>
            <w:vAlign w:val="center"/>
          </w:tcPr>
          <w:p w14:paraId="271566D4">
            <w:pPr>
              <w:pStyle w:val="94"/>
              <w:rPr>
                <w:color w:val="auto"/>
              </w:rPr>
            </w:pPr>
            <w:r>
              <w:rPr>
                <w:color w:val="auto"/>
              </w:rPr>
              <w:t>5~7</w:t>
            </w:r>
          </w:p>
        </w:tc>
        <w:tc>
          <w:tcPr>
            <w:tcW w:w="819" w:type="pct"/>
            <w:vAlign w:val="center"/>
          </w:tcPr>
          <w:p w14:paraId="7B168D3B">
            <w:pPr>
              <w:pStyle w:val="94"/>
              <w:rPr>
                <w:color w:val="auto"/>
              </w:rPr>
            </w:pPr>
            <w:r>
              <w:rPr>
                <w:color w:val="auto"/>
              </w:rPr>
              <w:t>/</w:t>
            </w:r>
          </w:p>
        </w:tc>
        <w:tc>
          <w:tcPr>
            <w:tcW w:w="845" w:type="pct"/>
            <w:vAlign w:val="center"/>
          </w:tcPr>
          <w:p w14:paraId="2B3515CF">
            <w:pPr>
              <w:pStyle w:val="94"/>
              <w:rPr>
                <w:color w:val="auto"/>
              </w:rPr>
            </w:pPr>
            <w:r>
              <w:rPr>
                <w:color w:val="auto"/>
              </w:rPr>
              <w:t>偶见</w:t>
            </w:r>
          </w:p>
        </w:tc>
      </w:tr>
    </w:tbl>
    <w:p w14:paraId="415E7E4F">
      <w:pPr>
        <w:pStyle w:val="96"/>
        <w:ind w:firstLine="480"/>
      </w:pPr>
      <w:r>
        <w:rPr>
          <w:rFonts w:hint="eastAsia"/>
        </w:rPr>
        <w:t>2、柠条锦鸡儿灌丛：灌丛覆盖度为40%~60%,群系中的灌木层分盖度为25%左右。柠条锦鸡儿灌丛为主, 灌木高70~120cm。草本层建群种主要为针茅、白羊草、蒿类,分盖度40%~70%,高25~80cm。常见的伴生种有委陵菜、狗尾草、赖草等。</w:t>
      </w:r>
    </w:p>
    <w:p w14:paraId="612084C6">
      <w:pPr>
        <w:pStyle w:val="19"/>
        <w:keepNext/>
      </w:pPr>
      <w:r>
        <w:t xml:space="preserve">表 </w:t>
      </w:r>
      <w:r>
        <w:fldChar w:fldCharType="begin"/>
      </w:r>
      <w:r>
        <w:instrText xml:space="preserve"> SEQ 表 \* ARABIC </w:instrText>
      </w:r>
      <w:r>
        <w:fldChar w:fldCharType="separate"/>
      </w:r>
      <w:r>
        <w:t>63</w:t>
      </w:r>
      <w:r>
        <w:fldChar w:fldCharType="end"/>
      </w:r>
      <w:r>
        <w:rPr>
          <w:rFonts w:hint="eastAsia"/>
        </w:rPr>
        <w:t>群系样方编号</w:t>
      </w:r>
      <w:r>
        <w:t>7</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81"/>
        <w:gridCol w:w="1748"/>
        <w:gridCol w:w="1750"/>
        <w:gridCol w:w="1748"/>
        <w:gridCol w:w="1750"/>
        <w:gridCol w:w="1805"/>
      </w:tblGrid>
      <w:tr w14:paraId="6AD0D4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881" w:type="pct"/>
            <w:tcBorders>
              <w:top w:val="single" w:color="auto" w:sz="12" w:space="0"/>
              <w:left w:val="single" w:color="auto" w:sz="12" w:space="0"/>
              <w:bottom w:val="single" w:color="auto" w:sz="6" w:space="0"/>
              <w:right w:val="single" w:color="auto" w:sz="6" w:space="0"/>
            </w:tcBorders>
            <w:vAlign w:val="center"/>
          </w:tcPr>
          <w:p w14:paraId="3792853C">
            <w:pPr>
              <w:pStyle w:val="94"/>
              <w:rPr>
                <w:color w:val="auto"/>
              </w:rPr>
            </w:pPr>
            <w:r>
              <w:rPr>
                <w:rFonts w:hint="eastAsia"/>
                <w:color w:val="auto"/>
              </w:rPr>
              <w:t>调查日期</w:t>
            </w:r>
          </w:p>
        </w:tc>
        <w:tc>
          <w:tcPr>
            <w:tcW w:w="818" w:type="pct"/>
            <w:tcBorders>
              <w:top w:val="single" w:color="auto" w:sz="12" w:space="0"/>
              <w:left w:val="single" w:color="auto" w:sz="6" w:space="0"/>
              <w:bottom w:val="single" w:color="auto" w:sz="6" w:space="0"/>
              <w:right w:val="single" w:color="auto" w:sz="6" w:space="0"/>
            </w:tcBorders>
            <w:vAlign w:val="center"/>
          </w:tcPr>
          <w:p w14:paraId="0B0E1874">
            <w:pPr>
              <w:pStyle w:val="94"/>
              <w:rPr>
                <w:color w:val="auto"/>
              </w:rPr>
            </w:pPr>
            <w:r>
              <w:rPr>
                <w:rFonts w:hint="eastAsia"/>
                <w:color w:val="auto"/>
              </w:rPr>
              <w:t>2023-9-</w:t>
            </w:r>
            <w:r>
              <w:rPr>
                <w:color w:val="auto"/>
              </w:rPr>
              <w:t>16</w:t>
            </w:r>
          </w:p>
        </w:tc>
        <w:tc>
          <w:tcPr>
            <w:tcW w:w="819" w:type="pct"/>
            <w:tcBorders>
              <w:top w:val="single" w:color="auto" w:sz="12" w:space="0"/>
              <w:left w:val="single" w:color="auto" w:sz="6" w:space="0"/>
              <w:bottom w:val="single" w:color="auto" w:sz="6" w:space="0"/>
              <w:right w:val="single" w:color="auto" w:sz="6" w:space="0"/>
            </w:tcBorders>
            <w:vAlign w:val="center"/>
          </w:tcPr>
          <w:p w14:paraId="36CCE2D2">
            <w:pPr>
              <w:pStyle w:val="94"/>
              <w:rPr>
                <w:color w:val="auto"/>
              </w:rPr>
            </w:pPr>
            <w:r>
              <w:rPr>
                <w:rFonts w:hint="eastAsia"/>
                <w:color w:val="auto"/>
              </w:rPr>
              <w:t>调查地点</w:t>
            </w:r>
          </w:p>
        </w:tc>
        <w:tc>
          <w:tcPr>
            <w:tcW w:w="818" w:type="pct"/>
            <w:tcBorders>
              <w:top w:val="single" w:color="auto" w:sz="12" w:space="0"/>
              <w:left w:val="single" w:color="auto" w:sz="6" w:space="0"/>
              <w:bottom w:val="single" w:color="auto" w:sz="6" w:space="0"/>
              <w:right w:val="single" w:color="auto" w:sz="6" w:space="0"/>
            </w:tcBorders>
            <w:vAlign w:val="center"/>
          </w:tcPr>
          <w:p w14:paraId="6D267378">
            <w:pPr>
              <w:pStyle w:val="94"/>
              <w:rPr>
                <w:color w:val="auto"/>
              </w:rPr>
            </w:pPr>
            <w:r>
              <w:rPr>
                <w:rFonts w:hint="eastAsia"/>
                <w:color w:val="auto"/>
              </w:rPr>
              <w:t>评价范围</w:t>
            </w:r>
          </w:p>
        </w:tc>
        <w:tc>
          <w:tcPr>
            <w:tcW w:w="819" w:type="pct"/>
            <w:tcBorders>
              <w:top w:val="single" w:color="auto" w:sz="12" w:space="0"/>
              <w:left w:val="single" w:color="auto" w:sz="6" w:space="0"/>
              <w:bottom w:val="single" w:color="auto" w:sz="6" w:space="0"/>
              <w:right w:val="single" w:color="auto" w:sz="6" w:space="0"/>
            </w:tcBorders>
            <w:vAlign w:val="center"/>
          </w:tcPr>
          <w:p w14:paraId="7728B2FC">
            <w:pPr>
              <w:pStyle w:val="94"/>
              <w:rPr>
                <w:color w:val="auto"/>
              </w:rPr>
            </w:pPr>
            <w:r>
              <w:rPr>
                <w:rFonts w:hint="eastAsia"/>
                <w:color w:val="auto"/>
              </w:rPr>
              <w:t>样方面积</w:t>
            </w:r>
          </w:p>
        </w:tc>
        <w:tc>
          <w:tcPr>
            <w:tcW w:w="845" w:type="pct"/>
            <w:tcBorders>
              <w:top w:val="single" w:color="auto" w:sz="12" w:space="0"/>
              <w:left w:val="single" w:color="auto" w:sz="6" w:space="0"/>
              <w:bottom w:val="single" w:color="auto" w:sz="6" w:space="0"/>
              <w:right w:val="single" w:color="auto" w:sz="12" w:space="0"/>
            </w:tcBorders>
            <w:vAlign w:val="center"/>
          </w:tcPr>
          <w:p w14:paraId="6F675911">
            <w:pPr>
              <w:pStyle w:val="94"/>
              <w:rPr>
                <w:color w:val="auto"/>
              </w:rPr>
            </w:pPr>
            <w:r>
              <w:rPr>
                <w:rFonts w:hint="eastAsia"/>
                <w:color w:val="auto"/>
              </w:rPr>
              <w:t>4m×4m</w:t>
            </w:r>
          </w:p>
        </w:tc>
      </w:tr>
      <w:tr w14:paraId="74D3B9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1" w:type="pct"/>
            <w:tcBorders>
              <w:top w:val="single" w:color="auto" w:sz="6" w:space="0"/>
              <w:left w:val="single" w:color="auto" w:sz="12" w:space="0"/>
              <w:bottom w:val="single" w:color="auto" w:sz="6" w:space="0"/>
              <w:right w:val="single" w:color="auto" w:sz="6" w:space="0"/>
            </w:tcBorders>
            <w:vAlign w:val="center"/>
          </w:tcPr>
          <w:p w14:paraId="68692EBF">
            <w:pPr>
              <w:pStyle w:val="94"/>
              <w:rPr>
                <w:color w:val="auto"/>
              </w:rPr>
            </w:pPr>
            <w:r>
              <w:rPr>
                <w:rFonts w:hint="eastAsia"/>
                <w:color w:val="auto"/>
              </w:rPr>
              <w:t>海拔高度</w:t>
            </w:r>
          </w:p>
        </w:tc>
        <w:tc>
          <w:tcPr>
            <w:tcW w:w="818" w:type="pct"/>
            <w:tcBorders>
              <w:top w:val="single" w:color="auto" w:sz="6" w:space="0"/>
              <w:left w:val="single" w:color="auto" w:sz="6" w:space="0"/>
              <w:bottom w:val="single" w:color="auto" w:sz="6" w:space="0"/>
              <w:right w:val="single" w:color="auto" w:sz="6" w:space="0"/>
            </w:tcBorders>
            <w:vAlign w:val="center"/>
          </w:tcPr>
          <w:p w14:paraId="2633323A">
            <w:pPr>
              <w:pStyle w:val="94"/>
              <w:rPr>
                <w:color w:val="auto"/>
              </w:rPr>
            </w:pPr>
            <w:r>
              <w:rPr>
                <w:color w:val="auto"/>
              </w:rPr>
              <w:t>1029m</w:t>
            </w:r>
          </w:p>
        </w:tc>
        <w:tc>
          <w:tcPr>
            <w:tcW w:w="819" w:type="pct"/>
            <w:tcBorders>
              <w:top w:val="single" w:color="auto" w:sz="6" w:space="0"/>
              <w:left w:val="single" w:color="auto" w:sz="6" w:space="0"/>
              <w:bottom w:val="single" w:color="auto" w:sz="6" w:space="0"/>
              <w:right w:val="single" w:color="auto" w:sz="6" w:space="0"/>
            </w:tcBorders>
            <w:vAlign w:val="center"/>
          </w:tcPr>
          <w:p w14:paraId="151A9092">
            <w:pPr>
              <w:pStyle w:val="94"/>
              <w:rPr>
                <w:color w:val="auto"/>
              </w:rPr>
            </w:pPr>
            <w:r>
              <w:rPr>
                <w:rFonts w:hint="eastAsia"/>
                <w:color w:val="auto"/>
              </w:rPr>
              <w:t>坡度</w:t>
            </w:r>
          </w:p>
        </w:tc>
        <w:tc>
          <w:tcPr>
            <w:tcW w:w="818" w:type="pct"/>
            <w:tcBorders>
              <w:top w:val="single" w:color="auto" w:sz="6" w:space="0"/>
              <w:left w:val="single" w:color="auto" w:sz="6" w:space="0"/>
              <w:bottom w:val="single" w:color="auto" w:sz="6" w:space="0"/>
              <w:right w:val="single" w:color="auto" w:sz="6" w:space="0"/>
            </w:tcBorders>
            <w:vAlign w:val="center"/>
          </w:tcPr>
          <w:p w14:paraId="3728FF0A">
            <w:pPr>
              <w:pStyle w:val="94"/>
              <w:rPr>
                <w:color w:val="auto"/>
              </w:rPr>
            </w:pPr>
            <w:r>
              <w:rPr>
                <w:color w:val="auto"/>
              </w:rPr>
              <w:t>15</w:t>
            </w:r>
            <w:r>
              <w:rPr>
                <w:rFonts w:hint="eastAsia"/>
                <w:color w:val="auto"/>
              </w:rPr>
              <w:t>°</w:t>
            </w:r>
          </w:p>
        </w:tc>
        <w:tc>
          <w:tcPr>
            <w:tcW w:w="819" w:type="pct"/>
            <w:tcBorders>
              <w:top w:val="single" w:color="auto" w:sz="6" w:space="0"/>
              <w:left w:val="single" w:color="auto" w:sz="6" w:space="0"/>
              <w:bottom w:val="single" w:color="auto" w:sz="6" w:space="0"/>
              <w:right w:val="single" w:color="auto" w:sz="6" w:space="0"/>
            </w:tcBorders>
            <w:vAlign w:val="center"/>
          </w:tcPr>
          <w:p w14:paraId="3ACCFFD8">
            <w:pPr>
              <w:pStyle w:val="94"/>
              <w:rPr>
                <w:color w:val="auto"/>
              </w:rPr>
            </w:pPr>
            <w:r>
              <w:rPr>
                <w:rFonts w:hint="eastAsia"/>
                <w:color w:val="auto"/>
              </w:rPr>
              <w:t>坡向</w:t>
            </w:r>
          </w:p>
        </w:tc>
        <w:tc>
          <w:tcPr>
            <w:tcW w:w="845" w:type="pct"/>
            <w:tcBorders>
              <w:top w:val="single" w:color="auto" w:sz="6" w:space="0"/>
              <w:left w:val="single" w:color="auto" w:sz="6" w:space="0"/>
              <w:bottom w:val="single" w:color="auto" w:sz="6" w:space="0"/>
              <w:right w:val="single" w:color="auto" w:sz="12" w:space="0"/>
            </w:tcBorders>
            <w:vAlign w:val="center"/>
          </w:tcPr>
          <w:p w14:paraId="657FD9CF">
            <w:pPr>
              <w:pStyle w:val="94"/>
              <w:rPr>
                <w:color w:val="auto"/>
              </w:rPr>
            </w:pPr>
            <w:r>
              <w:rPr>
                <w:rFonts w:hint="eastAsia"/>
                <w:color w:val="auto"/>
              </w:rPr>
              <w:t>NW</w:t>
            </w:r>
          </w:p>
        </w:tc>
      </w:tr>
      <w:tr w14:paraId="5BBA7F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1" w:type="pct"/>
            <w:tcBorders>
              <w:top w:val="single" w:color="auto" w:sz="6" w:space="0"/>
              <w:left w:val="single" w:color="auto" w:sz="12" w:space="0"/>
              <w:bottom w:val="single" w:color="auto" w:sz="6" w:space="0"/>
              <w:right w:val="single" w:color="auto" w:sz="6" w:space="0"/>
            </w:tcBorders>
            <w:vAlign w:val="center"/>
          </w:tcPr>
          <w:p w14:paraId="7991CB16">
            <w:pPr>
              <w:pStyle w:val="94"/>
              <w:rPr>
                <w:color w:val="auto"/>
              </w:rPr>
            </w:pPr>
            <w:r>
              <w:rPr>
                <w:rFonts w:hint="eastAsia"/>
                <w:color w:val="auto"/>
              </w:rPr>
              <w:t>土壤类型</w:t>
            </w:r>
          </w:p>
        </w:tc>
        <w:tc>
          <w:tcPr>
            <w:tcW w:w="818" w:type="pct"/>
            <w:tcBorders>
              <w:top w:val="single" w:color="auto" w:sz="6" w:space="0"/>
              <w:left w:val="single" w:color="auto" w:sz="6" w:space="0"/>
              <w:bottom w:val="single" w:color="auto" w:sz="6" w:space="0"/>
              <w:right w:val="single" w:color="auto" w:sz="6" w:space="0"/>
            </w:tcBorders>
            <w:vAlign w:val="center"/>
          </w:tcPr>
          <w:p w14:paraId="6928F829">
            <w:pPr>
              <w:pStyle w:val="94"/>
              <w:rPr>
                <w:color w:val="auto"/>
              </w:rPr>
            </w:pPr>
            <w:r>
              <w:rPr>
                <w:rFonts w:hint="eastAsia"/>
                <w:color w:val="auto"/>
              </w:rPr>
              <w:t>黄绵土</w:t>
            </w:r>
          </w:p>
        </w:tc>
        <w:tc>
          <w:tcPr>
            <w:tcW w:w="819" w:type="pct"/>
            <w:tcBorders>
              <w:top w:val="single" w:color="auto" w:sz="6" w:space="0"/>
              <w:left w:val="single" w:color="auto" w:sz="6" w:space="0"/>
              <w:bottom w:val="single" w:color="auto" w:sz="6" w:space="0"/>
              <w:right w:val="single" w:color="auto" w:sz="6" w:space="0"/>
            </w:tcBorders>
            <w:vAlign w:val="center"/>
          </w:tcPr>
          <w:p w14:paraId="63C52FC2">
            <w:pPr>
              <w:pStyle w:val="94"/>
              <w:rPr>
                <w:color w:val="auto"/>
              </w:rPr>
            </w:pPr>
            <w:r>
              <w:rPr>
                <w:rFonts w:hint="eastAsia"/>
                <w:color w:val="auto"/>
              </w:rPr>
              <w:t>地形</w:t>
            </w:r>
          </w:p>
        </w:tc>
        <w:tc>
          <w:tcPr>
            <w:tcW w:w="818" w:type="pct"/>
            <w:tcBorders>
              <w:top w:val="single" w:color="auto" w:sz="6" w:space="0"/>
              <w:left w:val="single" w:color="auto" w:sz="6" w:space="0"/>
              <w:bottom w:val="single" w:color="auto" w:sz="6" w:space="0"/>
              <w:right w:val="single" w:color="auto" w:sz="6" w:space="0"/>
            </w:tcBorders>
            <w:vAlign w:val="center"/>
          </w:tcPr>
          <w:p w14:paraId="1EC610C7">
            <w:pPr>
              <w:pStyle w:val="94"/>
              <w:rPr>
                <w:color w:val="auto"/>
              </w:rPr>
            </w:pPr>
            <w:r>
              <w:rPr>
                <w:rFonts w:hint="eastAsia"/>
                <w:color w:val="auto"/>
              </w:rPr>
              <w:t>沟台地</w:t>
            </w:r>
          </w:p>
        </w:tc>
        <w:tc>
          <w:tcPr>
            <w:tcW w:w="819" w:type="pct"/>
            <w:tcBorders>
              <w:top w:val="single" w:color="auto" w:sz="6" w:space="0"/>
              <w:left w:val="single" w:color="auto" w:sz="6" w:space="0"/>
              <w:bottom w:val="single" w:color="auto" w:sz="6" w:space="0"/>
              <w:right w:val="single" w:color="auto" w:sz="6" w:space="0"/>
            </w:tcBorders>
            <w:vAlign w:val="center"/>
          </w:tcPr>
          <w:p w14:paraId="2F7E59F7">
            <w:pPr>
              <w:pStyle w:val="94"/>
              <w:rPr>
                <w:color w:val="auto"/>
              </w:rPr>
            </w:pPr>
            <w:r>
              <w:rPr>
                <w:rFonts w:hint="eastAsia"/>
                <w:color w:val="auto"/>
              </w:rPr>
              <w:t>群系</w:t>
            </w:r>
          </w:p>
        </w:tc>
        <w:tc>
          <w:tcPr>
            <w:tcW w:w="845" w:type="pct"/>
            <w:tcBorders>
              <w:top w:val="single" w:color="auto" w:sz="6" w:space="0"/>
              <w:left w:val="single" w:color="auto" w:sz="6" w:space="0"/>
              <w:bottom w:val="single" w:color="auto" w:sz="6" w:space="0"/>
              <w:right w:val="single" w:color="auto" w:sz="12" w:space="0"/>
            </w:tcBorders>
            <w:vAlign w:val="center"/>
          </w:tcPr>
          <w:p w14:paraId="1D4E3100">
            <w:pPr>
              <w:pStyle w:val="94"/>
              <w:rPr>
                <w:color w:val="auto"/>
              </w:rPr>
            </w:pPr>
            <w:r>
              <w:rPr>
                <w:rFonts w:hint="eastAsia"/>
                <w:color w:val="auto"/>
              </w:rPr>
              <w:t>柠条锦鸡儿灌丛</w:t>
            </w:r>
          </w:p>
        </w:tc>
      </w:tr>
      <w:tr w14:paraId="16B2D5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1" w:type="pct"/>
            <w:tcBorders>
              <w:top w:val="single" w:color="auto" w:sz="6" w:space="0"/>
              <w:left w:val="single" w:color="auto" w:sz="12" w:space="0"/>
              <w:bottom w:val="single" w:color="auto" w:sz="6" w:space="0"/>
              <w:right w:val="single" w:color="auto" w:sz="6" w:space="0"/>
            </w:tcBorders>
            <w:vAlign w:val="center"/>
          </w:tcPr>
          <w:p w14:paraId="1CB75BCE">
            <w:pPr>
              <w:pStyle w:val="94"/>
              <w:rPr>
                <w:color w:val="auto"/>
              </w:rPr>
            </w:pPr>
            <w:r>
              <w:rPr>
                <w:rFonts w:hint="eastAsia"/>
                <w:color w:val="auto"/>
              </w:rPr>
              <w:t>植被总盖度</w:t>
            </w:r>
          </w:p>
        </w:tc>
        <w:tc>
          <w:tcPr>
            <w:tcW w:w="818" w:type="pct"/>
            <w:tcBorders>
              <w:top w:val="single" w:color="auto" w:sz="6" w:space="0"/>
              <w:left w:val="single" w:color="auto" w:sz="6" w:space="0"/>
              <w:bottom w:val="single" w:color="auto" w:sz="6" w:space="0"/>
              <w:right w:val="single" w:color="auto" w:sz="6" w:space="0"/>
            </w:tcBorders>
            <w:vAlign w:val="center"/>
          </w:tcPr>
          <w:p w14:paraId="4149B432">
            <w:pPr>
              <w:pStyle w:val="94"/>
              <w:rPr>
                <w:color w:val="auto"/>
              </w:rPr>
            </w:pPr>
            <w:r>
              <w:rPr>
                <w:rFonts w:hint="eastAsia"/>
                <w:color w:val="auto"/>
              </w:rPr>
              <w:t>55%</w:t>
            </w:r>
          </w:p>
        </w:tc>
        <w:tc>
          <w:tcPr>
            <w:tcW w:w="819" w:type="pct"/>
            <w:tcBorders>
              <w:top w:val="single" w:color="auto" w:sz="6" w:space="0"/>
              <w:left w:val="single" w:color="auto" w:sz="6" w:space="0"/>
              <w:bottom w:val="single" w:color="auto" w:sz="6" w:space="0"/>
              <w:right w:val="single" w:color="auto" w:sz="6" w:space="0"/>
            </w:tcBorders>
            <w:vAlign w:val="center"/>
          </w:tcPr>
          <w:p w14:paraId="4392AB25">
            <w:pPr>
              <w:pStyle w:val="94"/>
              <w:rPr>
                <w:color w:val="auto"/>
              </w:rPr>
            </w:pPr>
            <w:r>
              <w:rPr>
                <w:rFonts w:hint="eastAsia"/>
                <w:color w:val="auto"/>
              </w:rPr>
              <w:t>经纬度坐标</w:t>
            </w:r>
          </w:p>
        </w:tc>
        <w:tc>
          <w:tcPr>
            <w:tcW w:w="2482" w:type="pct"/>
            <w:gridSpan w:val="3"/>
            <w:tcBorders>
              <w:top w:val="single" w:color="auto" w:sz="6" w:space="0"/>
              <w:left w:val="single" w:color="auto" w:sz="6" w:space="0"/>
              <w:bottom w:val="single" w:color="auto" w:sz="6" w:space="0"/>
              <w:right w:val="single" w:color="auto" w:sz="12" w:space="0"/>
            </w:tcBorders>
            <w:vAlign w:val="center"/>
          </w:tcPr>
          <w:p w14:paraId="6CBC8122">
            <w:pPr>
              <w:pStyle w:val="94"/>
              <w:rPr>
                <w:color w:val="auto"/>
              </w:rPr>
            </w:pPr>
            <w:r>
              <w:rPr>
                <w:color w:val="auto"/>
              </w:rPr>
              <w:t>E110.89612°；N38.4166258°</w:t>
            </w:r>
          </w:p>
        </w:tc>
      </w:tr>
      <w:tr w14:paraId="160102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1" w:type="pct"/>
            <w:tcBorders>
              <w:top w:val="single" w:color="auto" w:sz="6" w:space="0"/>
              <w:left w:val="single" w:color="auto" w:sz="12" w:space="0"/>
              <w:bottom w:val="single" w:color="auto" w:sz="6" w:space="0"/>
              <w:right w:val="single" w:color="auto" w:sz="6" w:space="0"/>
            </w:tcBorders>
            <w:vAlign w:val="center"/>
          </w:tcPr>
          <w:p w14:paraId="65AC31FF">
            <w:pPr>
              <w:pStyle w:val="94"/>
              <w:rPr>
                <w:color w:val="auto"/>
              </w:rPr>
            </w:pPr>
            <w:r>
              <w:rPr>
                <w:rFonts w:hint="eastAsia"/>
                <w:color w:val="auto"/>
              </w:rPr>
              <w:t>序号</w:t>
            </w:r>
          </w:p>
        </w:tc>
        <w:tc>
          <w:tcPr>
            <w:tcW w:w="818" w:type="pct"/>
            <w:tcBorders>
              <w:top w:val="single" w:color="auto" w:sz="6" w:space="0"/>
              <w:left w:val="single" w:color="auto" w:sz="6" w:space="0"/>
              <w:bottom w:val="single" w:color="auto" w:sz="6" w:space="0"/>
              <w:right w:val="single" w:color="auto" w:sz="6" w:space="0"/>
            </w:tcBorders>
            <w:vAlign w:val="center"/>
          </w:tcPr>
          <w:p w14:paraId="1A06E87E">
            <w:pPr>
              <w:pStyle w:val="94"/>
              <w:rPr>
                <w:color w:val="auto"/>
              </w:rPr>
            </w:pPr>
            <w:r>
              <w:rPr>
                <w:rFonts w:hint="eastAsia"/>
                <w:color w:val="auto"/>
              </w:rPr>
              <w:t>植物名称</w:t>
            </w:r>
          </w:p>
        </w:tc>
        <w:tc>
          <w:tcPr>
            <w:tcW w:w="819" w:type="pct"/>
            <w:tcBorders>
              <w:top w:val="single" w:color="auto" w:sz="6" w:space="0"/>
              <w:left w:val="single" w:color="auto" w:sz="6" w:space="0"/>
              <w:bottom w:val="single" w:color="auto" w:sz="6" w:space="0"/>
              <w:right w:val="single" w:color="auto" w:sz="6" w:space="0"/>
            </w:tcBorders>
            <w:vAlign w:val="center"/>
          </w:tcPr>
          <w:p w14:paraId="1611EFFC">
            <w:pPr>
              <w:pStyle w:val="94"/>
              <w:rPr>
                <w:color w:val="auto"/>
              </w:rPr>
            </w:pPr>
            <w:r>
              <w:rPr>
                <w:rFonts w:hint="eastAsia"/>
                <w:color w:val="auto"/>
              </w:rPr>
              <w:t>高度（cm）</w:t>
            </w:r>
          </w:p>
        </w:tc>
        <w:tc>
          <w:tcPr>
            <w:tcW w:w="818" w:type="pct"/>
            <w:tcBorders>
              <w:top w:val="single" w:color="auto" w:sz="6" w:space="0"/>
              <w:left w:val="single" w:color="auto" w:sz="6" w:space="0"/>
              <w:bottom w:val="single" w:color="auto" w:sz="6" w:space="0"/>
              <w:right w:val="single" w:color="auto" w:sz="6" w:space="0"/>
            </w:tcBorders>
            <w:vAlign w:val="center"/>
          </w:tcPr>
          <w:p w14:paraId="49305197">
            <w:pPr>
              <w:pStyle w:val="94"/>
              <w:rPr>
                <w:color w:val="auto"/>
              </w:rPr>
            </w:pPr>
            <w:r>
              <w:rPr>
                <w:rFonts w:hint="eastAsia"/>
                <w:color w:val="auto"/>
              </w:rPr>
              <w:t>地上部分生物量（g）</w:t>
            </w:r>
          </w:p>
        </w:tc>
        <w:tc>
          <w:tcPr>
            <w:tcW w:w="819" w:type="pct"/>
            <w:tcBorders>
              <w:top w:val="single" w:color="auto" w:sz="6" w:space="0"/>
              <w:left w:val="single" w:color="auto" w:sz="6" w:space="0"/>
              <w:bottom w:val="single" w:color="auto" w:sz="6" w:space="0"/>
              <w:right w:val="single" w:color="auto" w:sz="6" w:space="0"/>
            </w:tcBorders>
            <w:vAlign w:val="center"/>
          </w:tcPr>
          <w:p w14:paraId="5DB6ECCA">
            <w:pPr>
              <w:pStyle w:val="94"/>
              <w:rPr>
                <w:color w:val="auto"/>
              </w:rPr>
            </w:pPr>
            <w:r>
              <w:rPr>
                <w:rFonts w:hint="eastAsia"/>
                <w:color w:val="auto"/>
              </w:rPr>
              <w:t>盖度（%）</w:t>
            </w:r>
          </w:p>
        </w:tc>
        <w:tc>
          <w:tcPr>
            <w:tcW w:w="845" w:type="pct"/>
            <w:tcBorders>
              <w:top w:val="single" w:color="auto" w:sz="6" w:space="0"/>
              <w:left w:val="single" w:color="auto" w:sz="6" w:space="0"/>
              <w:bottom w:val="single" w:color="auto" w:sz="6" w:space="0"/>
              <w:right w:val="single" w:color="auto" w:sz="12" w:space="0"/>
            </w:tcBorders>
            <w:vAlign w:val="center"/>
          </w:tcPr>
          <w:p w14:paraId="4DA6E08B">
            <w:pPr>
              <w:pStyle w:val="94"/>
              <w:rPr>
                <w:color w:val="auto"/>
              </w:rPr>
            </w:pPr>
            <w:r>
              <w:rPr>
                <w:rFonts w:hint="eastAsia"/>
                <w:color w:val="auto"/>
              </w:rPr>
              <w:t>频度（个）</w:t>
            </w:r>
          </w:p>
        </w:tc>
      </w:tr>
      <w:tr w14:paraId="7320175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1" w:type="pct"/>
            <w:tcBorders>
              <w:top w:val="single" w:color="auto" w:sz="6" w:space="0"/>
              <w:left w:val="single" w:color="auto" w:sz="12" w:space="0"/>
              <w:bottom w:val="single" w:color="auto" w:sz="6" w:space="0"/>
              <w:right w:val="single" w:color="auto" w:sz="6" w:space="0"/>
            </w:tcBorders>
            <w:vAlign w:val="center"/>
          </w:tcPr>
          <w:p w14:paraId="3FBE1FDD">
            <w:pPr>
              <w:pStyle w:val="94"/>
              <w:rPr>
                <w:color w:val="auto"/>
              </w:rPr>
            </w:pPr>
            <w:r>
              <w:rPr>
                <w:rFonts w:hint="eastAsia"/>
                <w:color w:val="auto"/>
              </w:rPr>
              <w:t>1</w:t>
            </w:r>
          </w:p>
        </w:tc>
        <w:tc>
          <w:tcPr>
            <w:tcW w:w="818" w:type="pct"/>
            <w:tcBorders>
              <w:top w:val="single" w:color="auto" w:sz="6" w:space="0"/>
              <w:left w:val="single" w:color="auto" w:sz="6" w:space="0"/>
              <w:bottom w:val="single" w:color="auto" w:sz="6" w:space="0"/>
              <w:right w:val="single" w:color="auto" w:sz="6" w:space="0"/>
            </w:tcBorders>
            <w:vAlign w:val="center"/>
          </w:tcPr>
          <w:p w14:paraId="7BD94A1B">
            <w:pPr>
              <w:pStyle w:val="94"/>
              <w:rPr>
                <w:color w:val="auto"/>
              </w:rPr>
            </w:pPr>
            <w:r>
              <w:rPr>
                <w:rFonts w:hint="eastAsia"/>
                <w:color w:val="auto"/>
              </w:rPr>
              <w:t>柠条锦鸡儿</w:t>
            </w:r>
          </w:p>
        </w:tc>
        <w:tc>
          <w:tcPr>
            <w:tcW w:w="819" w:type="pct"/>
            <w:tcBorders>
              <w:top w:val="single" w:color="auto" w:sz="6" w:space="0"/>
              <w:left w:val="single" w:color="auto" w:sz="6" w:space="0"/>
              <w:bottom w:val="single" w:color="auto" w:sz="6" w:space="0"/>
              <w:right w:val="single" w:color="auto" w:sz="6" w:space="0"/>
            </w:tcBorders>
            <w:vAlign w:val="center"/>
          </w:tcPr>
          <w:p w14:paraId="59FCF26E">
            <w:pPr>
              <w:pStyle w:val="94"/>
              <w:rPr>
                <w:color w:val="auto"/>
              </w:rPr>
            </w:pPr>
            <w:r>
              <w:rPr>
                <w:rFonts w:hint="eastAsia"/>
                <w:color w:val="auto"/>
              </w:rPr>
              <w:t>60~180</w:t>
            </w:r>
          </w:p>
        </w:tc>
        <w:tc>
          <w:tcPr>
            <w:tcW w:w="818" w:type="pct"/>
            <w:tcBorders>
              <w:top w:val="single" w:color="auto" w:sz="6" w:space="0"/>
              <w:left w:val="single" w:color="auto" w:sz="6" w:space="0"/>
              <w:bottom w:val="single" w:color="auto" w:sz="6" w:space="0"/>
              <w:right w:val="single" w:color="auto" w:sz="6" w:space="0"/>
            </w:tcBorders>
            <w:vAlign w:val="center"/>
          </w:tcPr>
          <w:p w14:paraId="57ED5348">
            <w:pPr>
              <w:pStyle w:val="94"/>
              <w:rPr>
                <w:color w:val="auto"/>
              </w:rPr>
            </w:pPr>
            <w:r>
              <w:rPr>
                <w:rFonts w:hint="eastAsia"/>
                <w:color w:val="auto"/>
              </w:rPr>
              <w:t>6204</w:t>
            </w:r>
          </w:p>
        </w:tc>
        <w:tc>
          <w:tcPr>
            <w:tcW w:w="819" w:type="pct"/>
            <w:tcBorders>
              <w:top w:val="single" w:color="auto" w:sz="6" w:space="0"/>
              <w:left w:val="single" w:color="auto" w:sz="6" w:space="0"/>
              <w:bottom w:val="single" w:color="auto" w:sz="6" w:space="0"/>
              <w:right w:val="single" w:color="auto" w:sz="6" w:space="0"/>
            </w:tcBorders>
            <w:vAlign w:val="center"/>
          </w:tcPr>
          <w:p w14:paraId="46A0CB85">
            <w:pPr>
              <w:pStyle w:val="94"/>
              <w:rPr>
                <w:color w:val="auto"/>
              </w:rPr>
            </w:pPr>
            <w:r>
              <w:rPr>
                <w:rFonts w:hint="eastAsia"/>
                <w:color w:val="auto"/>
              </w:rPr>
              <w:t>50</w:t>
            </w:r>
          </w:p>
        </w:tc>
        <w:tc>
          <w:tcPr>
            <w:tcW w:w="845" w:type="pct"/>
            <w:tcBorders>
              <w:top w:val="single" w:color="auto" w:sz="6" w:space="0"/>
              <w:left w:val="single" w:color="auto" w:sz="6" w:space="0"/>
              <w:bottom w:val="single" w:color="auto" w:sz="6" w:space="0"/>
              <w:right w:val="single" w:color="auto" w:sz="12" w:space="0"/>
            </w:tcBorders>
            <w:vAlign w:val="center"/>
          </w:tcPr>
          <w:p w14:paraId="21AC8968">
            <w:pPr>
              <w:pStyle w:val="94"/>
              <w:rPr>
                <w:color w:val="auto"/>
              </w:rPr>
            </w:pPr>
            <w:r>
              <w:rPr>
                <w:rFonts w:hint="eastAsia"/>
                <w:color w:val="auto"/>
              </w:rPr>
              <w:t>35</w:t>
            </w:r>
          </w:p>
        </w:tc>
      </w:tr>
      <w:tr w14:paraId="2C5F55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1" w:type="pct"/>
            <w:tcBorders>
              <w:top w:val="single" w:color="auto" w:sz="6" w:space="0"/>
              <w:left w:val="single" w:color="auto" w:sz="12" w:space="0"/>
              <w:bottom w:val="single" w:color="auto" w:sz="6" w:space="0"/>
              <w:right w:val="single" w:color="auto" w:sz="6" w:space="0"/>
            </w:tcBorders>
            <w:vAlign w:val="center"/>
          </w:tcPr>
          <w:p w14:paraId="312B9C00">
            <w:pPr>
              <w:pStyle w:val="94"/>
              <w:rPr>
                <w:color w:val="auto"/>
              </w:rPr>
            </w:pPr>
            <w:r>
              <w:rPr>
                <w:rFonts w:hint="eastAsia"/>
                <w:color w:val="auto"/>
              </w:rPr>
              <w:t>2</w:t>
            </w:r>
          </w:p>
        </w:tc>
        <w:tc>
          <w:tcPr>
            <w:tcW w:w="818" w:type="pct"/>
            <w:tcBorders>
              <w:top w:val="single" w:color="auto" w:sz="6" w:space="0"/>
              <w:left w:val="single" w:color="auto" w:sz="6" w:space="0"/>
              <w:bottom w:val="single" w:color="auto" w:sz="6" w:space="0"/>
              <w:right w:val="single" w:color="auto" w:sz="6" w:space="0"/>
            </w:tcBorders>
            <w:vAlign w:val="center"/>
          </w:tcPr>
          <w:p w14:paraId="710C8589">
            <w:pPr>
              <w:pStyle w:val="94"/>
              <w:rPr>
                <w:color w:val="auto"/>
              </w:rPr>
            </w:pPr>
            <w:r>
              <w:rPr>
                <w:rFonts w:hint="eastAsia"/>
                <w:color w:val="auto"/>
              </w:rPr>
              <w:t>铁杆蒿</w:t>
            </w:r>
          </w:p>
        </w:tc>
        <w:tc>
          <w:tcPr>
            <w:tcW w:w="819" w:type="pct"/>
            <w:tcBorders>
              <w:top w:val="single" w:color="auto" w:sz="6" w:space="0"/>
              <w:left w:val="single" w:color="auto" w:sz="6" w:space="0"/>
              <w:bottom w:val="single" w:color="auto" w:sz="6" w:space="0"/>
              <w:right w:val="single" w:color="auto" w:sz="6" w:space="0"/>
            </w:tcBorders>
            <w:vAlign w:val="center"/>
          </w:tcPr>
          <w:p w14:paraId="086BDB4C">
            <w:pPr>
              <w:pStyle w:val="94"/>
              <w:rPr>
                <w:color w:val="auto"/>
              </w:rPr>
            </w:pPr>
            <w:r>
              <w:rPr>
                <w:rFonts w:hint="eastAsia"/>
                <w:color w:val="auto"/>
              </w:rPr>
              <w:t>10~20</w:t>
            </w:r>
          </w:p>
        </w:tc>
        <w:tc>
          <w:tcPr>
            <w:tcW w:w="818" w:type="pct"/>
            <w:tcBorders>
              <w:top w:val="single" w:color="auto" w:sz="6" w:space="0"/>
              <w:left w:val="single" w:color="auto" w:sz="6" w:space="0"/>
              <w:bottom w:val="single" w:color="auto" w:sz="6" w:space="0"/>
              <w:right w:val="single" w:color="auto" w:sz="6" w:space="0"/>
            </w:tcBorders>
            <w:vAlign w:val="center"/>
          </w:tcPr>
          <w:p w14:paraId="2CC8B645">
            <w:pPr>
              <w:pStyle w:val="94"/>
              <w:rPr>
                <w:color w:val="auto"/>
              </w:rPr>
            </w:pPr>
            <w:r>
              <w:rPr>
                <w:rFonts w:hint="eastAsia"/>
                <w:color w:val="auto"/>
              </w:rPr>
              <w:t>255</w:t>
            </w:r>
          </w:p>
        </w:tc>
        <w:tc>
          <w:tcPr>
            <w:tcW w:w="819" w:type="pct"/>
            <w:tcBorders>
              <w:top w:val="single" w:color="auto" w:sz="6" w:space="0"/>
              <w:left w:val="single" w:color="auto" w:sz="6" w:space="0"/>
              <w:bottom w:val="single" w:color="auto" w:sz="6" w:space="0"/>
              <w:right w:val="single" w:color="auto" w:sz="6" w:space="0"/>
            </w:tcBorders>
            <w:vAlign w:val="center"/>
          </w:tcPr>
          <w:p w14:paraId="2B054FBB">
            <w:pPr>
              <w:pStyle w:val="94"/>
              <w:rPr>
                <w:color w:val="auto"/>
              </w:rPr>
            </w:pPr>
            <w:r>
              <w:rPr>
                <w:rFonts w:hint="eastAsia"/>
                <w:color w:val="auto"/>
              </w:rPr>
              <w:t>5</w:t>
            </w:r>
          </w:p>
        </w:tc>
        <w:tc>
          <w:tcPr>
            <w:tcW w:w="845" w:type="pct"/>
            <w:tcBorders>
              <w:top w:val="single" w:color="auto" w:sz="6" w:space="0"/>
              <w:left w:val="single" w:color="auto" w:sz="6" w:space="0"/>
              <w:bottom w:val="single" w:color="auto" w:sz="6" w:space="0"/>
              <w:right w:val="single" w:color="auto" w:sz="12" w:space="0"/>
            </w:tcBorders>
            <w:vAlign w:val="center"/>
          </w:tcPr>
          <w:p w14:paraId="05D08A89">
            <w:pPr>
              <w:pStyle w:val="94"/>
              <w:rPr>
                <w:color w:val="auto"/>
              </w:rPr>
            </w:pPr>
            <w:r>
              <w:rPr>
                <w:rFonts w:hint="eastAsia"/>
                <w:color w:val="auto"/>
              </w:rPr>
              <w:t>25</w:t>
            </w:r>
          </w:p>
        </w:tc>
      </w:tr>
      <w:tr w14:paraId="1AF965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1" w:type="pct"/>
            <w:tcBorders>
              <w:top w:val="single" w:color="auto" w:sz="6" w:space="0"/>
              <w:left w:val="single" w:color="auto" w:sz="12" w:space="0"/>
              <w:bottom w:val="single" w:color="auto" w:sz="6" w:space="0"/>
              <w:right w:val="single" w:color="auto" w:sz="6" w:space="0"/>
            </w:tcBorders>
            <w:vAlign w:val="center"/>
          </w:tcPr>
          <w:p w14:paraId="606C785C">
            <w:pPr>
              <w:pStyle w:val="94"/>
              <w:rPr>
                <w:color w:val="auto"/>
              </w:rPr>
            </w:pPr>
            <w:r>
              <w:rPr>
                <w:rFonts w:hint="eastAsia"/>
                <w:color w:val="auto"/>
              </w:rPr>
              <w:t>3</w:t>
            </w:r>
          </w:p>
        </w:tc>
        <w:tc>
          <w:tcPr>
            <w:tcW w:w="818" w:type="pct"/>
            <w:tcBorders>
              <w:top w:val="single" w:color="auto" w:sz="6" w:space="0"/>
              <w:left w:val="single" w:color="auto" w:sz="6" w:space="0"/>
              <w:bottom w:val="single" w:color="auto" w:sz="6" w:space="0"/>
              <w:right w:val="single" w:color="auto" w:sz="6" w:space="0"/>
            </w:tcBorders>
            <w:vAlign w:val="center"/>
          </w:tcPr>
          <w:p w14:paraId="3C52532A">
            <w:pPr>
              <w:pStyle w:val="94"/>
              <w:rPr>
                <w:color w:val="auto"/>
              </w:rPr>
            </w:pPr>
            <w:r>
              <w:rPr>
                <w:rFonts w:hint="eastAsia"/>
                <w:color w:val="auto"/>
              </w:rPr>
              <w:t>小蓟</w:t>
            </w:r>
          </w:p>
        </w:tc>
        <w:tc>
          <w:tcPr>
            <w:tcW w:w="819" w:type="pct"/>
            <w:tcBorders>
              <w:top w:val="single" w:color="auto" w:sz="6" w:space="0"/>
              <w:left w:val="single" w:color="auto" w:sz="6" w:space="0"/>
              <w:bottom w:val="single" w:color="auto" w:sz="6" w:space="0"/>
              <w:right w:val="single" w:color="auto" w:sz="6" w:space="0"/>
            </w:tcBorders>
            <w:vAlign w:val="center"/>
          </w:tcPr>
          <w:p w14:paraId="3D4D41C2">
            <w:pPr>
              <w:pStyle w:val="94"/>
              <w:rPr>
                <w:color w:val="auto"/>
              </w:rPr>
            </w:pPr>
            <w:r>
              <w:rPr>
                <w:rFonts w:hint="eastAsia"/>
                <w:color w:val="auto"/>
              </w:rPr>
              <w:t>5~10</w:t>
            </w:r>
          </w:p>
        </w:tc>
        <w:tc>
          <w:tcPr>
            <w:tcW w:w="818" w:type="pct"/>
            <w:tcBorders>
              <w:top w:val="single" w:color="auto" w:sz="6" w:space="0"/>
              <w:left w:val="single" w:color="auto" w:sz="6" w:space="0"/>
              <w:bottom w:val="single" w:color="auto" w:sz="6" w:space="0"/>
              <w:right w:val="single" w:color="auto" w:sz="6" w:space="0"/>
            </w:tcBorders>
            <w:vAlign w:val="center"/>
          </w:tcPr>
          <w:p w14:paraId="57E07E9A">
            <w:pPr>
              <w:pStyle w:val="94"/>
              <w:rPr>
                <w:color w:val="auto"/>
              </w:rPr>
            </w:pPr>
            <w:r>
              <w:rPr>
                <w:rFonts w:hint="eastAsia"/>
                <w:color w:val="auto"/>
              </w:rPr>
              <w:t>/</w:t>
            </w:r>
          </w:p>
        </w:tc>
        <w:tc>
          <w:tcPr>
            <w:tcW w:w="819" w:type="pct"/>
            <w:tcBorders>
              <w:top w:val="single" w:color="auto" w:sz="6" w:space="0"/>
              <w:left w:val="single" w:color="auto" w:sz="6" w:space="0"/>
              <w:bottom w:val="single" w:color="auto" w:sz="6" w:space="0"/>
              <w:right w:val="single" w:color="auto" w:sz="6" w:space="0"/>
            </w:tcBorders>
            <w:vAlign w:val="center"/>
          </w:tcPr>
          <w:p w14:paraId="5A65AC97">
            <w:pPr>
              <w:pStyle w:val="94"/>
              <w:rPr>
                <w:color w:val="auto"/>
              </w:rPr>
            </w:pPr>
            <w:r>
              <w:rPr>
                <w:rFonts w:hint="eastAsia"/>
                <w:color w:val="auto"/>
              </w:rPr>
              <w:t>/</w:t>
            </w:r>
          </w:p>
        </w:tc>
        <w:tc>
          <w:tcPr>
            <w:tcW w:w="845" w:type="pct"/>
            <w:tcBorders>
              <w:top w:val="single" w:color="auto" w:sz="6" w:space="0"/>
              <w:left w:val="single" w:color="auto" w:sz="6" w:space="0"/>
              <w:bottom w:val="single" w:color="auto" w:sz="6" w:space="0"/>
              <w:right w:val="single" w:color="auto" w:sz="12" w:space="0"/>
            </w:tcBorders>
            <w:vAlign w:val="center"/>
          </w:tcPr>
          <w:p w14:paraId="099B041C">
            <w:pPr>
              <w:pStyle w:val="94"/>
              <w:rPr>
                <w:color w:val="auto"/>
              </w:rPr>
            </w:pPr>
            <w:r>
              <w:rPr>
                <w:rFonts w:hint="eastAsia"/>
                <w:color w:val="auto"/>
              </w:rPr>
              <w:t>偶见</w:t>
            </w:r>
          </w:p>
        </w:tc>
      </w:tr>
      <w:tr w14:paraId="1A1D9F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1" w:type="pct"/>
            <w:tcBorders>
              <w:top w:val="single" w:color="auto" w:sz="6" w:space="0"/>
              <w:left w:val="single" w:color="auto" w:sz="12" w:space="0"/>
              <w:bottom w:val="single" w:color="auto" w:sz="6" w:space="0"/>
              <w:right w:val="single" w:color="auto" w:sz="6" w:space="0"/>
            </w:tcBorders>
            <w:vAlign w:val="center"/>
          </w:tcPr>
          <w:p w14:paraId="6CABB30F">
            <w:pPr>
              <w:pStyle w:val="94"/>
              <w:rPr>
                <w:color w:val="auto"/>
              </w:rPr>
            </w:pPr>
            <w:r>
              <w:rPr>
                <w:rFonts w:hint="eastAsia"/>
                <w:color w:val="auto"/>
              </w:rPr>
              <w:t>4</w:t>
            </w:r>
          </w:p>
        </w:tc>
        <w:tc>
          <w:tcPr>
            <w:tcW w:w="818" w:type="pct"/>
            <w:tcBorders>
              <w:top w:val="single" w:color="auto" w:sz="6" w:space="0"/>
              <w:left w:val="single" w:color="auto" w:sz="6" w:space="0"/>
              <w:bottom w:val="single" w:color="auto" w:sz="6" w:space="0"/>
              <w:right w:val="single" w:color="auto" w:sz="6" w:space="0"/>
            </w:tcBorders>
            <w:vAlign w:val="center"/>
          </w:tcPr>
          <w:p w14:paraId="12013160">
            <w:pPr>
              <w:pStyle w:val="94"/>
              <w:rPr>
                <w:color w:val="auto"/>
              </w:rPr>
            </w:pPr>
            <w:r>
              <w:rPr>
                <w:rFonts w:hint="eastAsia"/>
                <w:color w:val="auto"/>
              </w:rPr>
              <w:t>委陵菜</w:t>
            </w:r>
          </w:p>
        </w:tc>
        <w:tc>
          <w:tcPr>
            <w:tcW w:w="819" w:type="pct"/>
            <w:tcBorders>
              <w:top w:val="single" w:color="auto" w:sz="6" w:space="0"/>
              <w:left w:val="single" w:color="auto" w:sz="6" w:space="0"/>
              <w:bottom w:val="single" w:color="auto" w:sz="6" w:space="0"/>
              <w:right w:val="single" w:color="auto" w:sz="6" w:space="0"/>
            </w:tcBorders>
            <w:vAlign w:val="center"/>
          </w:tcPr>
          <w:p w14:paraId="52CFEB24">
            <w:pPr>
              <w:pStyle w:val="94"/>
              <w:rPr>
                <w:color w:val="auto"/>
              </w:rPr>
            </w:pPr>
            <w:r>
              <w:rPr>
                <w:rFonts w:hint="eastAsia"/>
                <w:color w:val="auto"/>
              </w:rPr>
              <w:t>20~40</w:t>
            </w:r>
          </w:p>
        </w:tc>
        <w:tc>
          <w:tcPr>
            <w:tcW w:w="818" w:type="pct"/>
            <w:tcBorders>
              <w:top w:val="single" w:color="auto" w:sz="6" w:space="0"/>
              <w:left w:val="single" w:color="auto" w:sz="6" w:space="0"/>
              <w:bottom w:val="single" w:color="auto" w:sz="6" w:space="0"/>
              <w:right w:val="single" w:color="auto" w:sz="6" w:space="0"/>
            </w:tcBorders>
            <w:vAlign w:val="center"/>
          </w:tcPr>
          <w:p w14:paraId="0D7CB7EC">
            <w:pPr>
              <w:pStyle w:val="94"/>
              <w:rPr>
                <w:color w:val="auto"/>
              </w:rPr>
            </w:pPr>
            <w:r>
              <w:rPr>
                <w:rFonts w:hint="eastAsia"/>
                <w:color w:val="auto"/>
              </w:rPr>
              <w:t>/</w:t>
            </w:r>
          </w:p>
        </w:tc>
        <w:tc>
          <w:tcPr>
            <w:tcW w:w="819" w:type="pct"/>
            <w:tcBorders>
              <w:top w:val="single" w:color="auto" w:sz="6" w:space="0"/>
              <w:left w:val="single" w:color="auto" w:sz="6" w:space="0"/>
              <w:bottom w:val="single" w:color="auto" w:sz="6" w:space="0"/>
              <w:right w:val="single" w:color="auto" w:sz="6" w:space="0"/>
            </w:tcBorders>
            <w:vAlign w:val="center"/>
          </w:tcPr>
          <w:p w14:paraId="04A8852C">
            <w:pPr>
              <w:pStyle w:val="94"/>
              <w:rPr>
                <w:color w:val="auto"/>
              </w:rPr>
            </w:pPr>
            <w:r>
              <w:rPr>
                <w:rFonts w:hint="eastAsia"/>
                <w:color w:val="auto"/>
              </w:rPr>
              <w:t>/</w:t>
            </w:r>
          </w:p>
        </w:tc>
        <w:tc>
          <w:tcPr>
            <w:tcW w:w="845" w:type="pct"/>
            <w:tcBorders>
              <w:top w:val="single" w:color="auto" w:sz="6" w:space="0"/>
              <w:left w:val="single" w:color="auto" w:sz="6" w:space="0"/>
              <w:bottom w:val="single" w:color="auto" w:sz="6" w:space="0"/>
              <w:right w:val="single" w:color="auto" w:sz="12" w:space="0"/>
            </w:tcBorders>
            <w:vAlign w:val="center"/>
          </w:tcPr>
          <w:p w14:paraId="50099172">
            <w:pPr>
              <w:pStyle w:val="94"/>
              <w:rPr>
                <w:color w:val="auto"/>
              </w:rPr>
            </w:pPr>
            <w:r>
              <w:rPr>
                <w:rFonts w:hint="eastAsia"/>
                <w:color w:val="auto"/>
              </w:rPr>
              <w:t>偶见</w:t>
            </w:r>
          </w:p>
        </w:tc>
      </w:tr>
      <w:tr w14:paraId="007DE7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81" w:type="pct"/>
            <w:tcBorders>
              <w:top w:val="single" w:color="auto" w:sz="6" w:space="0"/>
              <w:left w:val="single" w:color="auto" w:sz="12" w:space="0"/>
              <w:bottom w:val="single" w:color="auto" w:sz="12" w:space="0"/>
              <w:right w:val="single" w:color="auto" w:sz="6" w:space="0"/>
            </w:tcBorders>
            <w:vAlign w:val="center"/>
          </w:tcPr>
          <w:p w14:paraId="7D7EB597">
            <w:pPr>
              <w:pStyle w:val="94"/>
              <w:rPr>
                <w:color w:val="auto"/>
              </w:rPr>
            </w:pPr>
            <w:r>
              <w:rPr>
                <w:rFonts w:hint="eastAsia"/>
                <w:color w:val="auto"/>
              </w:rPr>
              <w:t>5</w:t>
            </w:r>
          </w:p>
        </w:tc>
        <w:tc>
          <w:tcPr>
            <w:tcW w:w="818" w:type="pct"/>
            <w:tcBorders>
              <w:top w:val="single" w:color="auto" w:sz="6" w:space="0"/>
              <w:left w:val="single" w:color="auto" w:sz="6" w:space="0"/>
              <w:bottom w:val="single" w:color="auto" w:sz="12" w:space="0"/>
              <w:right w:val="single" w:color="auto" w:sz="6" w:space="0"/>
            </w:tcBorders>
            <w:vAlign w:val="center"/>
          </w:tcPr>
          <w:p w14:paraId="01096C1A">
            <w:pPr>
              <w:pStyle w:val="94"/>
              <w:rPr>
                <w:color w:val="auto"/>
              </w:rPr>
            </w:pPr>
            <w:r>
              <w:rPr>
                <w:rFonts w:hint="eastAsia"/>
                <w:color w:val="auto"/>
              </w:rPr>
              <w:t>针茅</w:t>
            </w:r>
          </w:p>
        </w:tc>
        <w:tc>
          <w:tcPr>
            <w:tcW w:w="819" w:type="pct"/>
            <w:tcBorders>
              <w:top w:val="single" w:color="auto" w:sz="6" w:space="0"/>
              <w:left w:val="single" w:color="auto" w:sz="6" w:space="0"/>
              <w:bottom w:val="single" w:color="auto" w:sz="12" w:space="0"/>
              <w:right w:val="single" w:color="auto" w:sz="6" w:space="0"/>
            </w:tcBorders>
            <w:vAlign w:val="center"/>
          </w:tcPr>
          <w:p w14:paraId="6184D9DD">
            <w:pPr>
              <w:pStyle w:val="94"/>
              <w:rPr>
                <w:color w:val="auto"/>
              </w:rPr>
            </w:pPr>
            <w:r>
              <w:rPr>
                <w:rFonts w:hint="eastAsia"/>
                <w:color w:val="auto"/>
              </w:rPr>
              <w:t>20~40</w:t>
            </w:r>
          </w:p>
        </w:tc>
        <w:tc>
          <w:tcPr>
            <w:tcW w:w="818" w:type="pct"/>
            <w:tcBorders>
              <w:top w:val="single" w:color="auto" w:sz="6" w:space="0"/>
              <w:left w:val="single" w:color="auto" w:sz="6" w:space="0"/>
              <w:bottom w:val="single" w:color="auto" w:sz="12" w:space="0"/>
              <w:right w:val="single" w:color="auto" w:sz="6" w:space="0"/>
            </w:tcBorders>
            <w:vAlign w:val="center"/>
          </w:tcPr>
          <w:p w14:paraId="40A6EADF">
            <w:pPr>
              <w:pStyle w:val="94"/>
              <w:rPr>
                <w:color w:val="auto"/>
              </w:rPr>
            </w:pPr>
            <w:r>
              <w:rPr>
                <w:rFonts w:hint="eastAsia"/>
                <w:color w:val="auto"/>
              </w:rPr>
              <w:t>/</w:t>
            </w:r>
          </w:p>
        </w:tc>
        <w:tc>
          <w:tcPr>
            <w:tcW w:w="819" w:type="pct"/>
            <w:tcBorders>
              <w:top w:val="single" w:color="auto" w:sz="6" w:space="0"/>
              <w:left w:val="single" w:color="auto" w:sz="6" w:space="0"/>
              <w:bottom w:val="single" w:color="auto" w:sz="12" w:space="0"/>
              <w:right w:val="single" w:color="auto" w:sz="6" w:space="0"/>
            </w:tcBorders>
            <w:vAlign w:val="center"/>
          </w:tcPr>
          <w:p w14:paraId="5E8D4E6B">
            <w:pPr>
              <w:pStyle w:val="94"/>
              <w:rPr>
                <w:color w:val="auto"/>
              </w:rPr>
            </w:pPr>
            <w:r>
              <w:rPr>
                <w:rFonts w:hint="eastAsia"/>
                <w:color w:val="auto"/>
              </w:rPr>
              <w:t>/</w:t>
            </w:r>
          </w:p>
        </w:tc>
        <w:tc>
          <w:tcPr>
            <w:tcW w:w="845" w:type="pct"/>
            <w:tcBorders>
              <w:top w:val="single" w:color="auto" w:sz="6" w:space="0"/>
              <w:left w:val="single" w:color="auto" w:sz="6" w:space="0"/>
              <w:bottom w:val="single" w:color="auto" w:sz="12" w:space="0"/>
              <w:right w:val="single" w:color="auto" w:sz="12" w:space="0"/>
            </w:tcBorders>
            <w:vAlign w:val="center"/>
          </w:tcPr>
          <w:p w14:paraId="6E063DCE">
            <w:pPr>
              <w:pStyle w:val="94"/>
              <w:rPr>
                <w:color w:val="auto"/>
              </w:rPr>
            </w:pPr>
            <w:r>
              <w:rPr>
                <w:rFonts w:hint="eastAsia"/>
                <w:color w:val="auto"/>
              </w:rPr>
              <w:t>偶见</w:t>
            </w:r>
          </w:p>
        </w:tc>
      </w:tr>
    </w:tbl>
    <w:p w14:paraId="7913927C">
      <w:pPr>
        <w:pStyle w:val="19"/>
        <w:keepNext/>
      </w:pPr>
      <w:r>
        <w:t xml:space="preserve">表 </w:t>
      </w:r>
      <w:r>
        <w:fldChar w:fldCharType="begin"/>
      </w:r>
      <w:r>
        <w:instrText xml:space="preserve"> SEQ 表 \* ARABIC </w:instrText>
      </w:r>
      <w:r>
        <w:fldChar w:fldCharType="separate"/>
      </w:r>
      <w:r>
        <w:t>64</w:t>
      </w:r>
      <w:r>
        <w:fldChar w:fldCharType="end"/>
      </w:r>
      <w:r>
        <w:rPr>
          <w:rFonts w:hint="eastAsia"/>
        </w:rPr>
        <w:t>群系样方编号</w:t>
      </w:r>
      <w:r>
        <w:t>8</w:t>
      </w:r>
    </w:p>
    <w:tbl>
      <w:tblPr>
        <w:tblStyle w:val="7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78"/>
        <w:gridCol w:w="1747"/>
        <w:gridCol w:w="1751"/>
        <w:gridCol w:w="1749"/>
        <w:gridCol w:w="1751"/>
        <w:gridCol w:w="1805"/>
      </w:tblGrid>
      <w:tr w14:paraId="47CCD6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35" w:type="dxa"/>
            <w:tcBorders>
              <w:top w:val="single" w:color="auto" w:sz="12" w:space="0"/>
              <w:left w:val="single" w:color="auto" w:sz="12" w:space="0"/>
              <w:bottom w:val="single" w:color="auto" w:sz="4" w:space="0"/>
              <w:right w:val="single" w:color="auto" w:sz="4" w:space="0"/>
            </w:tcBorders>
            <w:vAlign w:val="center"/>
          </w:tcPr>
          <w:p w14:paraId="7EE794AF">
            <w:pPr>
              <w:pStyle w:val="94"/>
              <w:rPr>
                <w:color w:val="auto"/>
              </w:rPr>
            </w:pPr>
            <w:r>
              <w:rPr>
                <w:color w:val="auto"/>
              </w:rPr>
              <w:t>调查日期</w:t>
            </w:r>
          </w:p>
        </w:tc>
        <w:tc>
          <w:tcPr>
            <w:tcW w:w="1707" w:type="dxa"/>
            <w:tcBorders>
              <w:top w:val="single" w:color="auto" w:sz="12" w:space="0"/>
              <w:left w:val="single" w:color="auto" w:sz="4" w:space="0"/>
              <w:bottom w:val="single" w:color="auto" w:sz="4" w:space="0"/>
              <w:right w:val="single" w:color="auto" w:sz="4" w:space="0"/>
            </w:tcBorders>
            <w:vAlign w:val="center"/>
          </w:tcPr>
          <w:p w14:paraId="153FE9B3">
            <w:pPr>
              <w:pStyle w:val="94"/>
              <w:rPr>
                <w:color w:val="auto"/>
              </w:rPr>
            </w:pPr>
            <w:r>
              <w:rPr>
                <w:rFonts w:hint="eastAsia"/>
                <w:color w:val="auto"/>
              </w:rPr>
              <w:t>2023-9-</w:t>
            </w:r>
            <w:r>
              <w:rPr>
                <w:color w:val="auto"/>
              </w:rPr>
              <w:t>16</w:t>
            </w:r>
          </w:p>
        </w:tc>
        <w:tc>
          <w:tcPr>
            <w:tcW w:w="1711" w:type="dxa"/>
            <w:tcBorders>
              <w:top w:val="single" w:color="auto" w:sz="12" w:space="0"/>
              <w:left w:val="single" w:color="auto" w:sz="4" w:space="0"/>
              <w:bottom w:val="single" w:color="auto" w:sz="4" w:space="0"/>
              <w:right w:val="single" w:color="auto" w:sz="4" w:space="0"/>
            </w:tcBorders>
            <w:vAlign w:val="center"/>
          </w:tcPr>
          <w:p w14:paraId="4FF52FB3">
            <w:pPr>
              <w:pStyle w:val="94"/>
              <w:rPr>
                <w:color w:val="auto"/>
              </w:rPr>
            </w:pPr>
            <w:r>
              <w:rPr>
                <w:color w:val="auto"/>
              </w:rPr>
              <w:t>调查地点</w:t>
            </w:r>
          </w:p>
        </w:tc>
        <w:tc>
          <w:tcPr>
            <w:tcW w:w="1709" w:type="dxa"/>
            <w:tcBorders>
              <w:top w:val="single" w:color="auto" w:sz="12" w:space="0"/>
              <w:left w:val="single" w:color="auto" w:sz="4" w:space="0"/>
              <w:bottom w:val="single" w:color="auto" w:sz="4" w:space="0"/>
              <w:right w:val="single" w:color="auto" w:sz="4" w:space="0"/>
            </w:tcBorders>
            <w:vAlign w:val="center"/>
          </w:tcPr>
          <w:p w14:paraId="0C33BE4C">
            <w:pPr>
              <w:pStyle w:val="94"/>
              <w:rPr>
                <w:color w:val="auto"/>
              </w:rPr>
            </w:pPr>
            <w:r>
              <w:rPr>
                <w:rFonts w:hint="eastAsia"/>
                <w:color w:val="auto"/>
              </w:rPr>
              <w:t>评价范围</w:t>
            </w:r>
          </w:p>
        </w:tc>
        <w:tc>
          <w:tcPr>
            <w:tcW w:w="1711" w:type="dxa"/>
            <w:tcBorders>
              <w:top w:val="single" w:color="auto" w:sz="12" w:space="0"/>
              <w:left w:val="single" w:color="auto" w:sz="4" w:space="0"/>
              <w:bottom w:val="single" w:color="auto" w:sz="4" w:space="0"/>
              <w:right w:val="single" w:color="auto" w:sz="4" w:space="0"/>
            </w:tcBorders>
            <w:vAlign w:val="center"/>
          </w:tcPr>
          <w:p w14:paraId="38181C09">
            <w:pPr>
              <w:pStyle w:val="94"/>
              <w:rPr>
                <w:color w:val="auto"/>
              </w:rPr>
            </w:pPr>
            <w:r>
              <w:rPr>
                <w:color w:val="auto"/>
              </w:rPr>
              <w:t>样方面积</w:t>
            </w:r>
          </w:p>
        </w:tc>
        <w:tc>
          <w:tcPr>
            <w:tcW w:w="1763" w:type="dxa"/>
            <w:tcBorders>
              <w:top w:val="single" w:color="auto" w:sz="12" w:space="0"/>
              <w:left w:val="single" w:color="auto" w:sz="4" w:space="0"/>
              <w:bottom w:val="single" w:color="auto" w:sz="4" w:space="0"/>
              <w:right w:val="single" w:color="auto" w:sz="12" w:space="0"/>
            </w:tcBorders>
            <w:vAlign w:val="center"/>
          </w:tcPr>
          <w:p w14:paraId="0FF8687A">
            <w:pPr>
              <w:pStyle w:val="94"/>
              <w:rPr>
                <w:color w:val="auto"/>
              </w:rPr>
            </w:pPr>
            <w:r>
              <w:rPr>
                <w:color w:val="auto"/>
              </w:rPr>
              <w:t>4m×4m</w:t>
            </w:r>
          </w:p>
        </w:tc>
      </w:tr>
      <w:tr w14:paraId="4BABB3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35" w:type="dxa"/>
            <w:tcBorders>
              <w:top w:val="single" w:color="auto" w:sz="4" w:space="0"/>
              <w:left w:val="single" w:color="auto" w:sz="12" w:space="0"/>
              <w:bottom w:val="single" w:color="auto" w:sz="4" w:space="0"/>
              <w:right w:val="single" w:color="auto" w:sz="4" w:space="0"/>
            </w:tcBorders>
            <w:vAlign w:val="center"/>
          </w:tcPr>
          <w:p w14:paraId="18549A32">
            <w:pPr>
              <w:pStyle w:val="94"/>
              <w:rPr>
                <w:color w:val="auto"/>
              </w:rPr>
            </w:pPr>
            <w:r>
              <w:rPr>
                <w:color w:val="auto"/>
              </w:rPr>
              <w:t>海拔高度</w:t>
            </w:r>
          </w:p>
        </w:tc>
        <w:tc>
          <w:tcPr>
            <w:tcW w:w="1707" w:type="dxa"/>
            <w:tcBorders>
              <w:top w:val="single" w:color="auto" w:sz="4" w:space="0"/>
              <w:left w:val="single" w:color="auto" w:sz="4" w:space="0"/>
              <w:bottom w:val="single" w:color="auto" w:sz="4" w:space="0"/>
              <w:right w:val="single" w:color="auto" w:sz="4" w:space="0"/>
            </w:tcBorders>
            <w:vAlign w:val="center"/>
          </w:tcPr>
          <w:p w14:paraId="00AC207F">
            <w:pPr>
              <w:pStyle w:val="94"/>
              <w:rPr>
                <w:color w:val="auto"/>
              </w:rPr>
            </w:pPr>
            <w:r>
              <w:rPr>
                <w:color w:val="auto"/>
              </w:rPr>
              <w:t>1035m</w:t>
            </w:r>
          </w:p>
        </w:tc>
        <w:tc>
          <w:tcPr>
            <w:tcW w:w="1711" w:type="dxa"/>
            <w:tcBorders>
              <w:top w:val="single" w:color="auto" w:sz="4" w:space="0"/>
              <w:left w:val="single" w:color="auto" w:sz="4" w:space="0"/>
              <w:bottom w:val="single" w:color="auto" w:sz="4" w:space="0"/>
              <w:right w:val="single" w:color="auto" w:sz="4" w:space="0"/>
            </w:tcBorders>
            <w:vAlign w:val="center"/>
          </w:tcPr>
          <w:p w14:paraId="666761AE">
            <w:pPr>
              <w:pStyle w:val="94"/>
              <w:rPr>
                <w:color w:val="auto"/>
              </w:rPr>
            </w:pPr>
            <w:r>
              <w:rPr>
                <w:color w:val="auto"/>
              </w:rPr>
              <w:t>坡度</w:t>
            </w:r>
          </w:p>
        </w:tc>
        <w:tc>
          <w:tcPr>
            <w:tcW w:w="1709" w:type="dxa"/>
            <w:tcBorders>
              <w:top w:val="single" w:color="auto" w:sz="4" w:space="0"/>
              <w:left w:val="single" w:color="auto" w:sz="4" w:space="0"/>
              <w:bottom w:val="single" w:color="auto" w:sz="4" w:space="0"/>
              <w:right w:val="single" w:color="auto" w:sz="4" w:space="0"/>
            </w:tcBorders>
            <w:vAlign w:val="center"/>
          </w:tcPr>
          <w:p w14:paraId="271B3D3C">
            <w:pPr>
              <w:pStyle w:val="94"/>
              <w:rPr>
                <w:color w:val="auto"/>
              </w:rPr>
            </w:pPr>
            <w:r>
              <w:rPr>
                <w:color w:val="auto"/>
              </w:rPr>
              <w:t>40°</w:t>
            </w:r>
          </w:p>
        </w:tc>
        <w:tc>
          <w:tcPr>
            <w:tcW w:w="1711" w:type="dxa"/>
            <w:tcBorders>
              <w:top w:val="single" w:color="auto" w:sz="4" w:space="0"/>
              <w:left w:val="single" w:color="auto" w:sz="4" w:space="0"/>
              <w:bottom w:val="single" w:color="auto" w:sz="4" w:space="0"/>
              <w:right w:val="single" w:color="auto" w:sz="4" w:space="0"/>
            </w:tcBorders>
            <w:vAlign w:val="center"/>
          </w:tcPr>
          <w:p w14:paraId="5B08F0C0">
            <w:pPr>
              <w:pStyle w:val="94"/>
              <w:rPr>
                <w:color w:val="auto"/>
              </w:rPr>
            </w:pPr>
            <w:r>
              <w:rPr>
                <w:color w:val="auto"/>
              </w:rPr>
              <w:t>坡向</w:t>
            </w:r>
          </w:p>
        </w:tc>
        <w:tc>
          <w:tcPr>
            <w:tcW w:w="1763" w:type="dxa"/>
            <w:tcBorders>
              <w:top w:val="single" w:color="auto" w:sz="4" w:space="0"/>
              <w:left w:val="single" w:color="auto" w:sz="4" w:space="0"/>
              <w:bottom w:val="single" w:color="auto" w:sz="4" w:space="0"/>
              <w:right w:val="single" w:color="auto" w:sz="12" w:space="0"/>
            </w:tcBorders>
            <w:vAlign w:val="center"/>
          </w:tcPr>
          <w:p w14:paraId="0108DA4F">
            <w:pPr>
              <w:pStyle w:val="94"/>
              <w:rPr>
                <w:color w:val="auto"/>
              </w:rPr>
            </w:pPr>
            <w:r>
              <w:rPr>
                <w:color w:val="auto"/>
              </w:rPr>
              <w:t>N</w:t>
            </w:r>
          </w:p>
        </w:tc>
      </w:tr>
      <w:tr w14:paraId="593E14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35" w:type="dxa"/>
            <w:tcBorders>
              <w:top w:val="single" w:color="auto" w:sz="4" w:space="0"/>
              <w:left w:val="single" w:color="auto" w:sz="12" w:space="0"/>
              <w:bottom w:val="single" w:color="auto" w:sz="4" w:space="0"/>
              <w:right w:val="single" w:color="auto" w:sz="4" w:space="0"/>
            </w:tcBorders>
            <w:vAlign w:val="center"/>
          </w:tcPr>
          <w:p w14:paraId="15002BCD">
            <w:pPr>
              <w:pStyle w:val="94"/>
              <w:rPr>
                <w:color w:val="auto"/>
              </w:rPr>
            </w:pPr>
            <w:r>
              <w:rPr>
                <w:color w:val="auto"/>
              </w:rPr>
              <w:t>土壤类型</w:t>
            </w:r>
          </w:p>
        </w:tc>
        <w:tc>
          <w:tcPr>
            <w:tcW w:w="1707" w:type="dxa"/>
            <w:tcBorders>
              <w:top w:val="single" w:color="auto" w:sz="4" w:space="0"/>
              <w:left w:val="single" w:color="auto" w:sz="4" w:space="0"/>
              <w:bottom w:val="single" w:color="auto" w:sz="4" w:space="0"/>
              <w:right w:val="single" w:color="auto" w:sz="4" w:space="0"/>
            </w:tcBorders>
            <w:vAlign w:val="center"/>
          </w:tcPr>
          <w:p w14:paraId="429D1A02">
            <w:pPr>
              <w:pStyle w:val="94"/>
              <w:rPr>
                <w:color w:val="auto"/>
              </w:rPr>
            </w:pPr>
            <w:r>
              <w:rPr>
                <w:rFonts w:hint="eastAsia"/>
                <w:color w:val="auto"/>
              </w:rPr>
              <w:t>黄绵土</w:t>
            </w:r>
          </w:p>
        </w:tc>
        <w:tc>
          <w:tcPr>
            <w:tcW w:w="1711" w:type="dxa"/>
            <w:tcBorders>
              <w:top w:val="single" w:color="auto" w:sz="4" w:space="0"/>
              <w:left w:val="single" w:color="auto" w:sz="4" w:space="0"/>
              <w:bottom w:val="single" w:color="auto" w:sz="4" w:space="0"/>
              <w:right w:val="single" w:color="auto" w:sz="4" w:space="0"/>
            </w:tcBorders>
            <w:vAlign w:val="center"/>
          </w:tcPr>
          <w:p w14:paraId="1FFBA3F5">
            <w:pPr>
              <w:pStyle w:val="94"/>
              <w:rPr>
                <w:color w:val="auto"/>
              </w:rPr>
            </w:pPr>
            <w:r>
              <w:rPr>
                <w:color w:val="auto"/>
              </w:rPr>
              <w:t>地形</w:t>
            </w:r>
          </w:p>
        </w:tc>
        <w:tc>
          <w:tcPr>
            <w:tcW w:w="1709" w:type="dxa"/>
            <w:tcBorders>
              <w:top w:val="single" w:color="auto" w:sz="4" w:space="0"/>
              <w:left w:val="single" w:color="auto" w:sz="4" w:space="0"/>
              <w:bottom w:val="single" w:color="auto" w:sz="4" w:space="0"/>
              <w:right w:val="single" w:color="auto" w:sz="4" w:space="0"/>
            </w:tcBorders>
            <w:vAlign w:val="center"/>
          </w:tcPr>
          <w:p w14:paraId="13CDB0B1">
            <w:pPr>
              <w:pStyle w:val="94"/>
              <w:rPr>
                <w:color w:val="auto"/>
              </w:rPr>
            </w:pPr>
            <w:r>
              <w:rPr>
                <w:color w:val="auto"/>
              </w:rPr>
              <w:t>丘陵</w:t>
            </w:r>
          </w:p>
        </w:tc>
        <w:tc>
          <w:tcPr>
            <w:tcW w:w="1711" w:type="dxa"/>
            <w:tcBorders>
              <w:top w:val="single" w:color="auto" w:sz="4" w:space="0"/>
              <w:left w:val="single" w:color="auto" w:sz="4" w:space="0"/>
              <w:bottom w:val="single" w:color="auto" w:sz="4" w:space="0"/>
              <w:right w:val="single" w:color="auto" w:sz="4" w:space="0"/>
            </w:tcBorders>
            <w:vAlign w:val="center"/>
          </w:tcPr>
          <w:p w14:paraId="5500431A">
            <w:pPr>
              <w:pStyle w:val="94"/>
              <w:rPr>
                <w:color w:val="auto"/>
              </w:rPr>
            </w:pPr>
            <w:r>
              <w:rPr>
                <w:rFonts w:hint="eastAsia"/>
                <w:color w:val="auto"/>
              </w:rPr>
              <w:t>群系</w:t>
            </w:r>
          </w:p>
        </w:tc>
        <w:tc>
          <w:tcPr>
            <w:tcW w:w="1763" w:type="dxa"/>
            <w:tcBorders>
              <w:top w:val="single" w:color="auto" w:sz="4" w:space="0"/>
              <w:left w:val="single" w:color="auto" w:sz="4" w:space="0"/>
              <w:bottom w:val="single" w:color="auto" w:sz="4" w:space="0"/>
              <w:right w:val="single" w:color="auto" w:sz="12" w:space="0"/>
            </w:tcBorders>
            <w:vAlign w:val="center"/>
          </w:tcPr>
          <w:p w14:paraId="061B1D42">
            <w:pPr>
              <w:pStyle w:val="94"/>
              <w:rPr>
                <w:color w:val="auto"/>
              </w:rPr>
            </w:pPr>
            <w:r>
              <w:rPr>
                <w:rFonts w:hint="eastAsia"/>
                <w:color w:val="auto"/>
              </w:rPr>
              <w:t>柠条锦鸡儿灌丛</w:t>
            </w:r>
          </w:p>
        </w:tc>
      </w:tr>
      <w:tr w14:paraId="3D0A53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35" w:type="dxa"/>
            <w:tcBorders>
              <w:top w:val="single" w:color="auto" w:sz="4" w:space="0"/>
              <w:left w:val="single" w:color="auto" w:sz="12" w:space="0"/>
              <w:bottom w:val="single" w:color="auto" w:sz="4" w:space="0"/>
              <w:right w:val="single" w:color="auto" w:sz="4" w:space="0"/>
            </w:tcBorders>
            <w:vAlign w:val="center"/>
          </w:tcPr>
          <w:p w14:paraId="3D986906">
            <w:pPr>
              <w:pStyle w:val="94"/>
              <w:rPr>
                <w:color w:val="auto"/>
              </w:rPr>
            </w:pPr>
            <w:r>
              <w:rPr>
                <w:color w:val="auto"/>
              </w:rPr>
              <w:t>植被总盖度</w:t>
            </w:r>
          </w:p>
        </w:tc>
        <w:tc>
          <w:tcPr>
            <w:tcW w:w="1707" w:type="dxa"/>
            <w:tcBorders>
              <w:top w:val="single" w:color="auto" w:sz="4" w:space="0"/>
              <w:left w:val="single" w:color="auto" w:sz="4" w:space="0"/>
              <w:bottom w:val="single" w:color="auto" w:sz="4" w:space="0"/>
              <w:right w:val="single" w:color="auto" w:sz="4" w:space="0"/>
            </w:tcBorders>
            <w:vAlign w:val="center"/>
          </w:tcPr>
          <w:p w14:paraId="1B01D5E3">
            <w:pPr>
              <w:pStyle w:val="94"/>
              <w:rPr>
                <w:color w:val="auto"/>
              </w:rPr>
            </w:pPr>
            <w:r>
              <w:rPr>
                <w:color w:val="auto"/>
              </w:rPr>
              <w:t>80%</w:t>
            </w:r>
          </w:p>
        </w:tc>
        <w:tc>
          <w:tcPr>
            <w:tcW w:w="1711" w:type="dxa"/>
            <w:tcBorders>
              <w:top w:val="single" w:color="auto" w:sz="4" w:space="0"/>
              <w:left w:val="single" w:color="auto" w:sz="4" w:space="0"/>
              <w:bottom w:val="single" w:color="auto" w:sz="4" w:space="0"/>
              <w:right w:val="single" w:color="auto" w:sz="4" w:space="0"/>
            </w:tcBorders>
            <w:vAlign w:val="center"/>
          </w:tcPr>
          <w:p w14:paraId="30771C9D">
            <w:pPr>
              <w:pStyle w:val="94"/>
              <w:rPr>
                <w:color w:val="auto"/>
              </w:rPr>
            </w:pPr>
            <w:r>
              <w:rPr>
                <w:color w:val="auto"/>
              </w:rPr>
              <w:t>经纬度坐标</w:t>
            </w:r>
          </w:p>
        </w:tc>
        <w:tc>
          <w:tcPr>
            <w:tcW w:w="5183" w:type="dxa"/>
            <w:gridSpan w:val="3"/>
            <w:tcBorders>
              <w:top w:val="single" w:color="auto" w:sz="4" w:space="0"/>
              <w:left w:val="single" w:color="auto" w:sz="4" w:space="0"/>
              <w:bottom w:val="single" w:color="auto" w:sz="4" w:space="0"/>
              <w:right w:val="single" w:color="auto" w:sz="12" w:space="0"/>
            </w:tcBorders>
            <w:vAlign w:val="center"/>
          </w:tcPr>
          <w:p w14:paraId="649180E2">
            <w:pPr>
              <w:pStyle w:val="94"/>
              <w:rPr>
                <w:color w:val="auto"/>
                <w:sz w:val="20"/>
                <w:szCs w:val="20"/>
              </w:rPr>
            </w:pPr>
            <w:r>
              <w:rPr>
                <w:color w:val="auto"/>
              </w:rPr>
              <w:t>E110.91790°；N38.3846099°</w:t>
            </w:r>
          </w:p>
        </w:tc>
      </w:tr>
      <w:tr w14:paraId="5C41BD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35" w:type="dxa"/>
            <w:tcBorders>
              <w:top w:val="single" w:color="auto" w:sz="4" w:space="0"/>
              <w:left w:val="single" w:color="auto" w:sz="12" w:space="0"/>
              <w:bottom w:val="single" w:color="auto" w:sz="4" w:space="0"/>
              <w:right w:val="single" w:color="auto" w:sz="4" w:space="0"/>
            </w:tcBorders>
            <w:vAlign w:val="center"/>
          </w:tcPr>
          <w:p w14:paraId="503B5A3E">
            <w:pPr>
              <w:pStyle w:val="94"/>
              <w:rPr>
                <w:color w:val="auto"/>
              </w:rPr>
            </w:pPr>
            <w:r>
              <w:rPr>
                <w:color w:val="auto"/>
              </w:rPr>
              <w:t>序号</w:t>
            </w:r>
          </w:p>
        </w:tc>
        <w:tc>
          <w:tcPr>
            <w:tcW w:w="1707" w:type="dxa"/>
            <w:tcBorders>
              <w:top w:val="single" w:color="auto" w:sz="4" w:space="0"/>
              <w:left w:val="single" w:color="auto" w:sz="4" w:space="0"/>
              <w:bottom w:val="single" w:color="auto" w:sz="4" w:space="0"/>
              <w:right w:val="single" w:color="auto" w:sz="4" w:space="0"/>
            </w:tcBorders>
            <w:vAlign w:val="center"/>
          </w:tcPr>
          <w:p w14:paraId="1001DB89">
            <w:pPr>
              <w:pStyle w:val="94"/>
              <w:rPr>
                <w:color w:val="auto"/>
              </w:rPr>
            </w:pPr>
            <w:r>
              <w:rPr>
                <w:color w:val="auto"/>
              </w:rPr>
              <w:t>植物名称</w:t>
            </w:r>
          </w:p>
        </w:tc>
        <w:tc>
          <w:tcPr>
            <w:tcW w:w="1711" w:type="dxa"/>
            <w:tcBorders>
              <w:top w:val="single" w:color="auto" w:sz="4" w:space="0"/>
              <w:left w:val="single" w:color="auto" w:sz="4" w:space="0"/>
              <w:bottom w:val="single" w:color="auto" w:sz="4" w:space="0"/>
              <w:right w:val="single" w:color="auto" w:sz="4" w:space="0"/>
            </w:tcBorders>
            <w:vAlign w:val="center"/>
          </w:tcPr>
          <w:p w14:paraId="324FD689">
            <w:pPr>
              <w:pStyle w:val="94"/>
              <w:rPr>
                <w:color w:val="auto"/>
              </w:rPr>
            </w:pPr>
            <w:r>
              <w:rPr>
                <w:color w:val="auto"/>
              </w:rPr>
              <w:t>高度（cm）</w:t>
            </w:r>
          </w:p>
        </w:tc>
        <w:tc>
          <w:tcPr>
            <w:tcW w:w="1709" w:type="dxa"/>
            <w:tcBorders>
              <w:top w:val="single" w:color="auto" w:sz="4" w:space="0"/>
              <w:left w:val="single" w:color="auto" w:sz="4" w:space="0"/>
              <w:bottom w:val="single" w:color="auto" w:sz="4" w:space="0"/>
              <w:right w:val="single" w:color="auto" w:sz="4" w:space="0"/>
            </w:tcBorders>
            <w:vAlign w:val="center"/>
          </w:tcPr>
          <w:p w14:paraId="3BE60F5A">
            <w:pPr>
              <w:pStyle w:val="94"/>
              <w:rPr>
                <w:color w:val="auto"/>
              </w:rPr>
            </w:pPr>
            <w:r>
              <w:rPr>
                <w:color w:val="auto"/>
              </w:rPr>
              <w:t>地上部分生物量（g）</w:t>
            </w:r>
          </w:p>
        </w:tc>
        <w:tc>
          <w:tcPr>
            <w:tcW w:w="1711" w:type="dxa"/>
            <w:tcBorders>
              <w:top w:val="single" w:color="auto" w:sz="4" w:space="0"/>
              <w:left w:val="single" w:color="auto" w:sz="4" w:space="0"/>
              <w:bottom w:val="single" w:color="auto" w:sz="4" w:space="0"/>
              <w:right w:val="single" w:color="auto" w:sz="4" w:space="0"/>
            </w:tcBorders>
            <w:vAlign w:val="center"/>
          </w:tcPr>
          <w:p w14:paraId="03E7B169">
            <w:pPr>
              <w:pStyle w:val="94"/>
              <w:rPr>
                <w:color w:val="auto"/>
              </w:rPr>
            </w:pPr>
            <w:r>
              <w:rPr>
                <w:color w:val="auto"/>
              </w:rPr>
              <w:t>盖度（%）</w:t>
            </w:r>
          </w:p>
        </w:tc>
        <w:tc>
          <w:tcPr>
            <w:tcW w:w="1763" w:type="dxa"/>
            <w:tcBorders>
              <w:top w:val="single" w:color="auto" w:sz="4" w:space="0"/>
              <w:left w:val="single" w:color="auto" w:sz="4" w:space="0"/>
              <w:bottom w:val="single" w:color="auto" w:sz="4" w:space="0"/>
              <w:right w:val="single" w:color="auto" w:sz="12" w:space="0"/>
            </w:tcBorders>
            <w:vAlign w:val="center"/>
          </w:tcPr>
          <w:p w14:paraId="6A8DC815">
            <w:pPr>
              <w:pStyle w:val="94"/>
              <w:rPr>
                <w:color w:val="auto"/>
              </w:rPr>
            </w:pPr>
            <w:r>
              <w:rPr>
                <w:color w:val="auto"/>
              </w:rPr>
              <w:t>频度（个）</w:t>
            </w:r>
          </w:p>
        </w:tc>
      </w:tr>
      <w:tr w14:paraId="6C26A3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 w:hRule="atLeast"/>
          <w:jc w:val="center"/>
        </w:trPr>
        <w:tc>
          <w:tcPr>
            <w:tcW w:w="1835" w:type="dxa"/>
            <w:tcBorders>
              <w:top w:val="single" w:color="auto" w:sz="4" w:space="0"/>
              <w:left w:val="single" w:color="auto" w:sz="12" w:space="0"/>
              <w:bottom w:val="single" w:color="auto" w:sz="4" w:space="0"/>
              <w:right w:val="single" w:color="auto" w:sz="4" w:space="0"/>
            </w:tcBorders>
            <w:vAlign w:val="center"/>
          </w:tcPr>
          <w:p w14:paraId="611551FC">
            <w:pPr>
              <w:pStyle w:val="94"/>
              <w:rPr>
                <w:color w:val="auto"/>
              </w:rPr>
            </w:pPr>
            <w:r>
              <w:rPr>
                <w:color w:val="auto"/>
              </w:rPr>
              <w:t>1</w:t>
            </w:r>
          </w:p>
        </w:tc>
        <w:tc>
          <w:tcPr>
            <w:tcW w:w="1707" w:type="dxa"/>
            <w:tcBorders>
              <w:top w:val="single" w:color="auto" w:sz="4" w:space="0"/>
              <w:left w:val="single" w:color="auto" w:sz="4" w:space="0"/>
              <w:bottom w:val="single" w:color="auto" w:sz="4" w:space="0"/>
              <w:right w:val="single" w:color="auto" w:sz="4" w:space="0"/>
            </w:tcBorders>
          </w:tcPr>
          <w:p w14:paraId="09F711BC">
            <w:pPr>
              <w:pStyle w:val="94"/>
              <w:rPr>
                <w:color w:val="auto"/>
              </w:rPr>
            </w:pPr>
            <w:r>
              <w:rPr>
                <w:rFonts w:hint="eastAsia"/>
                <w:color w:val="auto"/>
              </w:rPr>
              <w:t>柠条锦鸡儿</w:t>
            </w:r>
          </w:p>
        </w:tc>
        <w:tc>
          <w:tcPr>
            <w:tcW w:w="1711" w:type="dxa"/>
            <w:tcBorders>
              <w:top w:val="single" w:color="auto" w:sz="4" w:space="0"/>
              <w:left w:val="single" w:color="auto" w:sz="4" w:space="0"/>
              <w:bottom w:val="single" w:color="auto" w:sz="4" w:space="0"/>
              <w:right w:val="single" w:color="auto" w:sz="4" w:space="0"/>
            </w:tcBorders>
            <w:vAlign w:val="center"/>
          </w:tcPr>
          <w:p w14:paraId="666FFCF6">
            <w:pPr>
              <w:pStyle w:val="94"/>
              <w:rPr>
                <w:color w:val="auto"/>
              </w:rPr>
            </w:pPr>
            <w:r>
              <w:rPr>
                <w:color w:val="auto"/>
              </w:rPr>
              <w:t>130~160</w:t>
            </w:r>
          </w:p>
        </w:tc>
        <w:tc>
          <w:tcPr>
            <w:tcW w:w="1709" w:type="dxa"/>
            <w:tcBorders>
              <w:top w:val="single" w:color="auto" w:sz="4" w:space="0"/>
              <w:left w:val="single" w:color="auto" w:sz="4" w:space="0"/>
              <w:bottom w:val="single" w:color="auto" w:sz="4" w:space="0"/>
              <w:right w:val="single" w:color="auto" w:sz="4" w:space="0"/>
            </w:tcBorders>
            <w:vAlign w:val="center"/>
          </w:tcPr>
          <w:p w14:paraId="714854E3">
            <w:pPr>
              <w:pStyle w:val="94"/>
              <w:rPr>
                <w:color w:val="auto"/>
              </w:rPr>
            </w:pPr>
            <w:r>
              <w:rPr>
                <w:color w:val="auto"/>
              </w:rPr>
              <w:t>5660</w:t>
            </w:r>
          </w:p>
        </w:tc>
        <w:tc>
          <w:tcPr>
            <w:tcW w:w="1711" w:type="dxa"/>
            <w:tcBorders>
              <w:top w:val="single" w:color="auto" w:sz="4" w:space="0"/>
              <w:left w:val="single" w:color="auto" w:sz="4" w:space="0"/>
              <w:bottom w:val="single" w:color="auto" w:sz="4" w:space="0"/>
              <w:right w:val="single" w:color="auto" w:sz="4" w:space="0"/>
            </w:tcBorders>
            <w:vAlign w:val="center"/>
          </w:tcPr>
          <w:p w14:paraId="7EED7B67">
            <w:pPr>
              <w:pStyle w:val="94"/>
              <w:rPr>
                <w:color w:val="auto"/>
              </w:rPr>
            </w:pPr>
            <w:r>
              <w:rPr>
                <w:color w:val="auto"/>
              </w:rPr>
              <w:t>30</w:t>
            </w:r>
          </w:p>
        </w:tc>
        <w:tc>
          <w:tcPr>
            <w:tcW w:w="1763" w:type="dxa"/>
            <w:tcBorders>
              <w:top w:val="single" w:color="auto" w:sz="4" w:space="0"/>
              <w:left w:val="single" w:color="auto" w:sz="4" w:space="0"/>
              <w:bottom w:val="single" w:color="auto" w:sz="4" w:space="0"/>
              <w:right w:val="single" w:color="auto" w:sz="12" w:space="0"/>
            </w:tcBorders>
            <w:vAlign w:val="center"/>
          </w:tcPr>
          <w:p w14:paraId="77A410D5">
            <w:pPr>
              <w:pStyle w:val="94"/>
              <w:rPr>
                <w:color w:val="auto"/>
              </w:rPr>
            </w:pPr>
            <w:r>
              <w:rPr>
                <w:color w:val="auto"/>
              </w:rPr>
              <w:t>18</w:t>
            </w:r>
          </w:p>
        </w:tc>
      </w:tr>
      <w:tr w14:paraId="1824B3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35" w:type="dxa"/>
            <w:tcBorders>
              <w:top w:val="single" w:color="auto" w:sz="4" w:space="0"/>
              <w:left w:val="single" w:color="auto" w:sz="12" w:space="0"/>
              <w:bottom w:val="single" w:color="auto" w:sz="4" w:space="0"/>
              <w:right w:val="single" w:color="auto" w:sz="4" w:space="0"/>
            </w:tcBorders>
            <w:vAlign w:val="center"/>
          </w:tcPr>
          <w:p w14:paraId="2153BEC8">
            <w:pPr>
              <w:pStyle w:val="94"/>
              <w:rPr>
                <w:color w:val="auto"/>
              </w:rPr>
            </w:pPr>
            <w:r>
              <w:rPr>
                <w:color w:val="auto"/>
              </w:rPr>
              <w:t>2</w:t>
            </w:r>
          </w:p>
        </w:tc>
        <w:tc>
          <w:tcPr>
            <w:tcW w:w="1707" w:type="dxa"/>
            <w:tcBorders>
              <w:top w:val="single" w:color="auto" w:sz="4" w:space="0"/>
              <w:left w:val="single" w:color="auto" w:sz="4" w:space="0"/>
              <w:bottom w:val="single" w:color="auto" w:sz="4" w:space="0"/>
              <w:right w:val="single" w:color="auto" w:sz="4" w:space="0"/>
            </w:tcBorders>
            <w:vAlign w:val="center"/>
          </w:tcPr>
          <w:p w14:paraId="24CAB13C">
            <w:pPr>
              <w:pStyle w:val="94"/>
              <w:rPr>
                <w:color w:val="auto"/>
              </w:rPr>
            </w:pPr>
            <w:r>
              <w:rPr>
                <w:color w:val="auto"/>
              </w:rPr>
              <w:t>针茅</w:t>
            </w:r>
          </w:p>
        </w:tc>
        <w:tc>
          <w:tcPr>
            <w:tcW w:w="1711" w:type="dxa"/>
            <w:tcBorders>
              <w:top w:val="single" w:color="auto" w:sz="4" w:space="0"/>
              <w:left w:val="single" w:color="auto" w:sz="4" w:space="0"/>
              <w:bottom w:val="single" w:color="auto" w:sz="4" w:space="0"/>
              <w:right w:val="single" w:color="auto" w:sz="4" w:space="0"/>
            </w:tcBorders>
            <w:vAlign w:val="center"/>
          </w:tcPr>
          <w:p w14:paraId="0EFE1594">
            <w:pPr>
              <w:pStyle w:val="94"/>
              <w:rPr>
                <w:color w:val="auto"/>
              </w:rPr>
            </w:pPr>
            <w:r>
              <w:rPr>
                <w:color w:val="auto"/>
              </w:rPr>
              <w:t>110~150</w:t>
            </w:r>
          </w:p>
        </w:tc>
        <w:tc>
          <w:tcPr>
            <w:tcW w:w="1709" w:type="dxa"/>
            <w:tcBorders>
              <w:top w:val="single" w:color="auto" w:sz="4" w:space="0"/>
              <w:left w:val="single" w:color="auto" w:sz="4" w:space="0"/>
              <w:bottom w:val="single" w:color="auto" w:sz="4" w:space="0"/>
              <w:right w:val="single" w:color="auto" w:sz="4" w:space="0"/>
            </w:tcBorders>
            <w:vAlign w:val="center"/>
          </w:tcPr>
          <w:p w14:paraId="448E8CE2">
            <w:pPr>
              <w:pStyle w:val="94"/>
              <w:rPr>
                <w:color w:val="auto"/>
              </w:rPr>
            </w:pPr>
            <w:r>
              <w:rPr>
                <w:color w:val="auto"/>
              </w:rPr>
              <w:t>326</w:t>
            </w:r>
          </w:p>
        </w:tc>
        <w:tc>
          <w:tcPr>
            <w:tcW w:w="1711" w:type="dxa"/>
            <w:tcBorders>
              <w:top w:val="single" w:color="auto" w:sz="4" w:space="0"/>
              <w:left w:val="single" w:color="auto" w:sz="4" w:space="0"/>
              <w:bottom w:val="single" w:color="auto" w:sz="4" w:space="0"/>
              <w:right w:val="single" w:color="auto" w:sz="4" w:space="0"/>
            </w:tcBorders>
            <w:vAlign w:val="center"/>
          </w:tcPr>
          <w:p w14:paraId="2BBF83D5">
            <w:pPr>
              <w:pStyle w:val="94"/>
              <w:rPr>
                <w:color w:val="auto"/>
              </w:rPr>
            </w:pPr>
            <w:r>
              <w:rPr>
                <w:color w:val="auto"/>
              </w:rPr>
              <w:t>5</w:t>
            </w:r>
          </w:p>
        </w:tc>
        <w:tc>
          <w:tcPr>
            <w:tcW w:w="1763" w:type="dxa"/>
            <w:tcBorders>
              <w:top w:val="single" w:color="auto" w:sz="4" w:space="0"/>
              <w:left w:val="single" w:color="auto" w:sz="4" w:space="0"/>
              <w:bottom w:val="single" w:color="auto" w:sz="4" w:space="0"/>
              <w:right w:val="single" w:color="auto" w:sz="12" w:space="0"/>
            </w:tcBorders>
            <w:vAlign w:val="center"/>
          </w:tcPr>
          <w:p w14:paraId="6D315206">
            <w:pPr>
              <w:pStyle w:val="94"/>
              <w:rPr>
                <w:color w:val="auto"/>
              </w:rPr>
            </w:pPr>
            <w:r>
              <w:rPr>
                <w:color w:val="auto"/>
              </w:rPr>
              <w:t>125</w:t>
            </w:r>
          </w:p>
        </w:tc>
      </w:tr>
      <w:tr w14:paraId="1C2C6F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35" w:type="dxa"/>
            <w:tcBorders>
              <w:top w:val="single" w:color="auto" w:sz="4" w:space="0"/>
              <w:left w:val="single" w:color="auto" w:sz="12" w:space="0"/>
              <w:bottom w:val="single" w:color="auto" w:sz="4" w:space="0"/>
              <w:right w:val="single" w:color="auto" w:sz="4" w:space="0"/>
            </w:tcBorders>
            <w:vAlign w:val="center"/>
          </w:tcPr>
          <w:p w14:paraId="530B0BDD">
            <w:pPr>
              <w:pStyle w:val="94"/>
              <w:rPr>
                <w:color w:val="auto"/>
              </w:rPr>
            </w:pPr>
            <w:r>
              <w:rPr>
                <w:color w:val="auto"/>
              </w:rPr>
              <w:t>3</w:t>
            </w:r>
          </w:p>
        </w:tc>
        <w:tc>
          <w:tcPr>
            <w:tcW w:w="1707" w:type="dxa"/>
            <w:tcBorders>
              <w:top w:val="single" w:color="auto" w:sz="4" w:space="0"/>
              <w:left w:val="single" w:color="auto" w:sz="4" w:space="0"/>
              <w:bottom w:val="single" w:color="auto" w:sz="4" w:space="0"/>
              <w:right w:val="single" w:color="auto" w:sz="4" w:space="0"/>
            </w:tcBorders>
          </w:tcPr>
          <w:p w14:paraId="69D2ECDB">
            <w:pPr>
              <w:pStyle w:val="94"/>
              <w:rPr>
                <w:color w:val="auto"/>
              </w:rPr>
            </w:pPr>
            <w:r>
              <w:rPr>
                <w:rFonts w:hint="eastAsia"/>
                <w:color w:val="auto"/>
              </w:rPr>
              <w:t>华北米蒿</w:t>
            </w:r>
          </w:p>
        </w:tc>
        <w:tc>
          <w:tcPr>
            <w:tcW w:w="1711" w:type="dxa"/>
            <w:tcBorders>
              <w:top w:val="single" w:color="auto" w:sz="4" w:space="0"/>
              <w:left w:val="single" w:color="auto" w:sz="4" w:space="0"/>
              <w:bottom w:val="single" w:color="auto" w:sz="4" w:space="0"/>
              <w:right w:val="single" w:color="auto" w:sz="4" w:space="0"/>
            </w:tcBorders>
            <w:vAlign w:val="center"/>
          </w:tcPr>
          <w:p w14:paraId="5BD58A03">
            <w:pPr>
              <w:pStyle w:val="94"/>
              <w:rPr>
                <w:color w:val="auto"/>
              </w:rPr>
            </w:pPr>
            <w:r>
              <w:rPr>
                <w:color w:val="auto"/>
              </w:rPr>
              <w:t>40~100</w:t>
            </w:r>
          </w:p>
        </w:tc>
        <w:tc>
          <w:tcPr>
            <w:tcW w:w="1709" w:type="dxa"/>
            <w:tcBorders>
              <w:top w:val="single" w:color="auto" w:sz="4" w:space="0"/>
              <w:left w:val="single" w:color="auto" w:sz="4" w:space="0"/>
              <w:bottom w:val="single" w:color="auto" w:sz="4" w:space="0"/>
              <w:right w:val="single" w:color="auto" w:sz="4" w:space="0"/>
            </w:tcBorders>
            <w:vAlign w:val="center"/>
          </w:tcPr>
          <w:p w14:paraId="2A1C89FB">
            <w:pPr>
              <w:pStyle w:val="94"/>
              <w:rPr>
                <w:color w:val="auto"/>
              </w:rPr>
            </w:pPr>
            <w:r>
              <w:rPr>
                <w:color w:val="auto"/>
              </w:rPr>
              <w:t>1025</w:t>
            </w:r>
          </w:p>
        </w:tc>
        <w:tc>
          <w:tcPr>
            <w:tcW w:w="1711" w:type="dxa"/>
            <w:tcBorders>
              <w:top w:val="single" w:color="auto" w:sz="4" w:space="0"/>
              <w:left w:val="single" w:color="auto" w:sz="4" w:space="0"/>
              <w:bottom w:val="single" w:color="auto" w:sz="4" w:space="0"/>
              <w:right w:val="single" w:color="auto" w:sz="4" w:space="0"/>
            </w:tcBorders>
            <w:vAlign w:val="center"/>
          </w:tcPr>
          <w:p w14:paraId="23E62373">
            <w:pPr>
              <w:pStyle w:val="94"/>
              <w:rPr>
                <w:color w:val="auto"/>
              </w:rPr>
            </w:pPr>
            <w:r>
              <w:rPr>
                <w:color w:val="auto"/>
              </w:rPr>
              <w:t>5</w:t>
            </w:r>
          </w:p>
        </w:tc>
        <w:tc>
          <w:tcPr>
            <w:tcW w:w="1763" w:type="dxa"/>
            <w:tcBorders>
              <w:top w:val="single" w:color="auto" w:sz="4" w:space="0"/>
              <w:left w:val="single" w:color="auto" w:sz="4" w:space="0"/>
              <w:bottom w:val="single" w:color="auto" w:sz="4" w:space="0"/>
              <w:right w:val="single" w:color="auto" w:sz="12" w:space="0"/>
            </w:tcBorders>
            <w:vAlign w:val="center"/>
          </w:tcPr>
          <w:p w14:paraId="4EEAAE45">
            <w:pPr>
              <w:pStyle w:val="94"/>
              <w:rPr>
                <w:color w:val="auto"/>
              </w:rPr>
            </w:pPr>
            <w:r>
              <w:rPr>
                <w:color w:val="auto"/>
              </w:rPr>
              <w:t>26</w:t>
            </w:r>
          </w:p>
        </w:tc>
      </w:tr>
      <w:tr w14:paraId="6CF226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35" w:type="dxa"/>
            <w:tcBorders>
              <w:top w:val="single" w:color="auto" w:sz="4" w:space="0"/>
              <w:left w:val="single" w:color="auto" w:sz="12" w:space="0"/>
              <w:bottom w:val="single" w:color="auto" w:sz="4" w:space="0"/>
              <w:right w:val="single" w:color="auto" w:sz="4" w:space="0"/>
            </w:tcBorders>
            <w:vAlign w:val="center"/>
          </w:tcPr>
          <w:p w14:paraId="6FBC5535">
            <w:pPr>
              <w:pStyle w:val="94"/>
              <w:rPr>
                <w:color w:val="auto"/>
              </w:rPr>
            </w:pPr>
            <w:r>
              <w:rPr>
                <w:color w:val="auto"/>
              </w:rPr>
              <w:t>4</w:t>
            </w:r>
          </w:p>
        </w:tc>
        <w:tc>
          <w:tcPr>
            <w:tcW w:w="1707" w:type="dxa"/>
            <w:tcBorders>
              <w:top w:val="single" w:color="auto" w:sz="4" w:space="0"/>
              <w:left w:val="single" w:color="auto" w:sz="4" w:space="0"/>
              <w:bottom w:val="single" w:color="auto" w:sz="4" w:space="0"/>
              <w:right w:val="single" w:color="auto" w:sz="4" w:space="0"/>
            </w:tcBorders>
          </w:tcPr>
          <w:p w14:paraId="271DC891">
            <w:pPr>
              <w:pStyle w:val="94"/>
              <w:rPr>
                <w:color w:val="auto"/>
              </w:rPr>
            </w:pPr>
            <w:r>
              <w:rPr>
                <w:rFonts w:hint="eastAsia"/>
                <w:color w:val="auto"/>
              </w:rPr>
              <w:t>细叶小檗</w:t>
            </w:r>
          </w:p>
        </w:tc>
        <w:tc>
          <w:tcPr>
            <w:tcW w:w="1711" w:type="dxa"/>
            <w:tcBorders>
              <w:top w:val="single" w:color="auto" w:sz="4" w:space="0"/>
              <w:left w:val="single" w:color="auto" w:sz="4" w:space="0"/>
              <w:bottom w:val="single" w:color="auto" w:sz="4" w:space="0"/>
              <w:right w:val="single" w:color="auto" w:sz="4" w:space="0"/>
            </w:tcBorders>
            <w:vAlign w:val="center"/>
          </w:tcPr>
          <w:p w14:paraId="3CA43552">
            <w:pPr>
              <w:pStyle w:val="94"/>
              <w:rPr>
                <w:color w:val="auto"/>
              </w:rPr>
            </w:pPr>
            <w:r>
              <w:rPr>
                <w:color w:val="auto"/>
              </w:rPr>
              <w:t>40~70</w:t>
            </w:r>
          </w:p>
        </w:tc>
        <w:tc>
          <w:tcPr>
            <w:tcW w:w="1709" w:type="dxa"/>
            <w:tcBorders>
              <w:top w:val="single" w:color="auto" w:sz="4" w:space="0"/>
              <w:left w:val="single" w:color="auto" w:sz="4" w:space="0"/>
              <w:bottom w:val="single" w:color="auto" w:sz="4" w:space="0"/>
              <w:right w:val="single" w:color="auto" w:sz="4" w:space="0"/>
            </w:tcBorders>
            <w:vAlign w:val="center"/>
          </w:tcPr>
          <w:p w14:paraId="029E720B">
            <w:pPr>
              <w:pStyle w:val="94"/>
              <w:rPr>
                <w:color w:val="auto"/>
              </w:rPr>
            </w:pPr>
            <w:r>
              <w:rPr>
                <w:color w:val="auto"/>
              </w:rPr>
              <w:t>/</w:t>
            </w:r>
          </w:p>
        </w:tc>
        <w:tc>
          <w:tcPr>
            <w:tcW w:w="1711" w:type="dxa"/>
            <w:tcBorders>
              <w:top w:val="single" w:color="auto" w:sz="4" w:space="0"/>
              <w:left w:val="single" w:color="auto" w:sz="4" w:space="0"/>
              <w:bottom w:val="single" w:color="auto" w:sz="4" w:space="0"/>
              <w:right w:val="single" w:color="auto" w:sz="4" w:space="0"/>
            </w:tcBorders>
            <w:vAlign w:val="center"/>
          </w:tcPr>
          <w:p w14:paraId="1389CF04">
            <w:pPr>
              <w:pStyle w:val="94"/>
              <w:rPr>
                <w:color w:val="auto"/>
              </w:rPr>
            </w:pPr>
            <w:r>
              <w:rPr>
                <w:color w:val="auto"/>
              </w:rPr>
              <w:t>/</w:t>
            </w:r>
          </w:p>
        </w:tc>
        <w:tc>
          <w:tcPr>
            <w:tcW w:w="1763" w:type="dxa"/>
            <w:tcBorders>
              <w:top w:val="single" w:color="auto" w:sz="4" w:space="0"/>
              <w:left w:val="single" w:color="auto" w:sz="4" w:space="0"/>
              <w:bottom w:val="single" w:color="auto" w:sz="4" w:space="0"/>
              <w:right w:val="single" w:color="auto" w:sz="12" w:space="0"/>
            </w:tcBorders>
            <w:vAlign w:val="center"/>
          </w:tcPr>
          <w:p w14:paraId="28D776B7">
            <w:pPr>
              <w:pStyle w:val="94"/>
              <w:rPr>
                <w:color w:val="auto"/>
              </w:rPr>
            </w:pPr>
            <w:r>
              <w:rPr>
                <w:color w:val="auto"/>
              </w:rPr>
              <w:t>偶见</w:t>
            </w:r>
          </w:p>
        </w:tc>
      </w:tr>
      <w:tr w14:paraId="54D142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35" w:type="dxa"/>
            <w:tcBorders>
              <w:top w:val="single" w:color="auto" w:sz="4" w:space="0"/>
              <w:left w:val="single" w:color="auto" w:sz="12" w:space="0"/>
              <w:bottom w:val="single" w:color="auto" w:sz="12" w:space="0"/>
              <w:right w:val="single" w:color="auto" w:sz="4" w:space="0"/>
            </w:tcBorders>
            <w:vAlign w:val="center"/>
          </w:tcPr>
          <w:p w14:paraId="20AA4C7D">
            <w:pPr>
              <w:pStyle w:val="94"/>
              <w:rPr>
                <w:color w:val="auto"/>
              </w:rPr>
            </w:pPr>
            <w:r>
              <w:rPr>
                <w:color w:val="auto"/>
              </w:rPr>
              <w:t>5</w:t>
            </w:r>
          </w:p>
        </w:tc>
        <w:tc>
          <w:tcPr>
            <w:tcW w:w="1707" w:type="dxa"/>
            <w:tcBorders>
              <w:top w:val="single" w:color="auto" w:sz="4" w:space="0"/>
              <w:left w:val="single" w:color="auto" w:sz="4" w:space="0"/>
              <w:bottom w:val="single" w:color="auto" w:sz="12" w:space="0"/>
              <w:right w:val="single" w:color="auto" w:sz="4" w:space="0"/>
            </w:tcBorders>
          </w:tcPr>
          <w:p w14:paraId="40451ED1">
            <w:pPr>
              <w:pStyle w:val="94"/>
              <w:rPr>
                <w:color w:val="auto"/>
              </w:rPr>
            </w:pPr>
            <w:r>
              <w:rPr>
                <w:rFonts w:hint="eastAsia"/>
                <w:color w:val="auto"/>
              </w:rPr>
              <w:t>堆花小檗</w:t>
            </w:r>
          </w:p>
        </w:tc>
        <w:tc>
          <w:tcPr>
            <w:tcW w:w="1711" w:type="dxa"/>
            <w:tcBorders>
              <w:top w:val="single" w:color="auto" w:sz="4" w:space="0"/>
              <w:left w:val="single" w:color="auto" w:sz="4" w:space="0"/>
              <w:bottom w:val="single" w:color="auto" w:sz="12" w:space="0"/>
              <w:right w:val="single" w:color="auto" w:sz="4" w:space="0"/>
            </w:tcBorders>
            <w:vAlign w:val="center"/>
          </w:tcPr>
          <w:p w14:paraId="36BC15BD">
            <w:pPr>
              <w:pStyle w:val="94"/>
              <w:rPr>
                <w:color w:val="auto"/>
              </w:rPr>
            </w:pPr>
            <w:r>
              <w:rPr>
                <w:rFonts w:hint="eastAsia"/>
                <w:color w:val="auto"/>
              </w:rPr>
              <w:t>1</w:t>
            </w:r>
            <w:r>
              <w:rPr>
                <w:color w:val="auto"/>
              </w:rPr>
              <w:t>0~30</w:t>
            </w:r>
          </w:p>
        </w:tc>
        <w:tc>
          <w:tcPr>
            <w:tcW w:w="1709" w:type="dxa"/>
            <w:tcBorders>
              <w:top w:val="single" w:color="auto" w:sz="4" w:space="0"/>
              <w:left w:val="single" w:color="auto" w:sz="4" w:space="0"/>
              <w:bottom w:val="single" w:color="auto" w:sz="12" w:space="0"/>
              <w:right w:val="single" w:color="auto" w:sz="4" w:space="0"/>
            </w:tcBorders>
            <w:vAlign w:val="center"/>
          </w:tcPr>
          <w:p w14:paraId="689AB705">
            <w:pPr>
              <w:pStyle w:val="94"/>
              <w:rPr>
                <w:color w:val="auto"/>
              </w:rPr>
            </w:pPr>
            <w:r>
              <w:rPr>
                <w:color w:val="auto"/>
              </w:rPr>
              <w:t>/</w:t>
            </w:r>
          </w:p>
        </w:tc>
        <w:tc>
          <w:tcPr>
            <w:tcW w:w="1711" w:type="dxa"/>
            <w:tcBorders>
              <w:top w:val="single" w:color="auto" w:sz="4" w:space="0"/>
              <w:left w:val="single" w:color="auto" w:sz="4" w:space="0"/>
              <w:bottom w:val="single" w:color="auto" w:sz="12" w:space="0"/>
              <w:right w:val="single" w:color="auto" w:sz="4" w:space="0"/>
            </w:tcBorders>
            <w:vAlign w:val="center"/>
          </w:tcPr>
          <w:p w14:paraId="126C1FF9">
            <w:pPr>
              <w:pStyle w:val="94"/>
              <w:rPr>
                <w:color w:val="auto"/>
              </w:rPr>
            </w:pPr>
            <w:r>
              <w:rPr>
                <w:color w:val="auto"/>
              </w:rPr>
              <w:t>/</w:t>
            </w:r>
          </w:p>
        </w:tc>
        <w:tc>
          <w:tcPr>
            <w:tcW w:w="1763" w:type="dxa"/>
            <w:tcBorders>
              <w:top w:val="single" w:color="auto" w:sz="4" w:space="0"/>
              <w:left w:val="single" w:color="auto" w:sz="4" w:space="0"/>
              <w:bottom w:val="single" w:color="auto" w:sz="12" w:space="0"/>
              <w:right w:val="single" w:color="auto" w:sz="12" w:space="0"/>
            </w:tcBorders>
            <w:vAlign w:val="center"/>
          </w:tcPr>
          <w:p w14:paraId="59134F2C">
            <w:pPr>
              <w:pStyle w:val="94"/>
              <w:rPr>
                <w:color w:val="auto"/>
              </w:rPr>
            </w:pPr>
            <w:r>
              <w:rPr>
                <w:color w:val="auto"/>
              </w:rPr>
              <w:t>偶见</w:t>
            </w:r>
          </w:p>
        </w:tc>
      </w:tr>
    </w:tbl>
    <w:p w14:paraId="7AE8317F">
      <w:pPr>
        <w:pStyle w:val="19"/>
        <w:keepNext/>
      </w:pPr>
      <w:r>
        <w:t xml:space="preserve">表 </w:t>
      </w:r>
      <w:r>
        <w:fldChar w:fldCharType="begin"/>
      </w:r>
      <w:r>
        <w:instrText xml:space="preserve"> SEQ 表 \* ARABIC </w:instrText>
      </w:r>
      <w:r>
        <w:fldChar w:fldCharType="separate"/>
      </w:r>
      <w:r>
        <w:t>65</w:t>
      </w:r>
      <w:r>
        <w:fldChar w:fldCharType="end"/>
      </w:r>
      <w:r>
        <w:rPr>
          <w:rFonts w:hint="eastAsia"/>
        </w:rPr>
        <w:t>群系样方编号</w:t>
      </w:r>
      <w:r>
        <w:t>9</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878"/>
        <w:gridCol w:w="1747"/>
        <w:gridCol w:w="1751"/>
        <w:gridCol w:w="1749"/>
        <w:gridCol w:w="1751"/>
        <w:gridCol w:w="1805"/>
      </w:tblGrid>
      <w:tr w14:paraId="7CAFAB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35" w:type="dxa"/>
            <w:tcBorders>
              <w:top w:val="single" w:color="auto" w:sz="12" w:space="0"/>
              <w:left w:val="single" w:color="auto" w:sz="12" w:space="0"/>
              <w:bottom w:val="single" w:color="auto" w:sz="6" w:space="0"/>
              <w:right w:val="single" w:color="auto" w:sz="6" w:space="0"/>
            </w:tcBorders>
            <w:vAlign w:val="center"/>
          </w:tcPr>
          <w:p w14:paraId="38BFCC93">
            <w:pPr>
              <w:pStyle w:val="94"/>
              <w:rPr>
                <w:color w:val="auto"/>
              </w:rPr>
            </w:pPr>
            <w:r>
              <w:rPr>
                <w:rFonts w:hint="eastAsia"/>
                <w:color w:val="auto"/>
              </w:rPr>
              <w:t>调查日期</w:t>
            </w:r>
          </w:p>
        </w:tc>
        <w:tc>
          <w:tcPr>
            <w:tcW w:w="1707" w:type="dxa"/>
            <w:tcBorders>
              <w:top w:val="single" w:color="auto" w:sz="12" w:space="0"/>
              <w:left w:val="single" w:color="auto" w:sz="6" w:space="0"/>
              <w:bottom w:val="single" w:color="auto" w:sz="6" w:space="0"/>
              <w:right w:val="single" w:color="auto" w:sz="6" w:space="0"/>
            </w:tcBorders>
            <w:vAlign w:val="center"/>
          </w:tcPr>
          <w:p w14:paraId="3117EB8F">
            <w:pPr>
              <w:pStyle w:val="94"/>
              <w:rPr>
                <w:color w:val="auto"/>
              </w:rPr>
            </w:pPr>
            <w:r>
              <w:rPr>
                <w:rFonts w:hint="eastAsia"/>
                <w:color w:val="auto"/>
              </w:rPr>
              <w:t>2023-9-</w:t>
            </w:r>
            <w:r>
              <w:rPr>
                <w:color w:val="auto"/>
              </w:rPr>
              <w:t>16</w:t>
            </w:r>
          </w:p>
        </w:tc>
        <w:tc>
          <w:tcPr>
            <w:tcW w:w="1711" w:type="dxa"/>
            <w:tcBorders>
              <w:top w:val="single" w:color="auto" w:sz="12" w:space="0"/>
              <w:left w:val="single" w:color="auto" w:sz="6" w:space="0"/>
              <w:bottom w:val="single" w:color="auto" w:sz="6" w:space="0"/>
              <w:right w:val="single" w:color="auto" w:sz="6" w:space="0"/>
            </w:tcBorders>
            <w:vAlign w:val="center"/>
          </w:tcPr>
          <w:p w14:paraId="7DB4A3B6">
            <w:pPr>
              <w:pStyle w:val="94"/>
              <w:rPr>
                <w:color w:val="auto"/>
              </w:rPr>
            </w:pPr>
            <w:r>
              <w:rPr>
                <w:rFonts w:hint="eastAsia"/>
                <w:color w:val="auto"/>
              </w:rPr>
              <w:t>调查地点</w:t>
            </w:r>
          </w:p>
        </w:tc>
        <w:tc>
          <w:tcPr>
            <w:tcW w:w="1709" w:type="dxa"/>
            <w:tcBorders>
              <w:top w:val="single" w:color="auto" w:sz="12" w:space="0"/>
              <w:left w:val="single" w:color="auto" w:sz="6" w:space="0"/>
              <w:bottom w:val="single" w:color="auto" w:sz="6" w:space="0"/>
              <w:right w:val="single" w:color="auto" w:sz="6" w:space="0"/>
            </w:tcBorders>
            <w:vAlign w:val="center"/>
          </w:tcPr>
          <w:p w14:paraId="15F98A5C">
            <w:pPr>
              <w:pStyle w:val="94"/>
              <w:rPr>
                <w:color w:val="auto"/>
              </w:rPr>
            </w:pPr>
            <w:r>
              <w:rPr>
                <w:color w:val="auto"/>
              </w:rPr>
              <w:t>LXD2-25</w:t>
            </w:r>
            <w:r>
              <w:rPr>
                <w:rStyle w:val="92"/>
                <w:rFonts w:hint="default" w:cs="Arial"/>
                <w:b w:val="0"/>
                <w:bCs/>
                <w:color w:val="auto"/>
              </w:rPr>
              <w:t>井场</w:t>
            </w:r>
          </w:p>
        </w:tc>
        <w:tc>
          <w:tcPr>
            <w:tcW w:w="1711" w:type="dxa"/>
            <w:tcBorders>
              <w:top w:val="single" w:color="auto" w:sz="12" w:space="0"/>
              <w:left w:val="single" w:color="auto" w:sz="6" w:space="0"/>
              <w:bottom w:val="single" w:color="auto" w:sz="6" w:space="0"/>
              <w:right w:val="single" w:color="auto" w:sz="6" w:space="0"/>
            </w:tcBorders>
            <w:vAlign w:val="center"/>
          </w:tcPr>
          <w:p w14:paraId="213DAE09">
            <w:pPr>
              <w:pStyle w:val="94"/>
              <w:rPr>
                <w:color w:val="auto"/>
              </w:rPr>
            </w:pPr>
            <w:r>
              <w:rPr>
                <w:rFonts w:hint="eastAsia"/>
                <w:color w:val="auto"/>
              </w:rPr>
              <w:t>样方面积</w:t>
            </w:r>
          </w:p>
        </w:tc>
        <w:tc>
          <w:tcPr>
            <w:tcW w:w="1763" w:type="dxa"/>
            <w:tcBorders>
              <w:top w:val="single" w:color="auto" w:sz="12" w:space="0"/>
              <w:left w:val="single" w:color="auto" w:sz="6" w:space="0"/>
              <w:bottom w:val="single" w:color="auto" w:sz="6" w:space="0"/>
              <w:right w:val="single" w:color="auto" w:sz="12" w:space="0"/>
            </w:tcBorders>
            <w:vAlign w:val="center"/>
          </w:tcPr>
          <w:p w14:paraId="564A551A">
            <w:pPr>
              <w:pStyle w:val="94"/>
              <w:rPr>
                <w:color w:val="auto"/>
              </w:rPr>
            </w:pPr>
            <w:r>
              <w:rPr>
                <w:rFonts w:hint="eastAsia"/>
                <w:color w:val="auto"/>
              </w:rPr>
              <w:t>4m×4m</w:t>
            </w:r>
          </w:p>
        </w:tc>
      </w:tr>
      <w:tr w14:paraId="755903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35" w:type="dxa"/>
            <w:tcBorders>
              <w:top w:val="single" w:color="auto" w:sz="6" w:space="0"/>
              <w:left w:val="single" w:color="auto" w:sz="12" w:space="0"/>
              <w:bottom w:val="single" w:color="auto" w:sz="6" w:space="0"/>
              <w:right w:val="single" w:color="auto" w:sz="6" w:space="0"/>
            </w:tcBorders>
            <w:vAlign w:val="center"/>
          </w:tcPr>
          <w:p w14:paraId="7A4E4F0C">
            <w:pPr>
              <w:pStyle w:val="94"/>
              <w:rPr>
                <w:color w:val="auto"/>
              </w:rPr>
            </w:pPr>
            <w:r>
              <w:rPr>
                <w:rFonts w:hint="eastAsia"/>
                <w:color w:val="auto"/>
              </w:rPr>
              <w:t>海拔高度</w:t>
            </w:r>
          </w:p>
        </w:tc>
        <w:tc>
          <w:tcPr>
            <w:tcW w:w="1707" w:type="dxa"/>
            <w:tcBorders>
              <w:top w:val="single" w:color="auto" w:sz="6" w:space="0"/>
              <w:left w:val="single" w:color="auto" w:sz="6" w:space="0"/>
              <w:bottom w:val="single" w:color="auto" w:sz="6" w:space="0"/>
              <w:right w:val="single" w:color="auto" w:sz="6" w:space="0"/>
            </w:tcBorders>
            <w:vAlign w:val="center"/>
          </w:tcPr>
          <w:p w14:paraId="293B8329">
            <w:pPr>
              <w:pStyle w:val="94"/>
              <w:rPr>
                <w:color w:val="auto"/>
              </w:rPr>
            </w:pPr>
            <w:r>
              <w:rPr>
                <w:color w:val="auto"/>
              </w:rPr>
              <w:t>1118m</w:t>
            </w:r>
          </w:p>
        </w:tc>
        <w:tc>
          <w:tcPr>
            <w:tcW w:w="1711" w:type="dxa"/>
            <w:tcBorders>
              <w:top w:val="single" w:color="auto" w:sz="6" w:space="0"/>
              <w:left w:val="single" w:color="auto" w:sz="6" w:space="0"/>
              <w:bottom w:val="single" w:color="auto" w:sz="6" w:space="0"/>
              <w:right w:val="single" w:color="auto" w:sz="6" w:space="0"/>
            </w:tcBorders>
            <w:vAlign w:val="center"/>
          </w:tcPr>
          <w:p w14:paraId="6B2382D9">
            <w:pPr>
              <w:pStyle w:val="94"/>
              <w:rPr>
                <w:color w:val="auto"/>
              </w:rPr>
            </w:pPr>
            <w:r>
              <w:rPr>
                <w:rFonts w:hint="eastAsia"/>
                <w:color w:val="auto"/>
              </w:rPr>
              <w:t>坡度</w:t>
            </w:r>
          </w:p>
        </w:tc>
        <w:tc>
          <w:tcPr>
            <w:tcW w:w="1709" w:type="dxa"/>
            <w:tcBorders>
              <w:top w:val="single" w:color="auto" w:sz="6" w:space="0"/>
              <w:left w:val="single" w:color="auto" w:sz="6" w:space="0"/>
              <w:bottom w:val="single" w:color="auto" w:sz="6" w:space="0"/>
              <w:right w:val="single" w:color="auto" w:sz="6" w:space="0"/>
            </w:tcBorders>
            <w:vAlign w:val="center"/>
          </w:tcPr>
          <w:p w14:paraId="4C5FBF8F">
            <w:pPr>
              <w:pStyle w:val="94"/>
              <w:rPr>
                <w:color w:val="auto"/>
              </w:rPr>
            </w:pPr>
            <w:r>
              <w:rPr>
                <w:color w:val="auto"/>
              </w:rPr>
              <w:t>30</w:t>
            </w:r>
            <w:r>
              <w:rPr>
                <w:rFonts w:hint="eastAsia"/>
                <w:color w:val="auto"/>
              </w:rPr>
              <w:t>°</w:t>
            </w:r>
          </w:p>
        </w:tc>
        <w:tc>
          <w:tcPr>
            <w:tcW w:w="1711" w:type="dxa"/>
            <w:tcBorders>
              <w:top w:val="single" w:color="auto" w:sz="6" w:space="0"/>
              <w:left w:val="single" w:color="auto" w:sz="6" w:space="0"/>
              <w:bottom w:val="single" w:color="auto" w:sz="6" w:space="0"/>
              <w:right w:val="single" w:color="auto" w:sz="6" w:space="0"/>
            </w:tcBorders>
            <w:vAlign w:val="center"/>
          </w:tcPr>
          <w:p w14:paraId="1044AD30">
            <w:pPr>
              <w:pStyle w:val="94"/>
              <w:rPr>
                <w:color w:val="auto"/>
              </w:rPr>
            </w:pPr>
            <w:r>
              <w:rPr>
                <w:rFonts w:hint="eastAsia"/>
                <w:color w:val="auto"/>
              </w:rPr>
              <w:t>坡向</w:t>
            </w:r>
          </w:p>
        </w:tc>
        <w:tc>
          <w:tcPr>
            <w:tcW w:w="1763" w:type="dxa"/>
            <w:tcBorders>
              <w:top w:val="single" w:color="auto" w:sz="6" w:space="0"/>
              <w:left w:val="single" w:color="auto" w:sz="6" w:space="0"/>
              <w:bottom w:val="single" w:color="auto" w:sz="6" w:space="0"/>
              <w:right w:val="single" w:color="auto" w:sz="12" w:space="0"/>
            </w:tcBorders>
            <w:vAlign w:val="center"/>
          </w:tcPr>
          <w:p w14:paraId="35B4D4EB">
            <w:pPr>
              <w:pStyle w:val="94"/>
              <w:rPr>
                <w:color w:val="auto"/>
              </w:rPr>
            </w:pPr>
            <w:r>
              <w:rPr>
                <w:color w:val="auto"/>
              </w:rPr>
              <w:t>SE</w:t>
            </w:r>
          </w:p>
        </w:tc>
      </w:tr>
      <w:tr w14:paraId="4F560F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35" w:type="dxa"/>
            <w:tcBorders>
              <w:top w:val="single" w:color="auto" w:sz="6" w:space="0"/>
              <w:left w:val="single" w:color="auto" w:sz="12" w:space="0"/>
              <w:bottom w:val="single" w:color="auto" w:sz="6" w:space="0"/>
              <w:right w:val="single" w:color="auto" w:sz="6" w:space="0"/>
            </w:tcBorders>
            <w:vAlign w:val="center"/>
          </w:tcPr>
          <w:p w14:paraId="72FA6808">
            <w:pPr>
              <w:pStyle w:val="94"/>
              <w:rPr>
                <w:color w:val="auto"/>
              </w:rPr>
            </w:pPr>
            <w:r>
              <w:rPr>
                <w:rFonts w:hint="eastAsia"/>
                <w:color w:val="auto"/>
              </w:rPr>
              <w:t>土壤类型</w:t>
            </w:r>
          </w:p>
        </w:tc>
        <w:tc>
          <w:tcPr>
            <w:tcW w:w="1707" w:type="dxa"/>
            <w:tcBorders>
              <w:top w:val="single" w:color="auto" w:sz="6" w:space="0"/>
              <w:left w:val="single" w:color="auto" w:sz="6" w:space="0"/>
              <w:bottom w:val="single" w:color="auto" w:sz="6" w:space="0"/>
              <w:right w:val="single" w:color="auto" w:sz="6" w:space="0"/>
            </w:tcBorders>
            <w:vAlign w:val="center"/>
          </w:tcPr>
          <w:p w14:paraId="0B75EF6C">
            <w:pPr>
              <w:pStyle w:val="94"/>
              <w:rPr>
                <w:color w:val="auto"/>
              </w:rPr>
            </w:pPr>
            <w:r>
              <w:rPr>
                <w:rFonts w:hint="eastAsia"/>
                <w:color w:val="auto"/>
              </w:rPr>
              <w:t>黄绵土</w:t>
            </w:r>
          </w:p>
        </w:tc>
        <w:tc>
          <w:tcPr>
            <w:tcW w:w="1711" w:type="dxa"/>
            <w:tcBorders>
              <w:top w:val="single" w:color="auto" w:sz="6" w:space="0"/>
              <w:left w:val="single" w:color="auto" w:sz="6" w:space="0"/>
              <w:bottom w:val="single" w:color="auto" w:sz="6" w:space="0"/>
              <w:right w:val="single" w:color="auto" w:sz="6" w:space="0"/>
            </w:tcBorders>
            <w:vAlign w:val="center"/>
          </w:tcPr>
          <w:p w14:paraId="466EC718">
            <w:pPr>
              <w:pStyle w:val="94"/>
              <w:rPr>
                <w:color w:val="auto"/>
              </w:rPr>
            </w:pPr>
            <w:r>
              <w:rPr>
                <w:rFonts w:hint="eastAsia"/>
                <w:color w:val="auto"/>
              </w:rPr>
              <w:t>地形</w:t>
            </w:r>
          </w:p>
        </w:tc>
        <w:tc>
          <w:tcPr>
            <w:tcW w:w="1709" w:type="dxa"/>
            <w:tcBorders>
              <w:top w:val="single" w:color="auto" w:sz="6" w:space="0"/>
              <w:left w:val="single" w:color="auto" w:sz="6" w:space="0"/>
              <w:bottom w:val="single" w:color="auto" w:sz="6" w:space="0"/>
              <w:right w:val="single" w:color="auto" w:sz="6" w:space="0"/>
            </w:tcBorders>
            <w:vAlign w:val="center"/>
          </w:tcPr>
          <w:p w14:paraId="22D8BACA">
            <w:pPr>
              <w:pStyle w:val="94"/>
              <w:rPr>
                <w:color w:val="auto"/>
              </w:rPr>
            </w:pPr>
            <w:r>
              <w:rPr>
                <w:rFonts w:hint="eastAsia"/>
                <w:color w:val="auto"/>
              </w:rPr>
              <w:t>山腰地</w:t>
            </w:r>
          </w:p>
        </w:tc>
        <w:tc>
          <w:tcPr>
            <w:tcW w:w="1711" w:type="dxa"/>
            <w:tcBorders>
              <w:top w:val="single" w:color="auto" w:sz="6" w:space="0"/>
              <w:left w:val="single" w:color="auto" w:sz="6" w:space="0"/>
              <w:bottom w:val="single" w:color="auto" w:sz="6" w:space="0"/>
              <w:right w:val="single" w:color="auto" w:sz="6" w:space="0"/>
            </w:tcBorders>
            <w:vAlign w:val="center"/>
          </w:tcPr>
          <w:p w14:paraId="6F828D67">
            <w:pPr>
              <w:pStyle w:val="94"/>
              <w:rPr>
                <w:color w:val="auto"/>
              </w:rPr>
            </w:pPr>
            <w:r>
              <w:rPr>
                <w:rFonts w:hint="eastAsia"/>
                <w:color w:val="auto"/>
              </w:rPr>
              <w:t>群系</w:t>
            </w:r>
          </w:p>
        </w:tc>
        <w:tc>
          <w:tcPr>
            <w:tcW w:w="1763" w:type="dxa"/>
            <w:tcBorders>
              <w:top w:val="single" w:color="auto" w:sz="6" w:space="0"/>
              <w:left w:val="single" w:color="auto" w:sz="6" w:space="0"/>
              <w:bottom w:val="single" w:color="auto" w:sz="6" w:space="0"/>
              <w:right w:val="single" w:color="auto" w:sz="12" w:space="0"/>
            </w:tcBorders>
            <w:vAlign w:val="center"/>
          </w:tcPr>
          <w:p w14:paraId="7E77A731">
            <w:pPr>
              <w:pStyle w:val="94"/>
              <w:rPr>
                <w:color w:val="auto"/>
              </w:rPr>
            </w:pPr>
            <w:r>
              <w:rPr>
                <w:rFonts w:hint="eastAsia"/>
                <w:color w:val="auto"/>
              </w:rPr>
              <w:t>柠条锦鸡儿灌丛</w:t>
            </w:r>
          </w:p>
        </w:tc>
      </w:tr>
      <w:tr w14:paraId="713824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35" w:type="dxa"/>
            <w:tcBorders>
              <w:top w:val="single" w:color="auto" w:sz="6" w:space="0"/>
              <w:left w:val="single" w:color="auto" w:sz="12" w:space="0"/>
              <w:bottom w:val="single" w:color="auto" w:sz="6" w:space="0"/>
              <w:right w:val="single" w:color="auto" w:sz="6" w:space="0"/>
            </w:tcBorders>
            <w:vAlign w:val="center"/>
          </w:tcPr>
          <w:p w14:paraId="33AC78DE">
            <w:pPr>
              <w:pStyle w:val="94"/>
              <w:rPr>
                <w:color w:val="auto"/>
              </w:rPr>
            </w:pPr>
            <w:r>
              <w:rPr>
                <w:rFonts w:hint="eastAsia"/>
                <w:color w:val="auto"/>
              </w:rPr>
              <w:t>植被总盖度</w:t>
            </w:r>
          </w:p>
        </w:tc>
        <w:tc>
          <w:tcPr>
            <w:tcW w:w="1707" w:type="dxa"/>
            <w:tcBorders>
              <w:top w:val="single" w:color="auto" w:sz="6" w:space="0"/>
              <w:left w:val="single" w:color="auto" w:sz="6" w:space="0"/>
              <w:bottom w:val="single" w:color="auto" w:sz="6" w:space="0"/>
              <w:right w:val="single" w:color="auto" w:sz="6" w:space="0"/>
            </w:tcBorders>
            <w:vAlign w:val="center"/>
          </w:tcPr>
          <w:p w14:paraId="7AA5AAB8">
            <w:pPr>
              <w:pStyle w:val="94"/>
              <w:rPr>
                <w:color w:val="auto"/>
              </w:rPr>
            </w:pPr>
            <w:r>
              <w:rPr>
                <w:rFonts w:hint="eastAsia"/>
                <w:color w:val="auto"/>
              </w:rPr>
              <w:t>80%</w:t>
            </w:r>
          </w:p>
        </w:tc>
        <w:tc>
          <w:tcPr>
            <w:tcW w:w="1711" w:type="dxa"/>
            <w:tcBorders>
              <w:top w:val="single" w:color="auto" w:sz="6" w:space="0"/>
              <w:left w:val="single" w:color="auto" w:sz="6" w:space="0"/>
              <w:bottom w:val="single" w:color="auto" w:sz="6" w:space="0"/>
              <w:right w:val="single" w:color="auto" w:sz="6" w:space="0"/>
            </w:tcBorders>
            <w:vAlign w:val="center"/>
          </w:tcPr>
          <w:p w14:paraId="40935F63">
            <w:pPr>
              <w:pStyle w:val="94"/>
              <w:rPr>
                <w:color w:val="auto"/>
              </w:rPr>
            </w:pPr>
            <w:r>
              <w:rPr>
                <w:rFonts w:hint="eastAsia"/>
                <w:color w:val="auto"/>
              </w:rPr>
              <w:t>经纬度坐标</w:t>
            </w:r>
          </w:p>
        </w:tc>
        <w:tc>
          <w:tcPr>
            <w:tcW w:w="5183" w:type="dxa"/>
            <w:gridSpan w:val="3"/>
            <w:tcBorders>
              <w:top w:val="single" w:color="auto" w:sz="6" w:space="0"/>
              <w:left w:val="single" w:color="auto" w:sz="6" w:space="0"/>
              <w:bottom w:val="single" w:color="auto" w:sz="6" w:space="0"/>
              <w:right w:val="single" w:color="auto" w:sz="12" w:space="0"/>
            </w:tcBorders>
            <w:vAlign w:val="center"/>
          </w:tcPr>
          <w:p w14:paraId="70BF2D42">
            <w:pPr>
              <w:pStyle w:val="94"/>
              <w:rPr>
                <w:color w:val="auto"/>
              </w:rPr>
            </w:pPr>
            <w:r>
              <w:rPr>
                <w:color w:val="auto"/>
              </w:rPr>
              <w:t>E110.91669°；N38.3758775°</w:t>
            </w:r>
          </w:p>
        </w:tc>
      </w:tr>
      <w:tr w14:paraId="08EFBD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35" w:type="dxa"/>
            <w:tcBorders>
              <w:top w:val="single" w:color="auto" w:sz="6" w:space="0"/>
              <w:left w:val="single" w:color="auto" w:sz="12" w:space="0"/>
              <w:bottom w:val="single" w:color="auto" w:sz="6" w:space="0"/>
              <w:right w:val="single" w:color="auto" w:sz="6" w:space="0"/>
            </w:tcBorders>
            <w:vAlign w:val="center"/>
          </w:tcPr>
          <w:p w14:paraId="11CCEAB6">
            <w:pPr>
              <w:pStyle w:val="94"/>
              <w:rPr>
                <w:color w:val="auto"/>
              </w:rPr>
            </w:pPr>
            <w:r>
              <w:rPr>
                <w:rFonts w:hint="eastAsia"/>
                <w:color w:val="auto"/>
              </w:rPr>
              <w:t>序号</w:t>
            </w:r>
          </w:p>
        </w:tc>
        <w:tc>
          <w:tcPr>
            <w:tcW w:w="1707" w:type="dxa"/>
            <w:tcBorders>
              <w:top w:val="single" w:color="auto" w:sz="6" w:space="0"/>
              <w:left w:val="single" w:color="auto" w:sz="6" w:space="0"/>
              <w:bottom w:val="single" w:color="auto" w:sz="6" w:space="0"/>
              <w:right w:val="single" w:color="auto" w:sz="6" w:space="0"/>
            </w:tcBorders>
            <w:vAlign w:val="center"/>
          </w:tcPr>
          <w:p w14:paraId="7D54FAB1">
            <w:pPr>
              <w:pStyle w:val="94"/>
              <w:rPr>
                <w:color w:val="auto"/>
              </w:rPr>
            </w:pPr>
            <w:r>
              <w:rPr>
                <w:rFonts w:hint="eastAsia"/>
                <w:color w:val="auto"/>
              </w:rPr>
              <w:t>植物名称</w:t>
            </w:r>
          </w:p>
        </w:tc>
        <w:tc>
          <w:tcPr>
            <w:tcW w:w="1711" w:type="dxa"/>
            <w:tcBorders>
              <w:top w:val="single" w:color="auto" w:sz="6" w:space="0"/>
              <w:left w:val="single" w:color="auto" w:sz="6" w:space="0"/>
              <w:bottom w:val="single" w:color="auto" w:sz="6" w:space="0"/>
              <w:right w:val="single" w:color="auto" w:sz="6" w:space="0"/>
            </w:tcBorders>
            <w:vAlign w:val="center"/>
          </w:tcPr>
          <w:p w14:paraId="40224971">
            <w:pPr>
              <w:pStyle w:val="94"/>
              <w:rPr>
                <w:color w:val="auto"/>
              </w:rPr>
            </w:pPr>
            <w:r>
              <w:rPr>
                <w:rFonts w:hint="eastAsia"/>
                <w:color w:val="auto"/>
              </w:rPr>
              <w:t>高度（cm）</w:t>
            </w:r>
          </w:p>
        </w:tc>
        <w:tc>
          <w:tcPr>
            <w:tcW w:w="1709" w:type="dxa"/>
            <w:tcBorders>
              <w:top w:val="single" w:color="auto" w:sz="6" w:space="0"/>
              <w:left w:val="single" w:color="auto" w:sz="6" w:space="0"/>
              <w:bottom w:val="single" w:color="auto" w:sz="6" w:space="0"/>
              <w:right w:val="single" w:color="auto" w:sz="6" w:space="0"/>
            </w:tcBorders>
            <w:vAlign w:val="center"/>
          </w:tcPr>
          <w:p w14:paraId="7E6858AD">
            <w:pPr>
              <w:pStyle w:val="94"/>
              <w:rPr>
                <w:color w:val="auto"/>
              </w:rPr>
            </w:pPr>
            <w:r>
              <w:rPr>
                <w:rFonts w:hint="eastAsia"/>
                <w:color w:val="auto"/>
              </w:rPr>
              <w:t>地上部分生物量（g）</w:t>
            </w:r>
          </w:p>
        </w:tc>
        <w:tc>
          <w:tcPr>
            <w:tcW w:w="1711" w:type="dxa"/>
            <w:tcBorders>
              <w:top w:val="single" w:color="auto" w:sz="6" w:space="0"/>
              <w:left w:val="single" w:color="auto" w:sz="6" w:space="0"/>
              <w:bottom w:val="single" w:color="auto" w:sz="6" w:space="0"/>
              <w:right w:val="single" w:color="auto" w:sz="6" w:space="0"/>
            </w:tcBorders>
            <w:vAlign w:val="center"/>
          </w:tcPr>
          <w:p w14:paraId="041EE2E2">
            <w:pPr>
              <w:pStyle w:val="94"/>
              <w:rPr>
                <w:color w:val="auto"/>
              </w:rPr>
            </w:pPr>
            <w:r>
              <w:rPr>
                <w:rFonts w:hint="eastAsia"/>
                <w:color w:val="auto"/>
              </w:rPr>
              <w:t>盖度（%）</w:t>
            </w:r>
          </w:p>
        </w:tc>
        <w:tc>
          <w:tcPr>
            <w:tcW w:w="1763" w:type="dxa"/>
            <w:tcBorders>
              <w:top w:val="single" w:color="auto" w:sz="6" w:space="0"/>
              <w:left w:val="single" w:color="auto" w:sz="6" w:space="0"/>
              <w:bottom w:val="single" w:color="auto" w:sz="6" w:space="0"/>
              <w:right w:val="single" w:color="auto" w:sz="12" w:space="0"/>
            </w:tcBorders>
            <w:vAlign w:val="center"/>
          </w:tcPr>
          <w:p w14:paraId="2FF2994C">
            <w:pPr>
              <w:pStyle w:val="94"/>
              <w:rPr>
                <w:color w:val="auto"/>
              </w:rPr>
            </w:pPr>
            <w:r>
              <w:rPr>
                <w:rFonts w:hint="eastAsia"/>
                <w:color w:val="auto"/>
              </w:rPr>
              <w:t>频度（个）</w:t>
            </w:r>
          </w:p>
        </w:tc>
      </w:tr>
      <w:tr w14:paraId="305685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35" w:type="dxa"/>
            <w:tcBorders>
              <w:top w:val="single" w:color="auto" w:sz="6" w:space="0"/>
              <w:left w:val="single" w:color="auto" w:sz="12" w:space="0"/>
              <w:bottom w:val="single" w:color="auto" w:sz="6" w:space="0"/>
              <w:right w:val="single" w:color="auto" w:sz="6" w:space="0"/>
            </w:tcBorders>
            <w:vAlign w:val="center"/>
          </w:tcPr>
          <w:p w14:paraId="70589AC1">
            <w:pPr>
              <w:pStyle w:val="94"/>
              <w:rPr>
                <w:color w:val="auto"/>
              </w:rPr>
            </w:pPr>
            <w:r>
              <w:rPr>
                <w:rFonts w:hint="eastAsia"/>
                <w:color w:val="auto"/>
              </w:rPr>
              <w:t>1</w:t>
            </w:r>
          </w:p>
        </w:tc>
        <w:tc>
          <w:tcPr>
            <w:tcW w:w="1707" w:type="dxa"/>
            <w:tcBorders>
              <w:top w:val="single" w:color="auto" w:sz="6" w:space="0"/>
              <w:left w:val="single" w:color="auto" w:sz="6" w:space="0"/>
              <w:bottom w:val="single" w:color="auto" w:sz="6" w:space="0"/>
              <w:right w:val="single" w:color="auto" w:sz="6" w:space="0"/>
            </w:tcBorders>
            <w:vAlign w:val="center"/>
          </w:tcPr>
          <w:p w14:paraId="1235C405">
            <w:pPr>
              <w:pStyle w:val="94"/>
              <w:rPr>
                <w:color w:val="auto"/>
              </w:rPr>
            </w:pPr>
            <w:r>
              <w:rPr>
                <w:rFonts w:hint="eastAsia"/>
                <w:color w:val="auto"/>
              </w:rPr>
              <w:t>柠条锦鸡儿</w:t>
            </w:r>
          </w:p>
        </w:tc>
        <w:tc>
          <w:tcPr>
            <w:tcW w:w="1711" w:type="dxa"/>
            <w:tcBorders>
              <w:top w:val="single" w:color="auto" w:sz="6" w:space="0"/>
              <w:left w:val="single" w:color="auto" w:sz="6" w:space="0"/>
              <w:bottom w:val="single" w:color="auto" w:sz="6" w:space="0"/>
              <w:right w:val="single" w:color="auto" w:sz="6" w:space="0"/>
            </w:tcBorders>
            <w:vAlign w:val="center"/>
          </w:tcPr>
          <w:p w14:paraId="33ADA87E">
            <w:pPr>
              <w:pStyle w:val="94"/>
              <w:rPr>
                <w:color w:val="auto"/>
              </w:rPr>
            </w:pPr>
            <w:r>
              <w:rPr>
                <w:rFonts w:hint="eastAsia"/>
                <w:color w:val="auto"/>
              </w:rPr>
              <w:t>100~120</w:t>
            </w:r>
          </w:p>
        </w:tc>
        <w:tc>
          <w:tcPr>
            <w:tcW w:w="1709" w:type="dxa"/>
            <w:tcBorders>
              <w:top w:val="single" w:color="auto" w:sz="6" w:space="0"/>
              <w:left w:val="single" w:color="auto" w:sz="6" w:space="0"/>
              <w:bottom w:val="single" w:color="auto" w:sz="6" w:space="0"/>
              <w:right w:val="single" w:color="auto" w:sz="6" w:space="0"/>
            </w:tcBorders>
            <w:vAlign w:val="center"/>
          </w:tcPr>
          <w:p w14:paraId="2825B7DA">
            <w:pPr>
              <w:pStyle w:val="94"/>
              <w:rPr>
                <w:color w:val="auto"/>
              </w:rPr>
            </w:pPr>
            <w:r>
              <w:rPr>
                <w:rFonts w:hint="eastAsia"/>
                <w:color w:val="auto"/>
              </w:rPr>
              <w:t>6170</w:t>
            </w:r>
          </w:p>
        </w:tc>
        <w:tc>
          <w:tcPr>
            <w:tcW w:w="1711" w:type="dxa"/>
            <w:tcBorders>
              <w:top w:val="single" w:color="auto" w:sz="6" w:space="0"/>
              <w:left w:val="single" w:color="auto" w:sz="6" w:space="0"/>
              <w:bottom w:val="single" w:color="auto" w:sz="6" w:space="0"/>
              <w:right w:val="single" w:color="auto" w:sz="6" w:space="0"/>
            </w:tcBorders>
            <w:vAlign w:val="center"/>
          </w:tcPr>
          <w:p w14:paraId="4A0AE403">
            <w:pPr>
              <w:pStyle w:val="94"/>
              <w:rPr>
                <w:color w:val="auto"/>
              </w:rPr>
            </w:pPr>
            <w:r>
              <w:rPr>
                <w:rFonts w:hint="eastAsia"/>
                <w:color w:val="auto"/>
              </w:rPr>
              <w:t>20</w:t>
            </w:r>
          </w:p>
        </w:tc>
        <w:tc>
          <w:tcPr>
            <w:tcW w:w="1763" w:type="dxa"/>
            <w:tcBorders>
              <w:top w:val="single" w:color="auto" w:sz="6" w:space="0"/>
              <w:left w:val="single" w:color="auto" w:sz="6" w:space="0"/>
              <w:bottom w:val="single" w:color="auto" w:sz="6" w:space="0"/>
              <w:right w:val="single" w:color="auto" w:sz="12" w:space="0"/>
            </w:tcBorders>
            <w:vAlign w:val="center"/>
          </w:tcPr>
          <w:p w14:paraId="1EDA1B50">
            <w:pPr>
              <w:pStyle w:val="94"/>
              <w:rPr>
                <w:color w:val="auto"/>
              </w:rPr>
            </w:pPr>
            <w:r>
              <w:rPr>
                <w:rFonts w:hint="eastAsia"/>
                <w:color w:val="auto"/>
              </w:rPr>
              <w:t>12</w:t>
            </w:r>
          </w:p>
        </w:tc>
      </w:tr>
      <w:tr w14:paraId="770D25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6" w:hRule="atLeast"/>
        </w:trPr>
        <w:tc>
          <w:tcPr>
            <w:tcW w:w="1835" w:type="dxa"/>
            <w:tcBorders>
              <w:top w:val="single" w:color="auto" w:sz="6" w:space="0"/>
              <w:left w:val="single" w:color="auto" w:sz="12" w:space="0"/>
              <w:bottom w:val="single" w:color="auto" w:sz="6" w:space="0"/>
              <w:right w:val="single" w:color="auto" w:sz="6" w:space="0"/>
            </w:tcBorders>
            <w:vAlign w:val="center"/>
          </w:tcPr>
          <w:p w14:paraId="025917F2">
            <w:pPr>
              <w:pStyle w:val="94"/>
              <w:rPr>
                <w:color w:val="auto"/>
              </w:rPr>
            </w:pPr>
            <w:r>
              <w:rPr>
                <w:rFonts w:hint="eastAsia"/>
                <w:color w:val="auto"/>
              </w:rPr>
              <w:t>3</w:t>
            </w:r>
          </w:p>
        </w:tc>
        <w:tc>
          <w:tcPr>
            <w:tcW w:w="1707" w:type="dxa"/>
            <w:tcBorders>
              <w:top w:val="single" w:color="auto" w:sz="6" w:space="0"/>
              <w:left w:val="single" w:color="auto" w:sz="6" w:space="0"/>
              <w:bottom w:val="single" w:color="auto" w:sz="6" w:space="0"/>
              <w:right w:val="single" w:color="auto" w:sz="6" w:space="0"/>
            </w:tcBorders>
            <w:vAlign w:val="center"/>
          </w:tcPr>
          <w:p w14:paraId="2EF8510B">
            <w:pPr>
              <w:pStyle w:val="94"/>
              <w:rPr>
                <w:color w:val="auto"/>
              </w:rPr>
            </w:pPr>
            <w:r>
              <w:rPr>
                <w:rFonts w:hint="eastAsia"/>
                <w:color w:val="auto"/>
              </w:rPr>
              <w:t>杠柳</w:t>
            </w:r>
          </w:p>
        </w:tc>
        <w:tc>
          <w:tcPr>
            <w:tcW w:w="1711" w:type="dxa"/>
            <w:tcBorders>
              <w:top w:val="single" w:color="auto" w:sz="6" w:space="0"/>
              <w:left w:val="single" w:color="auto" w:sz="6" w:space="0"/>
              <w:bottom w:val="single" w:color="auto" w:sz="6" w:space="0"/>
              <w:right w:val="single" w:color="auto" w:sz="6" w:space="0"/>
            </w:tcBorders>
            <w:vAlign w:val="center"/>
          </w:tcPr>
          <w:p w14:paraId="0749DA55">
            <w:pPr>
              <w:pStyle w:val="94"/>
              <w:rPr>
                <w:color w:val="auto"/>
              </w:rPr>
            </w:pPr>
            <w:r>
              <w:rPr>
                <w:rFonts w:hint="eastAsia"/>
                <w:color w:val="auto"/>
              </w:rPr>
              <w:t>20~30</w:t>
            </w:r>
          </w:p>
        </w:tc>
        <w:tc>
          <w:tcPr>
            <w:tcW w:w="1709" w:type="dxa"/>
            <w:tcBorders>
              <w:top w:val="single" w:color="auto" w:sz="6" w:space="0"/>
              <w:left w:val="single" w:color="auto" w:sz="6" w:space="0"/>
              <w:bottom w:val="single" w:color="auto" w:sz="6" w:space="0"/>
              <w:right w:val="single" w:color="auto" w:sz="6" w:space="0"/>
            </w:tcBorders>
            <w:vAlign w:val="center"/>
          </w:tcPr>
          <w:p w14:paraId="3749B65D">
            <w:pPr>
              <w:pStyle w:val="94"/>
              <w:rPr>
                <w:color w:val="auto"/>
              </w:rPr>
            </w:pPr>
            <w:r>
              <w:rPr>
                <w:rFonts w:hint="eastAsia"/>
                <w:color w:val="auto"/>
              </w:rPr>
              <w:t>565</w:t>
            </w:r>
          </w:p>
        </w:tc>
        <w:tc>
          <w:tcPr>
            <w:tcW w:w="1711" w:type="dxa"/>
            <w:tcBorders>
              <w:top w:val="single" w:color="auto" w:sz="6" w:space="0"/>
              <w:left w:val="single" w:color="auto" w:sz="6" w:space="0"/>
              <w:bottom w:val="single" w:color="auto" w:sz="6" w:space="0"/>
              <w:right w:val="single" w:color="auto" w:sz="6" w:space="0"/>
            </w:tcBorders>
            <w:vAlign w:val="center"/>
          </w:tcPr>
          <w:p w14:paraId="21E5CC34">
            <w:pPr>
              <w:pStyle w:val="94"/>
              <w:rPr>
                <w:color w:val="auto"/>
              </w:rPr>
            </w:pPr>
            <w:r>
              <w:rPr>
                <w:rFonts w:hint="eastAsia"/>
                <w:color w:val="auto"/>
              </w:rPr>
              <w:t>10</w:t>
            </w:r>
          </w:p>
        </w:tc>
        <w:tc>
          <w:tcPr>
            <w:tcW w:w="1763" w:type="dxa"/>
            <w:tcBorders>
              <w:top w:val="single" w:color="auto" w:sz="6" w:space="0"/>
              <w:left w:val="single" w:color="auto" w:sz="6" w:space="0"/>
              <w:bottom w:val="single" w:color="auto" w:sz="6" w:space="0"/>
              <w:right w:val="single" w:color="auto" w:sz="12" w:space="0"/>
            </w:tcBorders>
            <w:vAlign w:val="center"/>
          </w:tcPr>
          <w:p w14:paraId="07D7A622">
            <w:pPr>
              <w:pStyle w:val="94"/>
              <w:rPr>
                <w:color w:val="auto"/>
              </w:rPr>
            </w:pPr>
            <w:r>
              <w:rPr>
                <w:rFonts w:hint="eastAsia"/>
                <w:color w:val="auto"/>
              </w:rPr>
              <w:t>65</w:t>
            </w:r>
          </w:p>
        </w:tc>
      </w:tr>
      <w:tr w14:paraId="5555B4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35" w:type="dxa"/>
            <w:tcBorders>
              <w:top w:val="single" w:color="auto" w:sz="6" w:space="0"/>
              <w:left w:val="single" w:color="auto" w:sz="12" w:space="0"/>
              <w:bottom w:val="single" w:color="auto" w:sz="6" w:space="0"/>
              <w:right w:val="single" w:color="auto" w:sz="6" w:space="0"/>
            </w:tcBorders>
            <w:vAlign w:val="center"/>
          </w:tcPr>
          <w:p w14:paraId="4E651783">
            <w:pPr>
              <w:pStyle w:val="94"/>
              <w:rPr>
                <w:color w:val="auto"/>
              </w:rPr>
            </w:pPr>
            <w:r>
              <w:rPr>
                <w:rFonts w:hint="eastAsia"/>
                <w:color w:val="auto"/>
              </w:rPr>
              <w:t>4</w:t>
            </w:r>
          </w:p>
        </w:tc>
        <w:tc>
          <w:tcPr>
            <w:tcW w:w="1707" w:type="dxa"/>
            <w:tcBorders>
              <w:top w:val="single" w:color="auto" w:sz="6" w:space="0"/>
              <w:left w:val="single" w:color="auto" w:sz="6" w:space="0"/>
              <w:bottom w:val="single" w:color="auto" w:sz="6" w:space="0"/>
              <w:right w:val="single" w:color="auto" w:sz="6" w:space="0"/>
            </w:tcBorders>
            <w:vAlign w:val="center"/>
          </w:tcPr>
          <w:p w14:paraId="1743DF6C">
            <w:pPr>
              <w:pStyle w:val="94"/>
              <w:rPr>
                <w:color w:val="auto"/>
              </w:rPr>
            </w:pPr>
            <w:r>
              <w:rPr>
                <w:rFonts w:hint="eastAsia"/>
                <w:color w:val="auto"/>
              </w:rPr>
              <w:t>艾</w:t>
            </w:r>
          </w:p>
        </w:tc>
        <w:tc>
          <w:tcPr>
            <w:tcW w:w="1711" w:type="dxa"/>
            <w:tcBorders>
              <w:top w:val="single" w:color="auto" w:sz="6" w:space="0"/>
              <w:left w:val="single" w:color="auto" w:sz="6" w:space="0"/>
              <w:bottom w:val="single" w:color="auto" w:sz="6" w:space="0"/>
              <w:right w:val="single" w:color="auto" w:sz="6" w:space="0"/>
            </w:tcBorders>
            <w:vAlign w:val="center"/>
          </w:tcPr>
          <w:p w14:paraId="21DEFC1E">
            <w:pPr>
              <w:pStyle w:val="94"/>
              <w:rPr>
                <w:color w:val="auto"/>
              </w:rPr>
            </w:pPr>
            <w:r>
              <w:rPr>
                <w:rFonts w:hint="eastAsia"/>
                <w:color w:val="auto"/>
              </w:rPr>
              <w:t>20~50</w:t>
            </w:r>
          </w:p>
        </w:tc>
        <w:tc>
          <w:tcPr>
            <w:tcW w:w="1709" w:type="dxa"/>
            <w:tcBorders>
              <w:top w:val="single" w:color="auto" w:sz="6" w:space="0"/>
              <w:left w:val="single" w:color="auto" w:sz="6" w:space="0"/>
              <w:bottom w:val="single" w:color="auto" w:sz="6" w:space="0"/>
              <w:right w:val="single" w:color="auto" w:sz="6" w:space="0"/>
            </w:tcBorders>
            <w:vAlign w:val="center"/>
          </w:tcPr>
          <w:p w14:paraId="027AC220">
            <w:pPr>
              <w:pStyle w:val="94"/>
              <w:rPr>
                <w:color w:val="auto"/>
              </w:rPr>
            </w:pPr>
            <w:r>
              <w:rPr>
                <w:rFonts w:hint="eastAsia"/>
                <w:color w:val="auto"/>
              </w:rPr>
              <w:t>165</w:t>
            </w:r>
          </w:p>
        </w:tc>
        <w:tc>
          <w:tcPr>
            <w:tcW w:w="1711" w:type="dxa"/>
            <w:tcBorders>
              <w:top w:val="single" w:color="auto" w:sz="6" w:space="0"/>
              <w:left w:val="single" w:color="auto" w:sz="6" w:space="0"/>
              <w:bottom w:val="single" w:color="auto" w:sz="6" w:space="0"/>
              <w:right w:val="single" w:color="auto" w:sz="6" w:space="0"/>
            </w:tcBorders>
            <w:vAlign w:val="center"/>
          </w:tcPr>
          <w:p w14:paraId="3A75F415">
            <w:pPr>
              <w:pStyle w:val="94"/>
              <w:rPr>
                <w:color w:val="auto"/>
              </w:rPr>
            </w:pPr>
            <w:r>
              <w:rPr>
                <w:rFonts w:hint="eastAsia"/>
                <w:color w:val="auto"/>
              </w:rPr>
              <w:t>10</w:t>
            </w:r>
          </w:p>
        </w:tc>
        <w:tc>
          <w:tcPr>
            <w:tcW w:w="1763" w:type="dxa"/>
            <w:tcBorders>
              <w:top w:val="single" w:color="auto" w:sz="6" w:space="0"/>
              <w:left w:val="single" w:color="auto" w:sz="6" w:space="0"/>
              <w:bottom w:val="single" w:color="auto" w:sz="6" w:space="0"/>
              <w:right w:val="single" w:color="auto" w:sz="12" w:space="0"/>
            </w:tcBorders>
            <w:vAlign w:val="center"/>
          </w:tcPr>
          <w:p w14:paraId="5A2194C8">
            <w:pPr>
              <w:pStyle w:val="94"/>
              <w:rPr>
                <w:color w:val="auto"/>
              </w:rPr>
            </w:pPr>
            <w:r>
              <w:rPr>
                <w:rFonts w:hint="eastAsia"/>
                <w:color w:val="auto"/>
              </w:rPr>
              <w:t>46</w:t>
            </w:r>
          </w:p>
        </w:tc>
      </w:tr>
      <w:tr w14:paraId="3F1CE2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35" w:type="dxa"/>
            <w:tcBorders>
              <w:top w:val="single" w:color="auto" w:sz="6" w:space="0"/>
              <w:left w:val="single" w:color="auto" w:sz="12" w:space="0"/>
              <w:bottom w:val="single" w:color="auto" w:sz="6" w:space="0"/>
              <w:right w:val="single" w:color="auto" w:sz="6" w:space="0"/>
            </w:tcBorders>
            <w:vAlign w:val="center"/>
          </w:tcPr>
          <w:p w14:paraId="53FEE3D2">
            <w:pPr>
              <w:pStyle w:val="94"/>
              <w:rPr>
                <w:color w:val="auto"/>
              </w:rPr>
            </w:pPr>
            <w:r>
              <w:rPr>
                <w:rFonts w:hint="eastAsia"/>
                <w:color w:val="auto"/>
              </w:rPr>
              <w:t>5</w:t>
            </w:r>
          </w:p>
        </w:tc>
        <w:tc>
          <w:tcPr>
            <w:tcW w:w="1707" w:type="dxa"/>
            <w:tcBorders>
              <w:top w:val="single" w:color="auto" w:sz="6" w:space="0"/>
              <w:left w:val="single" w:color="auto" w:sz="6" w:space="0"/>
              <w:bottom w:val="single" w:color="auto" w:sz="6" w:space="0"/>
              <w:right w:val="single" w:color="auto" w:sz="6" w:space="0"/>
            </w:tcBorders>
            <w:vAlign w:val="center"/>
          </w:tcPr>
          <w:p w14:paraId="7476C1A2">
            <w:pPr>
              <w:pStyle w:val="94"/>
              <w:rPr>
                <w:color w:val="auto"/>
              </w:rPr>
            </w:pPr>
            <w:r>
              <w:rPr>
                <w:rFonts w:hint="eastAsia"/>
                <w:color w:val="auto"/>
              </w:rPr>
              <w:t>野菊</w:t>
            </w:r>
          </w:p>
        </w:tc>
        <w:tc>
          <w:tcPr>
            <w:tcW w:w="1711" w:type="dxa"/>
            <w:tcBorders>
              <w:top w:val="single" w:color="auto" w:sz="6" w:space="0"/>
              <w:left w:val="single" w:color="auto" w:sz="6" w:space="0"/>
              <w:bottom w:val="single" w:color="auto" w:sz="6" w:space="0"/>
              <w:right w:val="single" w:color="auto" w:sz="6" w:space="0"/>
            </w:tcBorders>
            <w:vAlign w:val="center"/>
          </w:tcPr>
          <w:p w14:paraId="0AEF5599">
            <w:pPr>
              <w:pStyle w:val="94"/>
              <w:rPr>
                <w:color w:val="auto"/>
              </w:rPr>
            </w:pPr>
            <w:r>
              <w:rPr>
                <w:rFonts w:hint="eastAsia"/>
                <w:color w:val="auto"/>
              </w:rPr>
              <w:t>40~70</w:t>
            </w:r>
          </w:p>
        </w:tc>
        <w:tc>
          <w:tcPr>
            <w:tcW w:w="1709" w:type="dxa"/>
            <w:tcBorders>
              <w:top w:val="single" w:color="auto" w:sz="6" w:space="0"/>
              <w:left w:val="single" w:color="auto" w:sz="6" w:space="0"/>
              <w:bottom w:val="single" w:color="auto" w:sz="6" w:space="0"/>
              <w:right w:val="single" w:color="auto" w:sz="6" w:space="0"/>
            </w:tcBorders>
            <w:vAlign w:val="center"/>
          </w:tcPr>
          <w:p w14:paraId="1AB377DF">
            <w:pPr>
              <w:pStyle w:val="94"/>
              <w:rPr>
                <w:color w:val="auto"/>
              </w:rPr>
            </w:pPr>
            <w:r>
              <w:rPr>
                <w:rFonts w:hint="eastAsia"/>
                <w:color w:val="auto"/>
              </w:rPr>
              <w:t>/</w:t>
            </w:r>
          </w:p>
        </w:tc>
        <w:tc>
          <w:tcPr>
            <w:tcW w:w="1711" w:type="dxa"/>
            <w:tcBorders>
              <w:top w:val="single" w:color="auto" w:sz="6" w:space="0"/>
              <w:left w:val="single" w:color="auto" w:sz="6" w:space="0"/>
              <w:bottom w:val="single" w:color="auto" w:sz="6" w:space="0"/>
              <w:right w:val="single" w:color="auto" w:sz="6" w:space="0"/>
            </w:tcBorders>
            <w:vAlign w:val="center"/>
          </w:tcPr>
          <w:p w14:paraId="720A5CB5">
            <w:pPr>
              <w:pStyle w:val="94"/>
              <w:rPr>
                <w:color w:val="auto"/>
              </w:rPr>
            </w:pPr>
            <w:r>
              <w:rPr>
                <w:rFonts w:hint="eastAsia"/>
                <w:color w:val="auto"/>
              </w:rPr>
              <w:t>/</w:t>
            </w:r>
          </w:p>
        </w:tc>
        <w:tc>
          <w:tcPr>
            <w:tcW w:w="1763" w:type="dxa"/>
            <w:tcBorders>
              <w:top w:val="single" w:color="auto" w:sz="6" w:space="0"/>
              <w:left w:val="single" w:color="auto" w:sz="6" w:space="0"/>
              <w:bottom w:val="single" w:color="auto" w:sz="6" w:space="0"/>
              <w:right w:val="single" w:color="auto" w:sz="12" w:space="0"/>
            </w:tcBorders>
            <w:vAlign w:val="center"/>
          </w:tcPr>
          <w:p w14:paraId="12937C86">
            <w:pPr>
              <w:pStyle w:val="94"/>
              <w:rPr>
                <w:color w:val="auto"/>
              </w:rPr>
            </w:pPr>
            <w:r>
              <w:rPr>
                <w:rFonts w:hint="eastAsia"/>
                <w:color w:val="auto"/>
              </w:rPr>
              <w:t>偶见</w:t>
            </w:r>
          </w:p>
        </w:tc>
      </w:tr>
      <w:tr w14:paraId="1E6844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35" w:type="dxa"/>
            <w:tcBorders>
              <w:top w:val="single" w:color="auto" w:sz="6" w:space="0"/>
              <w:left w:val="single" w:color="auto" w:sz="12" w:space="0"/>
              <w:bottom w:val="single" w:color="auto" w:sz="6" w:space="0"/>
              <w:right w:val="single" w:color="auto" w:sz="6" w:space="0"/>
            </w:tcBorders>
            <w:vAlign w:val="center"/>
          </w:tcPr>
          <w:p w14:paraId="5225FBA1">
            <w:pPr>
              <w:pStyle w:val="94"/>
              <w:rPr>
                <w:color w:val="auto"/>
              </w:rPr>
            </w:pPr>
            <w:r>
              <w:rPr>
                <w:rFonts w:hint="eastAsia"/>
                <w:color w:val="auto"/>
              </w:rPr>
              <w:t>6</w:t>
            </w:r>
          </w:p>
        </w:tc>
        <w:tc>
          <w:tcPr>
            <w:tcW w:w="1707" w:type="dxa"/>
            <w:tcBorders>
              <w:top w:val="single" w:color="auto" w:sz="6" w:space="0"/>
              <w:left w:val="single" w:color="auto" w:sz="6" w:space="0"/>
              <w:bottom w:val="single" w:color="auto" w:sz="6" w:space="0"/>
              <w:right w:val="single" w:color="auto" w:sz="6" w:space="0"/>
            </w:tcBorders>
            <w:vAlign w:val="center"/>
          </w:tcPr>
          <w:p w14:paraId="16333F82">
            <w:pPr>
              <w:pStyle w:val="94"/>
              <w:rPr>
                <w:color w:val="auto"/>
              </w:rPr>
            </w:pPr>
            <w:r>
              <w:rPr>
                <w:rFonts w:hint="eastAsia"/>
                <w:color w:val="auto"/>
              </w:rPr>
              <w:t>铁杆蒿</w:t>
            </w:r>
          </w:p>
        </w:tc>
        <w:tc>
          <w:tcPr>
            <w:tcW w:w="1711" w:type="dxa"/>
            <w:tcBorders>
              <w:top w:val="single" w:color="auto" w:sz="6" w:space="0"/>
              <w:left w:val="single" w:color="auto" w:sz="6" w:space="0"/>
              <w:bottom w:val="single" w:color="auto" w:sz="6" w:space="0"/>
              <w:right w:val="single" w:color="auto" w:sz="6" w:space="0"/>
            </w:tcBorders>
            <w:vAlign w:val="center"/>
          </w:tcPr>
          <w:p w14:paraId="471826E8">
            <w:pPr>
              <w:pStyle w:val="94"/>
              <w:rPr>
                <w:color w:val="auto"/>
              </w:rPr>
            </w:pPr>
            <w:r>
              <w:rPr>
                <w:rFonts w:hint="eastAsia"/>
                <w:color w:val="auto"/>
              </w:rPr>
              <w:t>10~20</w:t>
            </w:r>
          </w:p>
        </w:tc>
        <w:tc>
          <w:tcPr>
            <w:tcW w:w="1709" w:type="dxa"/>
            <w:tcBorders>
              <w:top w:val="single" w:color="auto" w:sz="6" w:space="0"/>
              <w:left w:val="single" w:color="auto" w:sz="6" w:space="0"/>
              <w:bottom w:val="single" w:color="auto" w:sz="6" w:space="0"/>
              <w:right w:val="single" w:color="auto" w:sz="6" w:space="0"/>
            </w:tcBorders>
            <w:vAlign w:val="center"/>
          </w:tcPr>
          <w:p w14:paraId="04997378">
            <w:pPr>
              <w:pStyle w:val="94"/>
              <w:rPr>
                <w:color w:val="auto"/>
              </w:rPr>
            </w:pPr>
            <w:r>
              <w:rPr>
                <w:rFonts w:hint="eastAsia"/>
                <w:color w:val="auto"/>
              </w:rPr>
              <w:t>/</w:t>
            </w:r>
          </w:p>
        </w:tc>
        <w:tc>
          <w:tcPr>
            <w:tcW w:w="1711" w:type="dxa"/>
            <w:tcBorders>
              <w:top w:val="single" w:color="auto" w:sz="6" w:space="0"/>
              <w:left w:val="single" w:color="auto" w:sz="6" w:space="0"/>
              <w:bottom w:val="single" w:color="auto" w:sz="6" w:space="0"/>
              <w:right w:val="single" w:color="auto" w:sz="6" w:space="0"/>
            </w:tcBorders>
            <w:vAlign w:val="center"/>
          </w:tcPr>
          <w:p w14:paraId="0DEF6643">
            <w:pPr>
              <w:pStyle w:val="94"/>
              <w:rPr>
                <w:color w:val="auto"/>
              </w:rPr>
            </w:pPr>
            <w:r>
              <w:rPr>
                <w:rFonts w:hint="eastAsia"/>
                <w:color w:val="auto"/>
              </w:rPr>
              <w:t>/</w:t>
            </w:r>
          </w:p>
        </w:tc>
        <w:tc>
          <w:tcPr>
            <w:tcW w:w="1763" w:type="dxa"/>
            <w:tcBorders>
              <w:top w:val="single" w:color="auto" w:sz="6" w:space="0"/>
              <w:left w:val="single" w:color="auto" w:sz="6" w:space="0"/>
              <w:bottom w:val="single" w:color="auto" w:sz="6" w:space="0"/>
              <w:right w:val="single" w:color="auto" w:sz="12" w:space="0"/>
            </w:tcBorders>
            <w:vAlign w:val="center"/>
          </w:tcPr>
          <w:p w14:paraId="3432DD80">
            <w:pPr>
              <w:pStyle w:val="94"/>
              <w:rPr>
                <w:color w:val="auto"/>
              </w:rPr>
            </w:pPr>
            <w:r>
              <w:rPr>
                <w:rFonts w:hint="eastAsia"/>
                <w:color w:val="auto"/>
              </w:rPr>
              <w:t>偶见</w:t>
            </w:r>
          </w:p>
        </w:tc>
      </w:tr>
      <w:tr w14:paraId="3E4223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35" w:type="dxa"/>
            <w:tcBorders>
              <w:top w:val="single" w:color="auto" w:sz="6" w:space="0"/>
              <w:left w:val="single" w:color="auto" w:sz="12" w:space="0"/>
              <w:bottom w:val="single" w:color="auto" w:sz="6" w:space="0"/>
              <w:right w:val="single" w:color="auto" w:sz="6" w:space="0"/>
            </w:tcBorders>
            <w:vAlign w:val="center"/>
          </w:tcPr>
          <w:p w14:paraId="21087F2C">
            <w:pPr>
              <w:pStyle w:val="94"/>
              <w:rPr>
                <w:color w:val="auto"/>
              </w:rPr>
            </w:pPr>
            <w:r>
              <w:rPr>
                <w:rFonts w:hint="eastAsia"/>
                <w:color w:val="auto"/>
              </w:rPr>
              <w:t>7</w:t>
            </w:r>
          </w:p>
        </w:tc>
        <w:tc>
          <w:tcPr>
            <w:tcW w:w="1707" w:type="dxa"/>
            <w:tcBorders>
              <w:top w:val="single" w:color="auto" w:sz="6" w:space="0"/>
              <w:left w:val="single" w:color="auto" w:sz="6" w:space="0"/>
              <w:bottom w:val="single" w:color="auto" w:sz="6" w:space="0"/>
              <w:right w:val="single" w:color="auto" w:sz="6" w:space="0"/>
            </w:tcBorders>
            <w:vAlign w:val="center"/>
          </w:tcPr>
          <w:p w14:paraId="5E036E89">
            <w:pPr>
              <w:pStyle w:val="94"/>
              <w:rPr>
                <w:color w:val="auto"/>
              </w:rPr>
            </w:pPr>
            <w:r>
              <w:rPr>
                <w:rFonts w:hint="eastAsia"/>
                <w:color w:val="auto"/>
              </w:rPr>
              <w:t>牛筋草</w:t>
            </w:r>
          </w:p>
        </w:tc>
        <w:tc>
          <w:tcPr>
            <w:tcW w:w="1711" w:type="dxa"/>
            <w:tcBorders>
              <w:top w:val="single" w:color="auto" w:sz="6" w:space="0"/>
              <w:left w:val="single" w:color="auto" w:sz="6" w:space="0"/>
              <w:bottom w:val="single" w:color="auto" w:sz="6" w:space="0"/>
              <w:right w:val="single" w:color="auto" w:sz="6" w:space="0"/>
            </w:tcBorders>
            <w:vAlign w:val="center"/>
          </w:tcPr>
          <w:p w14:paraId="44B45669">
            <w:pPr>
              <w:pStyle w:val="94"/>
              <w:rPr>
                <w:color w:val="auto"/>
              </w:rPr>
            </w:pPr>
            <w:r>
              <w:rPr>
                <w:rFonts w:hint="eastAsia"/>
                <w:color w:val="auto"/>
              </w:rPr>
              <w:t>10~15</w:t>
            </w:r>
          </w:p>
        </w:tc>
        <w:tc>
          <w:tcPr>
            <w:tcW w:w="1709" w:type="dxa"/>
            <w:tcBorders>
              <w:top w:val="single" w:color="auto" w:sz="6" w:space="0"/>
              <w:left w:val="single" w:color="auto" w:sz="6" w:space="0"/>
              <w:bottom w:val="single" w:color="auto" w:sz="6" w:space="0"/>
              <w:right w:val="single" w:color="auto" w:sz="6" w:space="0"/>
            </w:tcBorders>
            <w:vAlign w:val="center"/>
          </w:tcPr>
          <w:p w14:paraId="5563CF69">
            <w:pPr>
              <w:pStyle w:val="94"/>
              <w:rPr>
                <w:color w:val="auto"/>
              </w:rPr>
            </w:pPr>
            <w:r>
              <w:rPr>
                <w:rFonts w:hint="eastAsia"/>
                <w:color w:val="auto"/>
              </w:rPr>
              <w:t>/</w:t>
            </w:r>
          </w:p>
        </w:tc>
        <w:tc>
          <w:tcPr>
            <w:tcW w:w="1711" w:type="dxa"/>
            <w:tcBorders>
              <w:top w:val="single" w:color="auto" w:sz="6" w:space="0"/>
              <w:left w:val="single" w:color="auto" w:sz="6" w:space="0"/>
              <w:bottom w:val="single" w:color="auto" w:sz="6" w:space="0"/>
              <w:right w:val="single" w:color="auto" w:sz="6" w:space="0"/>
            </w:tcBorders>
            <w:vAlign w:val="center"/>
          </w:tcPr>
          <w:p w14:paraId="7118E41B">
            <w:pPr>
              <w:pStyle w:val="94"/>
              <w:rPr>
                <w:color w:val="auto"/>
              </w:rPr>
            </w:pPr>
            <w:r>
              <w:rPr>
                <w:rFonts w:hint="eastAsia"/>
                <w:color w:val="auto"/>
              </w:rPr>
              <w:t>/</w:t>
            </w:r>
          </w:p>
        </w:tc>
        <w:tc>
          <w:tcPr>
            <w:tcW w:w="1763" w:type="dxa"/>
            <w:tcBorders>
              <w:top w:val="single" w:color="auto" w:sz="6" w:space="0"/>
              <w:left w:val="single" w:color="auto" w:sz="6" w:space="0"/>
              <w:bottom w:val="single" w:color="auto" w:sz="6" w:space="0"/>
              <w:right w:val="single" w:color="auto" w:sz="12" w:space="0"/>
            </w:tcBorders>
            <w:vAlign w:val="center"/>
          </w:tcPr>
          <w:p w14:paraId="62F3CE67">
            <w:pPr>
              <w:pStyle w:val="94"/>
              <w:rPr>
                <w:color w:val="auto"/>
              </w:rPr>
            </w:pPr>
            <w:r>
              <w:rPr>
                <w:rFonts w:hint="eastAsia"/>
                <w:color w:val="auto"/>
              </w:rPr>
              <w:t>偶见</w:t>
            </w:r>
          </w:p>
        </w:tc>
      </w:tr>
      <w:tr w14:paraId="4F313B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35" w:type="dxa"/>
            <w:tcBorders>
              <w:top w:val="single" w:color="auto" w:sz="6" w:space="0"/>
              <w:left w:val="single" w:color="auto" w:sz="12" w:space="0"/>
              <w:bottom w:val="single" w:color="auto" w:sz="12" w:space="0"/>
              <w:right w:val="single" w:color="auto" w:sz="6" w:space="0"/>
            </w:tcBorders>
            <w:vAlign w:val="center"/>
          </w:tcPr>
          <w:p w14:paraId="0A4B71ED">
            <w:pPr>
              <w:pStyle w:val="94"/>
              <w:rPr>
                <w:color w:val="auto"/>
              </w:rPr>
            </w:pPr>
            <w:r>
              <w:rPr>
                <w:rFonts w:hint="eastAsia"/>
                <w:color w:val="auto"/>
              </w:rPr>
              <w:t>8</w:t>
            </w:r>
          </w:p>
        </w:tc>
        <w:tc>
          <w:tcPr>
            <w:tcW w:w="1707" w:type="dxa"/>
            <w:tcBorders>
              <w:top w:val="single" w:color="auto" w:sz="6" w:space="0"/>
              <w:left w:val="single" w:color="auto" w:sz="6" w:space="0"/>
              <w:bottom w:val="single" w:color="auto" w:sz="12" w:space="0"/>
              <w:right w:val="single" w:color="auto" w:sz="6" w:space="0"/>
            </w:tcBorders>
            <w:vAlign w:val="center"/>
          </w:tcPr>
          <w:p w14:paraId="0B5E5403">
            <w:pPr>
              <w:pStyle w:val="94"/>
              <w:rPr>
                <w:color w:val="auto"/>
              </w:rPr>
            </w:pPr>
            <w:r>
              <w:rPr>
                <w:rFonts w:hint="eastAsia"/>
                <w:color w:val="auto"/>
              </w:rPr>
              <w:t>三脉紫菀</w:t>
            </w:r>
          </w:p>
        </w:tc>
        <w:tc>
          <w:tcPr>
            <w:tcW w:w="1711" w:type="dxa"/>
            <w:tcBorders>
              <w:top w:val="single" w:color="auto" w:sz="6" w:space="0"/>
              <w:left w:val="single" w:color="auto" w:sz="6" w:space="0"/>
              <w:bottom w:val="single" w:color="auto" w:sz="12" w:space="0"/>
              <w:right w:val="single" w:color="auto" w:sz="6" w:space="0"/>
            </w:tcBorders>
            <w:vAlign w:val="center"/>
          </w:tcPr>
          <w:p w14:paraId="3CC9B26F">
            <w:pPr>
              <w:pStyle w:val="94"/>
              <w:rPr>
                <w:color w:val="auto"/>
              </w:rPr>
            </w:pPr>
            <w:r>
              <w:rPr>
                <w:rFonts w:hint="eastAsia"/>
                <w:color w:val="auto"/>
              </w:rPr>
              <w:t>30~40</w:t>
            </w:r>
          </w:p>
        </w:tc>
        <w:tc>
          <w:tcPr>
            <w:tcW w:w="1709" w:type="dxa"/>
            <w:tcBorders>
              <w:top w:val="single" w:color="auto" w:sz="6" w:space="0"/>
              <w:left w:val="single" w:color="auto" w:sz="6" w:space="0"/>
              <w:bottom w:val="single" w:color="auto" w:sz="12" w:space="0"/>
              <w:right w:val="single" w:color="auto" w:sz="6" w:space="0"/>
            </w:tcBorders>
            <w:vAlign w:val="center"/>
          </w:tcPr>
          <w:p w14:paraId="20CF20C5">
            <w:pPr>
              <w:pStyle w:val="94"/>
              <w:rPr>
                <w:color w:val="auto"/>
              </w:rPr>
            </w:pPr>
            <w:r>
              <w:rPr>
                <w:rFonts w:hint="eastAsia"/>
                <w:color w:val="auto"/>
              </w:rPr>
              <w:t>/</w:t>
            </w:r>
          </w:p>
        </w:tc>
        <w:tc>
          <w:tcPr>
            <w:tcW w:w="1711" w:type="dxa"/>
            <w:tcBorders>
              <w:top w:val="single" w:color="auto" w:sz="6" w:space="0"/>
              <w:left w:val="single" w:color="auto" w:sz="6" w:space="0"/>
              <w:bottom w:val="single" w:color="auto" w:sz="12" w:space="0"/>
              <w:right w:val="single" w:color="auto" w:sz="6" w:space="0"/>
            </w:tcBorders>
            <w:vAlign w:val="center"/>
          </w:tcPr>
          <w:p w14:paraId="4528F43E">
            <w:pPr>
              <w:pStyle w:val="94"/>
              <w:rPr>
                <w:color w:val="auto"/>
              </w:rPr>
            </w:pPr>
            <w:r>
              <w:rPr>
                <w:rFonts w:hint="eastAsia"/>
                <w:color w:val="auto"/>
              </w:rPr>
              <w:t>/</w:t>
            </w:r>
          </w:p>
        </w:tc>
        <w:tc>
          <w:tcPr>
            <w:tcW w:w="1763" w:type="dxa"/>
            <w:tcBorders>
              <w:top w:val="single" w:color="auto" w:sz="6" w:space="0"/>
              <w:left w:val="single" w:color="auto" w:sz="6" w:space="0"/>
              <w:bottom w:val="single" w:color="auto" w:sz="12" w:space="0"/>
              <w:right w:val="single" w:color="auto" w:sz="12" w:space="0"/>
            </w:tcBorders>
            <w:vAlign w:val="center"/>
          </w:tcPr>
          <w:p w14:paraId="4F2EBDB9">
            <w:pPr>
              <w:pStyle w:val="94"/>
              <w:rPr>
                <w:color w:val="auto"/>
              </w:rPr>
            </w:pPr>
            <w:r>
              <w:rPr>
                <w:rFonts w:hint="eastAsia"/>
                <w:color w:val="auto"/>
              </w:rPr>
              <w:t>偶见</w:t>
            </w:r>
          </w:p>
        </w:tc>
      </w:tr>
    </w:tbl>
    <w:p w14:paraId="2ED0CA6C">
      <w:pPr>
        <w:pStyle w:val="19"/>
        <w:keepNext/>
      </w:pPr>
      <w:r>
        <w:t xml:space="preserve">图 </w:t>
      </w:r>
      <w:r>
        <w:fldChar w:fldCharType="begin"/>
      </w:r>
      <w:r>
        <w:instrText xml:space="preserve"> SEQ 图 \* ARABIC </w:instrText>
      </w:r>
      <w:r>
        <w:fldChar w:fldCharType="separate"/>
      </w:r>
      <w:r>
        <w:t>7</w:t>
      </w:r>
      <w:r>
        <w:fldChar w:fldCharType="end"/>
      </w:r>
      <w:r>
        <w:rPr>
          <w:rFonts w:hint="eastAsia"/>
        </w:rPr>
        <w:t>本项目植被样方调查照片</w:t>
      </w:r>
    </w:p>
    <w:tbl>
      <w:tblPr>
        <w:tblStyle w:val="72"/>
        <w:tblW w:w="5225"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5467"/>
        <w:gridCol w:w="5480"/>
      </w:tblGrid>
      <w:tr w14:paraId="396964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09" w:hRule="atLeast"/>
          <w:jc w:val="center"/>
        </w:trPr>
        <w:tc>
          <w:tcPr>
            <w:tcW w:w="2497" w:type="pct"/>
            <w:tcBorders>
              <w:top w:val="single" w:color="000000" w:sz="4" w:space="0"/>
              <w:left w:val="single" w:color="000000" w:sz="4" w:space="0"/>
              <w:bottom w:val="single" w:color="000000" w:sz="4" w:space="0"/>
              <w:right w:val="single" w:color="000000" w:sz="4" w:space="0"/>
            </w:tcBorders>
          </w:tcPr>
          <w:p w14:paraId="1AF250A0">
            <w:pPr>
              <w:pStyle w:val="94"/>
              <w:rPr>
                <w:color w:val="auto"/>
              </w:rPr>
            </w:pPr>
            <w:r>
              <w:rPr>
                <w:color w:val="auto"/>
              </w:rPr>
              <w:drawing>
                <wp:inline distT="0" distB="0" distL="0" distR="0">
                  <wp:extent cx="2630170" cy="1972945"/>
                  <wp:effectExtent l="0" t="0" r="0" b="825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30804" cy="1973103"/>
                          </a:xfrm>
                          <a:prstGeom prst="rect">
                            <a:avLst/>
                          </a:prstGeom>
                          <a:noFill/>
                          <a:ln>
                            <a:noFill/>
                          </a:ln>
                        </pic:spPr>
                      </pic:pic>
                    </a:graphicData>
                  </a:graphic>
                </wp:inline>
              </w:drawing>
            </w:r>
          </w:p>
          <w:p w14:paraId="5D0BD73A">
            <w:pPr>
              <w:pStyle w:val="94"/>
              <w:rPr>
                <w:color w:val="auto"/>
              </w:rPr>
            </w:pPr>
            <w:r>
              <w:rPr>
                <w:rFonts w:hint="eastAsia"/>
                <w:color w:val="auto"/>
              </w:rPr>
              <w:t>群落样方1</w:t>
            </w:r>
          </w:p>
        </w:tc>
        <w:tc>
          <w:tcPr>
            <w:tcW w:w="2503" w:type="pct"/>
            <w:tcBorders>
              <w:top w:val="single" w:color="000000" w:sz="4" w:space="0"/>
              <w:left w:val="single" w:color="000000" w:sz="4" w:space="0"/>
              <w:bottom w:val="single" w:color="000000" w:sz="4" w:space="0"/>
              <w:right w:val="single" w:color="000000" w:sz="4" w:space="0"/>
            </w:tcBorders>
          </w:tcPr>
          <w:p w14:paraId="2A4CA264">
            <w:pPr>
              <w:pStyle w:val="94"/>
              <w:rPr>
                <w:color w:val="auto"/>
              </w:rPr>
            </w:pPr>
            <w:r>
              <w:rPr>
                <w:color w:val="auto"/>
              </w:rPr>
              <w:drawing>
                <wp:inline distT="0" distB="0" distL="0" distR="0">
                  <wp:extent cx="2645410" cy="1983740"/>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45833" cy="1984374"/>
                          </a:xfrm>
                          <a:prstGeom prst="rect">
                            <a:avLst/>
                          </a:prstGeom>
                          <a:noFill/>
                          <a:ln>
                            <a:noFill/>
                          </a:ln>
                        </pic:spPr>
                      </pic:pic>
                    </a:graphicData>
                  </a:graphic>
                </wp:inline>
              </w:drawing>
            </w:r>
          </w:p>
          <w:p w14:paraId="58FE9365">
            <w:pPr>
              <w:pStyle w:val="94"/>
              <w:rPr>
                <w:color w:val="auto"/>
              </w:rPr>
            </w:pPr>
            <w:r>
              <w:rPr>
                <w:rFonts w:hint="eastAsia"/>
                <w:color w:val="auto"/>
              </w:rPr>
              <w:t>群落样方2</w:t>
            </w:r>
          </w:p>
        </w:tc>
      </w:tr>
      <w:tr w14:paraId="770BF1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497" w:type="pct"/>
            <w:tcBorders>
              <w:top w:val="single" w:color="000000" w:sz="4" w:space="0"/>
              <w:left w:val="single" w:color="000000" w:sz="4" w:space="0"/>
              <w:bottom w:val="single" w:color="000000" w:sz="4" w:space="0"/>
              <w:right w:val="single" w:color="000000" w:sz="4" w:space="0"/>
            </w:tcBorders>
          </w:tcPr>
          <w:p w14:paraId="1B52C7A0">
            <w:pPr>
              <w:pStyle w:val="94"/>
              <w:rPr>
                <w:color w:val="auto"/>
              </w:rPr>
            </w:pPr>
            <w:r>
              <w:rPr>
                <w:color w:val="auto"/>
              </w:rPr>
              <w:drawing>
                <wp:inline distT="0" distB="0" distL="0" distR="0">
                  <wp:extent cx="2630170" cy="1972945"/>
                  <wp:effectExtent l="0" t="0" r="0" b="825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30804" cy="1973103"/>
                          </a:xfrm>
                          <a:prstGeom prst="rect">
                            <a:avLst/>
                          </a:prstGeom>
                          <a:noFill/>
                          <a:ln>
                            <a:noFill/>
                          </a:ln>
                        </pic:spPr>
                      </pic:pic>
                    </a:graphicData>
                  </a:graphic>
                </wp:inline>
              </w:drawing>
            </w:r>
          </w:p>
          <w:p w14:paraId="51C0F694">
            <w:pPr>
              <w:pStyle w:val="94"/>
              <w:rPr>
                <w:color w:val="auto"/>
              </w:rPr>
            </w:pPr>
            <w:r>
              <w:rPr>
                <w:rFonts w:hint="eastAsia"/>
                <w:color w:val="auto"/>
              </w:rPr>
              <w:t>群落样方3</w:t>
            </w:r>
          </w:p>
        </w:tc>
        <w:tc>
          <w:tcPr>
            <w:tcW w:w="2503" w:type="pct"/>
            <w:tcBorders>
              <w:top w:val="single" w:color="000000" w:sz="4" w:space="0"/>
              <w:left w:val="single" w:color="000000" w:sz="4" w:space="0"/>
              <w:bottom w:val="single" w:color="000000" w:sz="4" w:space="0"/>
              <w:right w:val="single" w:color="000000" w:sz="4" w:space="0"/>
            </w:tcBorders>
          </w:tcPr>
          <w:p w14:paraId="72C0611B">
            <w:pPr>
              <w:pStyle w:val="94"/>
              <w:rPr>
                <w:color w:val="auto"/>
              </w:rPr>
            </w:pPr>
            <w:r>
              <w:rPr>
                <w:color w:val="auto"/>
              </w:rPr>
              <w:drawing>
                <wp:inline distT="0" distB="0" distL="0" distR="0">
                  <wp:extent cx="2604770" cy="1953895"/>
                  <wp:effectExtent l="0" t="0" r="5080" b="825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05404" cy="1954053"/>
                          </a:xfrm>
                          <a:prstGeom prst="rect">
                            <a:avLst/>
                          </a:prstGeom>
                          <a:noFill/>
                          <a:ln>
                            <a:noFill/>
                          </a:ln>
                        </pic:spPr>
                      </pic:pic>
                    </a:graphicData>
                  </a:graphic>
                </wp:inline>
              </w:drawing>
            </w:r>
          </w:p>
          <w:p w14:paraId="595A44BD">
            <w:pPr>
              <w:pStyle w:val="94"/>
              <w:rPr>
                <w:color w:val="auto"/>
              </w:rPr>
            </w:pPr>
            <w:r>
              <w:rPr>
                <w:rFonts w:hint="eastAsia"/>
                <w:color w:val="auto"/>
              </w:rPr>
              <w:t>群落样方4</w:t>
            </w:r>
          </w:p>
        </w:tc>
      </w:tr>
      <w:tr w14:paraId="434BF6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497" w:type="pct"/>
            <w:tcBorders>
              <w:top w:val="single" w:color="000000" w:sz="4" w:space="0"/>
              <w:left w:val="single" w:color="000000" w:sz="4" w:space="0"/>
              <w:bottom w:val="single" w:color="000000" w:sz="4" w:space="0"/>
              <w:right w:val="single" w:color="000000" w:sz="4" w:space="0"/>
            </w:tcBorders>
          </w:tcPr>
          <w:p w14:paraId="20344335">
            <w:pPr>
              <w:pStyle w:val="94"/>
              <w:rPr>
                <w:color w:val="auto"/>
              </w:rPr>
            </w:pPr>
            <w:r>
              <w:rPr>
                <w:color w:val="auto"/>
              </w:rPr>
              <w:drawing>
                <wp:inline distT="0" distB="0" distL="0" distR="0">
                  <wp:extent cx="2733675" cy="2050415"/>
                  <wp:effectExtent l="0" t="0" r="9525" b="698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34309" cy="2050732"/>
                          </a:xfrm>
                          <a:prstGeom prst="rect">
                            <a:avLst/>
                          </a:prstGeom>
                          <a:noFill/>
                          <a:ln>
                            <a:noFill/>
                          </a:ln>
                        </pic:spPr>
                      </pic:pic>
                    </a:graphicData>
                  </a:graphic>
                </wp:inline>
              </w:drawing>
            </w:r>
          </w:p>
          <w:p w14:paraId="1002F909">
            <w:pPr>
              <w:pStyle w:val="94"/>
              <w:rPr>
                <w:color w:val="auto"/>
              </w:rPr>
            </w:pPr>
            <w:r>
              <w:rPr>
                <w:rFonts w:hint="eastAsia"/>
                <w:color w:val="auto"/>
              </w:rPr>
              <w:t>群落样方5</w:t>
            </w:r>
          </w:p>
        </w:tc>
        <w:tc>
          <w:tcPr>
            <w:tcW w:w="2503" w:type="pct"/>
            <w:tcBorders>
              <w:top w:val="single" w:color="000000" w:sz="4" w:space="0"/>
              <w:left w:val="single" w:color="000000" w:sz="4" w:space="0"/>
              <w:bottom w:val="single" w:color="000000" w:sz="4" w:space="0"/>
              <w:right w:val="single" w:color="000000" w:sz="4" w:space="0"/>
            </w:tcBorders>
          </w:tcPr>
          <w:p w14:paraId="5D188B42">
            <w:pPr>
              <w:pStyle w:val="94"/>
              <w:rPr>
                <w:color w:val="auto"/>
              </w:rPr>
            </w:pPr>
            <w:r>
              <w:rPr>
                <w:color w:val="auto"/>
              </w:rPr>
              <w:drawing>
                <wp:inline distT="0" distB="0" distL="0" distR="0">
                  <wp:extent cx="2748915" cy="206121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749126" cy="2061844"/>
                          </a:xfrm>
                          <a:prstGeom prst="rect">
                            <a:avLst/>
                          </a:prstGeom>
                          <a:noFill/>
                          <a:ln>
                            <a:noFill/>
                          </a:ln>
                        </pic:spPr>
                      </pic:pic>
                    </a:graphicData>
                  </a:graphic>
                </wp:inline>
              </w:drawing>
            </w:r>
          </w:p>
          <w:p w14:paraId="11A35DA3">
            <w:pPr>
              <w:pStyle w:val="94"/>
              <w:rPr>
                <w:color w:val="auto"/>
              </w:rPr>
            </w:pPr>
            <w:r>
              <w:rPr>
                <w:rFonts w:hint="eastAsia"/>
                <w:color w:val="auto"/>
              </w:rPr>
              <w:t>群落样方6</w:t>
            </w:r>
          </w:p>
        </w:tc>
      </w:tr>
      <w:tr w14:paraId="40438C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497" w:type="pct"/>
            <w:tcBorders>
              <w:top w:val="single" w:color="000000" w:sz="4" w:space="0"/>
              <w:left w:val="single" w:color="000000" w:sz="4" w:space="0"/>
              <w:bottom w:val="single" w:color="000000" w:sz="4" w:space="0"/>
              <w:right w:val="single" w:color="000000" w:sz="4" w:space="0"/>
            </w:tcBorders>
          </w:tcPr>
          <w:p w14:paraId="544DC615">
            <w:pPr>
              <w:pStyle w:val="94"/>
              <w:rPr>
                <w:color w:val="auto"/>
              </w:rPr>
            </w:pPr>
            <w:r>
              <w:rPr>
                <w:color w:val="auto"/>
              </w:rPr>
              <w:drawing>
                <wp:inline distT="0" distB="0" distL="0" distR="0">
                  <wp:extent cx="2702560" cy="2026920"/>
                  <wp:effectExtent l="0" t="0" r="254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02560" cy="2026920"/>
                          </a:xfrm>
                          <a:prstGeom prst="rect">
                            <a:avLst/>
                          </a:prstGeom>
                          <a:noFill/>
                          <a:ln>
                            <a:noFill/>
                          </a:ln>
                        </pic:spPr>
                      </pic:pic>
                    </a:graphicData>
                  </a:graphic>
                </wp:inline>
              </w:drawing>
            </w:r>
          </w:p>
          <w:p w14:paraId="46B4EC7E">
            <w:pPr>
              <w:pStyle w:val="94"/>
              <w:rPr>
                <w:color w:val="auto"/>
              </w:rPr>
            </w:pPr>
            <w:r>
              <w:rPr>
                <w:rFonts w:hint="eastAsia"/>
                <w:color w:val="auto"/>
              </w:rPr>
              <w:t>群落样方7</w:t>
            </w:r>
          </w:p>
        </w:tc>
        <w:tc>
          <w:tcPr>
            <w:tcW w:w="2503" w:type="pct"/>
            <w:tcBorders>
              <w:top w:val="single" w:color="000000" w:sz="4" w:space="0"/>
              <w:left w:val="single" w:color="000000" w:sz="4" w:space="0"/>
              <w:bottom w:val="single" w:color="000000" w:sz="4" w:space="0"/>
              <w:right w:val="single" w:color="000000" w:sz="4" w:space="0"/>
            </w:tcBorders>
          </w:tcPr>
          <w:p w14:paraId="25E187F3">
            <w:pPr>
              <w:pStyle w:val="94"/>
              <w:rPr>
                <w:color w:val="auto"/>
              </w:rPr>
            </w:pPr>
            <w:r>
              <w:rPr>
                <w:color w:val="auto"/>
              </w:rPr>
              <w:drawing>
                <wp:inline distT="0" distB="0" distL="0" distR="0">
                  <wp:extent cx="2748280" cy="206184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48589" cy="2061845"/>
                          </a:xfrm>
                          <a:prstGeom prst="rect">
                            <a:avLst/>
                          </a:prstGeom>
                          <a:noFill/>
                          <a:ln>
                            <a:noFill/>
                          </a:ln>
                        </pic:spPr>
                      </pic:pic>
                    </a:graphicData>
                  </a:graphic>
                </wp:inline>
              </w:drawing>
            </w:r>
          </w:p>
          <w:p w14:paraId="58293783">
            <w:pPr>
              <w:pStyle w:val="94"/>
              <w:rPr>
                <w:color w:val="auto"/>
              </w:rPr>
            </w:pPr>
            <w:r>
              <w:rPr>
                <w:rFonts w:hint="eastAsia"/>
                <w:color w:val="auto"/>
              </w:rPr>
              <w:t>群落样方8</w:t>
            </w:r>
          </w:p>
        </w:tc>
      </w:tr>
      <w:tr w14:paraId="2046C8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497" w:type="pct"/>
            <w:tcBorders>
              <w:top w:val="single" w:color="000000" w:sz="4" w:space="0"/>
              <w:left w:val="single" w:color="000000" w:sz="4" w:space="0"/>
              <w:bottom w:val="single" w:color="000000" w:sz="4" w:space="0"/>
              <w:right w:val="single" w:color="000000" w:sz="4" w:space="0"/>
            </w:tcBorders>
          </w:tcPr>
          <w:p w14:paraId="7A6A85DE">
            <w:pPr>
              <w:pStyle w:val="94"/>
              <w:rPr>
                <w:color w:val="auto"/>
              </w:rPr>
            </w:pPr>
            <w:r>
              <w:rPr>
                <w:color w:val="auto"/>
              </w:rPr>
              <w:drawing>
                <wp:inline distT="0" distB="0" distL="0" distR="0">
                  <wp:extent cx="2725420" cy="204406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725521" cy="2044541"/>
                          </a:xfrm>
                          <a:prstGeom prst="rect">
                            <a:avLst/>
                          </a:prstGeom>
                          <a:noFill/>
                          <a:ln>
                            <a:noFill/>
                          </a:ln>
                        </pic:spPr>
                      </pic:pic>
                    </a:graphicData>
                  </a:graphic>
                </wp:inline>
              </w:drawing>
            </w:r>
          </w:p>
          <w:p w14:paraId="639E8750">
            <w:pPr>
              <w:pStyle w:val="94"/>
              <w:rPr>
                <w:color w:val="auto"/>
              </w:rPr>
            </w:pPr>
            <w:r>
              <w:rPr>
                <w:rFonts w:hint="eastAsia"/>
                <w:color w:val="auto"/>
              </w:rPr>
              <w:t>群落样方9</w:t>
            </w:r>
          </w:p>
        </w:tc>
        <w:tc>
          <w:tcPr>
            <w:tcW w:w="2503" w:type="pct"/>
            <w:tcBorders>
              <w:top w:val="single" w:color="000000" w:sz="4" w:space="0"/>
              <w:left w:val="single" w:color="000000" w:sz="4" w:space="0"/>
              <w:bottom w:val="single" w:color="000000" w:sz="4" w:space="0"/>
              <w:right w:val="single" w:color="000000" w:sz="4" w:space="0"/>
            </w:tcBorders>
          </w:tcPr>
          <w:p w14:paraId="53B9F708">
            <w:pPr>
              <w:pStyle w:val="94"/>
              <w:rPr>
                <w:color w:val="auto"/>
              </w:rPr>
            </w:pPr>
          </w:p>
        </w:tc>
      </w:tr>
    </w:tbl>
    <w:p w14:paraId="56781B69">
      <w:pPr>
        <w:pStyle w:val="5"/>
      </w:pPr>
      <w:r>
        <w:rPr>
          <w:rFonts w:hint="eastAsia"/>
        </w:rPr>
        <w:t>自然植被名录</w:t>
      </w:r>
    </w:p>
    <w:p w14:paraId="58C0764A">
      <w:pPr>
        <w:pStyle w:val="96"/>
        <w:ind w:firstLine="480"/>
        <w:rPr>
          <w:rFonts w:cs="Arial"/>
        </w:rPr>
      </w:pPr>
      <w:r>
        <w:rPr>
          <w:rFonts w:hint="eastAsia"/>
        </w:rPr>
        <w:t>由上表可知，评价区含有</w:t>
      </w:r>
      <w:r>
        <w:t>16</w:t>
      </w:r>
      <w:r>
        <w:rPr>
          <w:rFonts w:hint="eastAsia"/>
        </w:rPr>
        <w:t>科</w:t>
      </w:r>
      <w:r>
        <w:t>30属38种</w:t>
      </w:r>
      <w:r>
        <w:rPr>
          <w:rFonts w:hint="eastAsia"/>
        </w:rPr>
        <w:t>。</w:t>
      </w:r>
    </w:p>
    <w:p w14:paraId="6A86EB58">
      <w:pPr>
        <w:pStyle w:val="19"/>
        <w:keepNext/>
      </w:pPr>
      <w:r>
        <w:t xml:space="preserve">表 </w:t>
      </w:r>
      <w:r>
        <w:fldChar w:fldCharType="begin"/>
      </w:r>
      <w:r>
        <w:instrText xml:space="preserve"> SEQ 表 \* ARABIC </w:instrText>
      </w:r>
      <w:r>
        <w:fldChar w:fldCharType="separate"/>
      </w:r>
      <w:r>
        <w:t>66</w:t>
      </w:r>
      <w:r>
        <w:fldChar w:fldCharType="end"/>
      </w:r>
      <w:r>
        <w:rPr>
          <w:rFonts w:hint="eastAsia"/>
        </w:rPr>
        <w:t>评价区常见植物名录</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39"/>
        <w:gridCol w:w="1282"/>
        <w:gridCol w:w="1282"/>
        <w:gridCol w:w="1859"/>
        <w:gridCol w:w="5520"/>
      </w:tblGrid>
      <w:tr w14:paraId="160743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70" w:hRule="atLeast"/>
        </w:trPr>
        <w:tc>
          <w:tcPr>
            <w:tcW w:w="346" w:type="pct"/>
            <w:noWrap/>
            <w:vAlign w:val="center"/>
          </w:tcPr>
          <w:p w14:paraId="54FF6F7A">
            <w:pPr>
              <w:pStyle w:val="94"/>
              <w:rPr>
                <w:color w:val="auto"/>
              </w:rPr>
            </w:pPr>
            <w:r>
              <w:rPr>
                <w:rFonts w:hint="eastAsia"/>
                <w:color w:val="auto"/>
              </w:rPr>
              <w:t>序号</w:t>
            </w:r>
          </w:p>
        </w:tc>
        <w:tc>
          <w:tcPr>
            <w:tcW w:w="600" w:type="pct"/>
            <w:noWrap/>
            <w:vAlign w:val="center"/>
          </w:tcPr>
          <w:p w14:paraId="6664735C">
            <w:pPr>
              <w:pStyle w:val="94"/>
              <w:rPr>
                <w:color w:val="auto"/>
              </w:rPr>
            </w:pPr>
            <w:r>
              <w:rPr>
                <w:rFonts w:hint="eastAsia"/>
                <w:color w:val="auto"/>
              </w:rPr>
              <w:t>科中文名</w:t>
            </w:r>
          </w:p>
        </w:tc>
        <w:tc>
          <w:tcPr>
            <w:tcW w:w="600" w:type="pct"/>
            <w:noWrap/>
            <w:vAlign w:val="center"/>
          </w:tcPr>
          <w:p w14:paraId="36AA7AAC">
            <w:pPr>
              <w:pStyle w:val="94"/>
              <w:rPr>
                <w:color w:val="auto"/>
              </w:rPr>
            </w:pPr>
            <w:r>
              <w:rPr>
                <w:rFonts w:hint="eastAsia"/>
                <w:color w:val="auto"/>
              </w:rPr>
              <w:t>属中文名</w:t>
            </w:r>
          </w:p>
        </w:tc>
        <w:tc>
          <w:tcPr>
            <w:tcW w:w="870" w:type="pct"/>
            <w:noWrap/>
            <w:vAlign w:val="center"/>
          </w:tcPr>
          <w:p w14:paraId="4530E1B0">
            <w:pPr>
              <w:pStyle w:val="94"/>
              <w:rPr>
                <w:color w:val="auto"/>
              </w:rPr>
            </w:pPr>
            <w:r>
              <w:rPr>
                <w:rFonts w:hint="eastAsia"/>
                <w:color w:val="auto"/>
              </w:rPr>
              <w:t>中文名</w:t>
            </w:r>
          </w:p>
        </w:tc>
        <w:tc>
          <w:tcPr>
            <w:tcW w:w="2584" w:type="pct"/>
            <w:noWrap/>
            <w:vAlign w:val="center"/>
          </w:tcPr>
          <w:p w14:paraId="7F4F0888">
            <w:pPr>
              <w:pStyle w:val="94"/>
              <w:rPr>
                <w:color w:val="auto"/>
              </w:rPr>
            </w:pPr>
            <w:r>
              <w:rPr>
                <w:rFonts w:hint="eastAsia"/>
                <w:color w:val="auto"/>
              </w:rPr>
              <w:t>拉丁名</w:t>
            </w:r>
          </w:p>
        </w:tc>
      </w:tr>
      <w:tr w14:paraId="31FB2E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2FAE4249">
            <w:pPr>
              <w:pStyle w:val="94"/>
              <w:rPr>
                <w:color w:val="auto"/>
              </w:rPr>
            </w:pPr>
            <w:r>
              <w:rPr>
                <w:rFonts w:hint="eastAsia"/>
                <w:color w:val="auto"/>
              </w:rPr>
              <w:t>1</w:t>
            </w:r>
          </w:p>
        </w:tc>
        <w:tc>
          <w:tcPr>
            <w:tcW w:w="600" w:type="pct"/>
            <w:noWrap/>
            <w:vAlign w:val="center"/>
          </w:tcPr>
          <w:p w14:paraId="4B31A56A">
            <w:pPr>
              <w:pStyle w:val="94"/>
              <w:rPr>
                <w:color w:val="auto"/>
              </w:rPr>
            </w:pPr>
            <w:r>
              <w:rPr>
                <w:rFonts w:hint="eastAsia"/>
                <w:color w:val="auto"/>
              </w:rPr>
              <w:t>车前科</w:t>
            </w:r>
          </w:p>
        </w:tc>
        <w:tc>
          <w:tcPr>
            <w:tcW w:w="600" w:type="pct"/>
            <w:noWrap/>
            <w:vAlign w:val="center"/>
          </w:tcPr>
          <w:p w14:paraId="4AA3A481">
            <w:pPr>
              <w:pStyle w:val="94"/>
              <w:rPr>
                <w:color w:val="auto"/>
              </w:rPr>
            </w:pPr>
            <w:r>
              <w:rPr>
                <w:rFonts w:hint="eastAsia"/>
                <w:color w:val="auto"/>
              </w:rPr>
              <w:t>车前属</w:t>
            </w:r>
          </w:p>
        </w:tc>
        <w:tc>
          <w:tcPr>
            <w:tcW w:w="870" w:type="pct"/>
            <w:noWrap/>
            <w:vAlign w:val="center"/>
          </w:tcPr>
          <w:p w14:paraId="02EAD045">
            <w:pPr>
              <w:pStyle w:val="94"/>
              <w:rPr>
                <w:color w:val="auto"/>
              </w:rPr>
            </w:pPr>
            <w:r>
              <w:rPr>
                <w:rFonts w:hint="eastAsia"/>
                <w:color w:val="auto"/>
              </w:rPr>
              <w:t>车前</w:t>
            </w:r>
          </w:p>
        </w:tc>
        <w:tc>
          <w:tcPr>
            <w:tcW w:w="2584" w:type="pct"/>
            <w:noWrap/>
            <w:vAlign w:val="center"/>
          </w:tcPr>
          <w:p w14:paraId="05448DA9">
            <w:pPr>
              <w:pStyle w:val="94"/>
              <w:rPr>
                <w:i/>
                <w:iCs/>
                <w:color w:val="auto"/>
              </w:rPr>
            </w:pPr>
            <w:r>
              <w:rPr>
                <w:rFonts w:hint="eastAsia"/>
                <w:i/>
                <w:iCs/>
                <w:color w:val="auto"/>
              </w:rPr>
              <w:t>Plantago asiatica</w:t>
            </w:r>
          </w:p>
        </w:tc>
      </w:tr>
      <w:tr w14:paraId="4FC654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0C3074D0">
            <w:pPr>
              <w:pStyle w:val="94"/>
              <w:rPr>
                <w:color w:val="auto"/>
              </w:rPr>
            </w:pPr>
            <w:r>
              <w:rPr>
                <w:rFonts w:hint="eastAsia"/>
                <w:color w:val="auto"/>
              </w:rPr>
              <w:t>2</w:t>
            </w:r>
          </w:p>
        </w:tc>
        <w:tc>
          <w:tcPr>
            <w:tcW w:w="600" w:type="pct"/>
            <w:noWrap/>
            <w:vAlign w:val="center"/>
          </w:tcPr>
          <w:p w14:paraId="39FE11C3">
            <w:pPr>
              <w:pStyle w:val="94"/>
              <w:rPr>
                <w:color w:val="auto"/>
              </w:rPr>
            </w:pPr>
            <w:r>
              <w:rPr>
                <w:rFonts w:hint="eastAsia"/>
                <w:color w:val="auto"/>
              </w:rPr>
              <w:t>唇形科</w:t>
            </w:r>
          </w:p>
        </w:tc>
        <w:tc>
          <w:tcPr>
            <w:tcW w:w="600" w:type="pct"/>
            <w:noWrap/>
            <w:vAlign w:val="center"/>
          </w:tcPr>
          <w:p w14:paraId="62FC3EE4">
            <w:pPr>
              <w:pStyle w:val="94"/>
              <w:rPr>
                <w:color w:val="auto"/>
              </w:rPr>
            </w:pPr>
            <w:r>
              <w:rPr>
                <w:rFonts w:hint="eastAsia"/>
                <w:color w:val="auto"/>
              </w:rPr>
              <w:t>迷迭香属</w:t>
            </w:r>
          </w:p>
        </w:tc>
        <w:tc>
          <w:tcPr>
            <w:tcW w:w="870" w:type="pct"/>
            <w:noWrap/>
            <w:vAlign w:val="center"/>
          </w:tcPr>
          <w:p w14:paraId="02059948">
            <w:pPr>
              <w:pStyle w:val="94"/>
              <w:rPr>
                <w:color w:val="auto"/>
              </w:rPr>
            </w:pPr>
            <w:r>
              <w:rPr>
                <w:rFonts w:hint="eastAsia"/>
                <w:color w:val="auto"/>
              </w:rPr>
              <w:t>迷迭香</w:t>
            </w:r>
          </w:p>
        </w:tc>
        <w:tc>
          <w:tcPr>
            <w:tcW w:w="2584" w:type="pct"/>
            <w:noWrap/>
            <w:vAlign w:val="center"/>
          </w:tcPr>
          <w:p w14:paraId="2BD61A93">
            <w:pPr>
              <w:pStyle w:val="94"/>
              <w:rPr>
                <w:i/>
                <w:iCs/>
                <w:color w:val="auto"/>
              </w:rPr>
            </w:pPr>
            <w:r>
              <w:rPr>
                <w:rFonts w:hint="eastAsia"/>
                <w:i/>
                <w:iCs/>
                <w:color w:val="auto"/>
              </w:rPr>
              <w:t>Rosmarinus officinalis</w:t>
            </w:r>
          </w:p>
        </w:tc>
      </w:tr>
      <w:tr w14:paraId="2C5F88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06B0B77C">
            <w:pPr>
              <w:pStyle w:val="94"/>
              <w:rPr>
                <w:color w:val="auto"/>
              </w:rPr>
            </w:pPr>
            <w:r>
              <w:rPr>
                <w:rFonts w:hint="eastAsia"/>
                <w:color w:val="auto"/>
              </w:rPr>
              <w:t>3</w:t>
            </w:r>
          </w:p>
        </w:tc>
        <w:tc>
          <w:tcPr>
            <w:tcW w:w="600" w:type="pct"/>
            <w:noWrap/>
            <w:vAlign w:val="center"/>
          </w:tcPr>
          <w:p w14:paraId="447BD68E">
            <w:pPr>
              <w:pStyle w:val="94"/>
              <w:rPr>
                <w:color w:val="auto"/>
              </w:rPr>
            </w:pPr>
            <w:r>
              <w:rPr>
                <w:rFonts w:hint="eastAsia"/>
                <w:color w:val="auto"/>
              </w:rPr>
              <w:t>豆科</w:t>
            </w:r>
          </w:p>
        </w:tc>
        <w:tc>
          <w:tcPr>
            <w:tcW w:w="600" w:type="pct"/>
            <w:noWrap/>
            <w:vAlign w:val="center"/>
          </w:tcPr>
          <w:p w14:paraId="5DE2DC80">
            <w:pPr>
              <w:pStyle w:val="94"/>
              <w:rPr>
                <w:color w:val="auto"/>
              </w:rPr>
            </w:pPr>
            <w:r>
              <w:rPr>
                <w:rFonts w:hint="eastAsia"/>
                <w:color w:val="auto"/>
              </w:rPr>
              <w:t>刺槐属</w:t>
            </w:r>
          </w:p>
        </w:tc>
        <w:tc>
          <w:tcPr>
            <w:tcW w:w="870" w:type="pct"/>
            <w:noWrap/>
            <w:vAlign w:val="center"/>
          </w:tcPr>
          <w:p w14:paraId="63320F50">
            <w:pPr>
              <w:pStyle w:val="94"/>
              <w:rPr>
                <w:color w:val="auto"/>
              </w:rPr>
            </w:pPr>
            <w:r>
              <w:rPr>
                <w:rFonts w:hint="eastAsia"/>
                <w:color w:val="auto"/>
              </w:rPr>
              <w:t>刺槐</w:t>
            </w:r>
          </w:p>
        </w:tc>
        <w:tc>
          <w:tcPr>
            <w:tcW w:w="2584" w:type="pct"/>
            <w:noWrap/>
            <w:vAlign w:val="center"/>
          </w:tcPr>
          <w:p w14:paraId="128250B9">
            <w:pPr>
              <w:pStyle w:val="94"/>
              <w:rPr>
                <w:i/>
                <w:iCs/>
                <w:color w:val="auto"/>
              </w:rPr>
            </w:pPr>
            <w:r>
              <w:rPr>
                <w:rFonts w:hint="eastAsia"/>
                <w:i/>
                <w:iCs/>
                <w:color w:val="auto"/>
              </w:rPr>
              <w:t>Robinia pseudoacacia</w:t>
            </w:r>
          </w:p>
        </w:tc>
      </w:tr>
      <w:tr w14:paraId="3480FE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6810C24B">
            <w:pPr>
              <w:pStyle w:val="94"/>
              <w:rPr>
                <w:color w:val="auto"/>
              </w:rPr>
            </w:pPr>
            <w:r>
              <w:rPr>
                <w:rFonts w:hint="eastAsia"/>
                <w:color w:val="auto"/>
              </w:rPr>
              <w:t>4</w:t>
            </w:r>
          </w:p>
        </w:tc>
        <w:tc>
          <w:tcPr>
            <w:tcW w:w="600" w:type="pct"/>
            <w:noWrap/>
            <w:vAlign w:val="center"/>
          </w:tcPr>
          <w:p w14:paraId="65FAA790">
            <w:pPr>
              <w:pStyle w:val="94"/>
              <w:rPr>
                <w:color w:val="auto"/>
              </w:rPr>
            </w:pPr>
            <w:r>
              <w:rPr>
                <w:rFonts w:hint="eastAsia"/>
                <w:color w:val="auto"/>
              </w:rPr>
              <w:t>豆科</w:t>
            </w:r>
          </w:p>
        </w:tc>
        <w:tc>
          <w:tcPr>
            <w:tcW w:w="600" w:type="pct"/>
            <w:noWrap/>
            <w:vAlign w:val="center"/>
          </w:tcPr>
          <w:p w14:paraId="5BFB23DD">
            <w:pPr>
              <w:pStyle w:val="94"/>
              <w:rPr>
                <w:color w:val="auto"/>
              </w:rPr>
            </w:pPr>
            <w:r>
              <w:rPr>
                <w:rFonts w:hint="eastAsia"/>
                <w:color w:val="auto"/>
              </w:rPr>
              <w:t>刺槐属</w:t>
            </w:r>
          </w:p>
        </w:tc>
        <w:tc>
          <w:tcPr>
            <w:tcW w:w="870" w:type="pct"/>
            <w:noWrap/>
            <w:vAlign w:val="center"/>
          </w:tcPr>
          <w:p w14:paraId="4C9BCC59">
            <w:pPr>
              <w:pStyle w:val="94"/>
              <w:rPr>
                <w:color w:val="auto"/>
              </w:rPr>
            </w:pPr>
            <w:r>
              <w:rPr>
                <w:rFonts w:hint="eastAsia"/>
                <w:color w:val="auto"/>
              </w:rPr>
              <w:t>刺槐</w:t>
            </w:r>
          </w:p>
        </w:tc>
        <w:tc>
          <w:tcPr>
            <w:tcW w:w="2584" w:type="pct"/>
            <w:noWrap/>
            <w:vAlign w:val="center"/>
          </w:tcPr>
          <w:p w14:paraId="0FFB3DDD">
            <w:pPr>
              <w:pStyle w:val="94"/>
              <w:rPr>
                <w:i/>
                <w:iCs/>
                <w:color w:val="auto"/>
              </w:rPr>
            </w:pPr>
            <w:r>
              <w:rPr>
                <w:rFonts w:hint="eastAsia"/>
                <w:i/>
                <w:iCs/>
                <w:color w:val="auto"/>
              </w:rPr>
              <w:t>Robinia pseudoacacia</w:t>
            </w:r>
          </w:p>
        </w:tc>
      </w:tr>
      <w:tr w14:paraId="575CFC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53AAD64E">
            <w:pPr>
              <w:pStyle w:val="94"/>
              <w:rPr>
                <w:color w:val="auto"/>
              </w:rPr>
            </w:pPr>
            <w:r>
              <w:rPr>
                <w:rFonts w:hint="eastAsia"/>
                <w:color w:val="auto"/>
              </w:rPr>
              <w:t>5</w:t>
            </w:r>
          </w:p>
        </w:tc>
        <w:tc>
          <w:tcPr>
            <w:tcW w:w="600" w:type="pct"/>
            <w:noWrap/>
            <w:vAlign w:val="center"/>
          </w:tcPr>
          <w:p w14:paraId="5BEC41BB">
            <w:pPr>
              <w:pStyle w:val="94"/>
              <w:rPr>
                <w:color w:val="auto"/>
              </w:rPr>
            </w:pPr>
            <w:r>
              <w:rPr>
                <w:rFonts w:hint="eastAsia"/>
                <w:color w:val="auto"/>
              </w:rPr>
              <w:t>豆科</w:t>
            </w:r>
          </w:p>
        </w:tc>
        <w:tc>
          <w:tcPr>
            <w:tcW w:w="600" w:type="pct"/>
            <w:noWrap/>
            <w:vAlign w:val="center"/>
          </w:tcPr>
          <w:p w14:paraId="11A28325">
            <w:pPr>
              <w:pStyle w:val="94"/>
              <w:rPr>
                <w:color w:val="auto"/>
              </w:rPr>
            </w:pPr>
            <w:r>
              <w:rPr>
                <w:rFonts w:hint="eastAsia"/>
                <w:color w:val="auto"/>
              </w:rPr>
              <w:t>锦鸡儿属</w:t>
            </w:r>
          </w:p>
        </w:tc>
        <w:tc>
          <w:tcPr>
            <w:tcW w:w="870" w:type="pct"/>
            <w:noWrap/>
            <w:vAlign w:val="center"/>
          </w:tcPr>
          <w:p w14:paraId="228DDE9C">
            <w:pPr>
              <w:pStyle w:val="94"/>
              <w:rPr>
                <w:color w:val="auto"/>
              </w:rPr>
            </w:pPr>
            <w:r>
              <w:rPr>
                <w:rFonts w:hint="eastAsia"/>
                <w:color w:val="auto"/>
              </w:rPr>
              <w:t>拧条锦鸡儿</w:t>
            </w:r>
          </w:p>
        </w:tc>
        <w:tc>
          <w:tcPr>
            <w:tcW w:w="2584" w:type="pct"/>
            <w:noWrap/>
            <w:vAlign w:val="center"/>
          </w:tcPr>
          <w:p w14:paraId="37A1DB0B">
            <w:pPr>
              <w:pStyle w:val="94"/>
              <w:rPr>
                <w:i/>
                <w:iCs/>
                <w:color w:val="auto"/>
              </w:rPr>
            </w:pPr>
            <w:r>
              <w:rPr>
                <w:rFonts w:hint="eastAsia"/>
                <w:i/>
                <w:iCs/>
                <w:color w:val="auto"/>
              </w:rPr>
              <w:t>Caragana korshinskii</w:t>
            </w:r>
          </w:p>
        </w:tc>
      </w:tr>
      <w:tr w14:paraId="3387B5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255758B6">
            <w:pPr>
              <w:pStyle w:val="94"/>
              <w:rPr>
                <w:color w:val="auto"/>
              </w:rPr>
            </w:pPr>
            <w:r>
              <w:rPr>
                <w:rFonts w:hint="eastAsia"/>
                <w:color w:val="auto"/>
              </w:rPr>
              <w:t>6</w:t>
            </w:r>
          </w:p>
        </w:tc>
        <w:tc>
          <w:tcPr>
            <w:tcW w:w="600" w:type="pct"/>
            <w:noWrap/>
            <w:vAlign w:val="center"/>
          </w:tcPr>
          <w:p w14:paraId="22F3175C">
            <w:pPr>
              <w:pStyle w:val="94"/>
              <w:rPr>
                <w:color w:val="auto"/>
              </w:rPr>
            </w:pPr>
            <w:r>
              <w:rPr>
                <w:rFonts w:hint="eastAsia"/>
                <w:color w:val="auto"/>
              </w:rPr>
              <w:t>禾本科</w:t>
            </w:r>
          </w:p>
        </w:tc>
        <w:tc>
          <w:tcPr>
            <w:tcW w:w="600" w:type="pct"/>
            <w:noWrap/>
            <w:vAlign w:val="center"/>
          </w:tcPr>
          <w:p w14:paraId="62D3E4B5">
            <w:pPr>
              <w:pStyle w:val="94"/>
              <w:rPr>
                <w:color w:val="auto"/>
              </w:rPr>
            </w:pPr>
            <w:r>
              <w:rPr>
                <w:rFonts w:hint="eastAsia"/>
                <w:color w:val="auto"/>
              </w:rPr>
              <w:t>隐子草属</w:t>
            </w:r>
          </w:p>
        </w:tc>
        <w:tc>
          <w:tcPr>
            <w:tcW w:w="870" w:type="pct"/>
            <w:noWrap/>
            <w:vAlign w:val="center"/>
          </w:tcPr>
          <w:p w14:paraId="75F9EE1C">
            <w:pPr>
              <w:pStyle w:val="94"/>
              <w:rPr>
                <w:color w:val="auto"/>
              </w:rPr>
            </w:pPr>
            <w:r>
              <w:rPr>
                <w:rFonts w:hint="eastAsia"/>
                <w:color w:val="auto"/>
              </w:rPr>
              <w:t>北京隐子草</w:t>
            </w:r>
          </w:p>
        </w:tc>
        <w:tc>
          <w:tcPr>
            <w:tcW w:w="2584" w:type="pct"/>
            <w:noWrap/>
            <w:vAlign w:val="center"/>
          </w:tcPr>
          <w:p w14:paraId="103099C4">
            <w:pPr>
              <w:pStyle w:val="94"/>
              <w:rPr>
                <w:i/>
                <w:iCs/>
                <w:color w:val="auto"/>
              </w:rPr>
            </w:pPr>
            <w:r>
              <w:rPr>
                <w:rFonts w:hint="eastAsia"/>
                <w:i/>
                <w:iCs/>
                <w:color w:val="auto"/>
              </w:rPr>
              <w:t>Cleistogenes hancei</w:t>
            </w:r>
          </w:p>
        </w:tc>
      </w:tr>
      <w:tr w14:paraId="06859F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7854F791">
            <w:pPr>
              <w:pStyle w:val="94"/>
              <w:rPr>
                <w:color w:val="auto"/>
              </w:rPr>
            </w:pPr>
            <w:r>
              <w:rPr>
                <w:rFonts w:hint="eastAsia"/>
                <w:color w:val="auto"/>
              </w:rPr>
              <w:t>7</w:t>
            </w:r>
          </w:p>
        </w:tc>
        <w:tc>
          <w:tcPr>
            <w:tcW w:w="600" w:type="pct"/>
            <w:noWrap/>
            <w:vAlign w:val="center"/>
          </w:tcPr>
          <w:p w14:paraId="6EAA6DEF">
            <w:pPr>
              <w:pStyle w:val="94"/>
              <w:rPr>
                <w:color w:val="auto"/>
              </w:rPr>
            </w:pPr>
            <w:r>
              <w:rPr>
                <w:rFonts w:hint="eastAsia"/>
                <w:color w:val="auto"/>
              </w:rPr>
              <w:t>禾本科</w:t>
            </w:r>
          </w:p>
        </w:tc>
        <w:tc>
          <w:tcPr>
            <w:tcW w:w="600" w:type="pct"/>
            <w:noWrap/>
            <w:vAlign w:val="center"/>
          </w:tcPr>
          <w:p w14:paraId="1B485832">
            <w:pPr>
              <w:pStyle w:val="94"/>
              <w:rPr>
                <w:color w:val="auto"/>
              </w:rPr>
            </w:pPr>
            <w:r>
              <w:rPr>
                <w:rFonts w:hint="eastAsia"/>
                <w:color w:val="auto"/>
              </w:rPr>
              <w:t>针茅属</w:t>
            </w:r>
          </w:p>
        </w:tc>
        <w:tc>
          <w:tcPr>
            <w:tcW w:w="870" w:type="pct"/>
            <w:noWrap/>
            <w:vAlign w:val="center"/>
          </w:tcPr>
          <w:p w14:paraId="416C3F12">
            <w:pPr>
              <w:pStyle w:val="94"/>
              <w:rPr>
                <w:color w:val="auto"/>
              </w:rPr>
            </w:pPr>
            <w:r>
              <w:rPr>
                <w:rFonts w:hint="eastAsia"/>
                <w:color w:val="auto"/>
              </w:rPr>
              <w:t>针茅</w:t>
            </w:r>
          </w:p>
        </w:tc>
        <w:tc>
          <w:tcPr>
            <w:tcW w:w="2584" w:type="pct"/>
            <w:noWrap/>
            <w:vAlign w:val="center"/>
          </w:tcPr>
          <w:p w14:paraId="70BC6543">
            <w:pPr>
              <w:pStyle w:val="94"/>
              <w:rPr>
                <w:i/>
                <w:iCs/>
                <w:color w:val="auto"/>
              </w:rPr>
            </w:pPr>
            <w:r>
              <w:rPr>
                <w:rFonts w:hint="eastAsia"/>
                <w:i/>
                <w:iCs/>
                <w:color w:val="auto"/>
              </w:rPr>
              <w:t>Stipa capillata</w:t>
            </w:r>
          </w:p>
        </w:tc>
      </w:tr>
      <w:tr w14:paraId="2C6651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4F3FC5DE">
            <w:pPr>
              <w:pStyle w:val="94"/>
              <w:rPr>
                <w:color w:val="auto"/>
              </w:rPr>
            </w:pPr>
            <w:r>
              <w:rPr>
                <w:rFonts w:hint="eastAsia"/>
                <w:color w:val="auto"/>
              </w:rPr>
              <w:t>8</w:t>
            </w:r>
          </w:p>
        </w:tc>
        <w:tc>
          <w:tcPr>
            <w:tcW w:w="600" w:type="pct"/>
            <w:noWrap/>
            <w:vAlign w:val="center"/>
          </w:tcPr>
          <w:p w14:paraId="5C96C4FE">
            <w:pPr>
              <w:pStyle w:val="94"/>
              <w:rPr>
                <w:color w:val="auto"/>
              </w:rPr>
            </w:pPr>
            <w:r>
              <w:rPr>
                <w:rFonts w:hint="eastAsia"/>
                <w:color w:val="auto"/>
              </w:rPr>
              <w:t>禾本科</w:t>
            </w:r>
          </w:p>
        </w:tc>
        <w:tc>
          <w:tcPr>
            <w:tcW w:w="600" w:type="pct"/>
            <w:noWrap/>
            <w:vAlign w:val="center"/>
          </w:tcPr>
          <w:p w14:paraId="1F101AF8">
            <w:pPr>
              <w:pStyle w:val="94"/>
              <w:rPr>
                <w:color w:val="auto"/>
              </w:rPr>
            </w:pPr>
            <w:r>
              <w:rPr>
                <w:rFonts w:hint="eastAsia"/>
                <w:color w:val="auto"/>
              </w:rPr>
              <w:t>狗牙根属</w:t>
            </w:r>
          </w:p>
        </w:tc>
        <w:tc>
          <w:tcPr>
            <w:tcW w:w="870" w:type="pct"/>
            <w:noWrap/>
            <w:vAlign w:val="center"/>
          </w:tcPr>
          <w:p w14:paraId="47E755A3">
            <w:pPr>
              <w:pStyle w:val="94"/>
              <w:rPr>
                <w:color w:val="auto"/>
              </w:rPr>
            </w:pPr>
            <w:r>
              <w:rPr>
                <w:rFonts w:hint="eastAsia"/>
                <w:color w:val="auto"/>
              </w:rPr>
              <w:t>狗牙根</w:t>
            </w:r>
          </w:p>
        </w:tc>
        <w:tc>
          <w:tcPr>
            <w:tcW w:w="2584" w:type="pct"/>
            <w:noWrap/>
            <w:vAlign w:val="center"/>
          </w:tcPr>
          <w:p w14:paraId="10CD3B3D">
            <w:pPr>
              <w:pStyle w:val="94"/>
              <w:rPr>
                <w:i/>
                <w:iCs/>
                <w:color w:val="auto"/>
              </w:rPr>
            </w:pPr>
            <w:r>
              <w:rPr>
                <w:rFonts w:hint="eastAsia"/>
                <w:i/>
                <w:iCs/>
                <w:color w:val="auto"/>
              </w:rPr>
              <w:t>Cynodon dactylon</w:t>
            </w:r>
          </w:p>
        </w:tc>
      </w:tr>
      <w:tr w14:paraId="5ECDB4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6C5739E0">
            <w:pPr>
              <w:pStyle w:val="94"/>
              <w:rPr>
                <w:color w:val="auto"/>
              </w:rPr>
            </w:pPr>
            <w:r>
              <w:rPr>
                <w:rFonts w:hint="eastAsia"/>
                <w:color w:val="auto"/>
              </w:rPr>
              <w:t>9</w:t>
            </w:r>
          </w:p>
        </w:tc>
        <w:tc>
          <w:tcPr>
            <w:tcW w:w="600" w:type="pct"/>
            <w:noWrap/>
            <w:vAlign w:val="center"/>
          </w:tcPr>
          <w:p w14:paraId="695427C8">
            <w:pPr>
              <w:pStyle w:val="94"/>
              <w:rPr>
                <w:color w:val="auto"/>
              </w:rPr>
            </w:pPr>
            <w:r>
              <w:rPr>
                <w:rFonts w:hint="eastAsia"/>
                <w:color w:val="auto"/>
              </w:rPr>
              <w:t>禾本科</w:t>
            </w:r>
          </w:p>
        </w:tc>
        <w:tc>
          <w:tcPr>
            <w:tcW w:w="600" w:type="pct"/>
            <w:noWrap/>
            <w:vAlign w:val="center"/>
          </w:tcPr>
          <w:p w14:paraId="5C870297">
            <w:pPr>
              <w:pStyle w:val="94"/>
              <w:rPr>
                <w:color w:val="auto"/>
              </w:rPr>
            </w:pPr>
            <w:r>
              <w:rPr>
                <w:rFonts w:hint="eastAsia"/>
                <w:color w:val="auto"/>
              </w:rPr>
              <w:t>穇属</w:t>
            </w:r>
          </w:p>
        </w:tc>
        <w:tc>
          <w:tcPr>
            <w:tcW w:w="870" w:type="pct"/>
            <w:noWrap/>
            <w:vAlign w:val="center"/>
          </w:tcPr>
          <w:p w14:paraId="427B3A04">
            <w:pPr>
              <w:pStyle w:val="94"/>
              <w:rPr>
                <w:color w:val="auto"/>
              </w:rPr>
            </w:pPr>
            <w:r>
              <w:rPr>
                <w:rFonts w:hint="eastAsia"/>
                <w:color w:val="auto"/>
              </w:rPr>
              <w:t>牛筋草</w:t>
            </w:r>
          </w:p>
        </w:tc>
        <w:tc>
          <w:tcPr>
            <w:tcW w:w="2584" w:type="pct"/>
            <w:noWrap/>
            <w:vAlign w:val="center"/>
          </w:tcPr>
          <w:p w14:paraId="0C6D7928">
            <w:pPr>
              <w:pStyle w:val="94"/>
              <w:rPr>
                <w:i/>
                <w:iCs/>
                <w:color w:val="auto"/>
              </w:rPr>
            </w:pPr>
            <w:r>
              <w:rPr>
                <w:rFonts w:hint="eastAsia"/>
                <w:i/>
                <w:iCs/>
                <w:color w:val="auto"/>
              </w:rPr>
              <w:t>Eleusine indica</w:t>
            </w:r>
          </w:p>
        </w:tc>
      </w:tr>
      <w:tr w14:paraId="41EC1D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14A0917A">
            <w:pPr>
              <w:pStyle w:val="94"/>
              <w:rPr>
                <w:color w:val="auto"/>
              </w:rPr>
            </w:pPr>
            <w:r>
              <w:rPr>
                <w:rFonts w:hint="eastAsia"/>
                <w:color w:val="auto"/>
              </w:rPr>
              <w:t>10</w:t>
            </w:r>
          </w:p>
        </w:tc>
        <w:tc>
          <w:tcPr>
            <w:tcW w:w="600" w:type="pct"/>
            <w:noWrap/>
            <w:vAlign w:val="center"/>
          </w:tcPr>
          <w:p w14:paraId="6EF9AD37">
            <w:pPr>
              <w:pStyle w:val="94"/>
              <w:rPr>
                <w:color w:val="auto"/>
              </w:rPr>
            </w:pPr>
            <w:r>
              <w:rPr>
                <w:rFonts w:hint="eastAsia"/>
                <w:color w:val="auto"/>
              </w:rPr>
              <w:t>禾本科</w:t>
            </w:r>
          </w:p>
        </w:tc>
        <w:tc>
          <w:tcPr>
            <w:tcW w:w="600" w:type="pct"/>
            <w:noWrap/>
            <w:vAlign w:val="center"/>
          </w:tcPr>
          <w:p w14:paraId="7B770426">
            <w:pPr>
              <w:pStyle w:val="94"/>
              <w:rPr>
                <w:color w:val="auto"/>
              </w:rPr>
            </w:pPr>
            <w:r>
              <w:rPr>
                <w:rFonts w:hint="eastAsia"/>
                <w:color w:val="auto"/>
              </w:rPr>
              <w:t>白茅属</w:t>
            </w:r>
          </w:p>
        </w:tc>
        <w:tc>
          <w:tcPr>
            <w:tcW w:w="870" w:type="pct"/>
            <w:noWrap/>
            <w:vAlign w:val="center"/>
          </w:tcPr>
          <w:p w14:paraId="1FE718AC">
            <w:pPr>
              <w:pStyle w:val="94"/>
              <w:rPr>
                <w:color w:val="auto"/>
              </w:rPr>
            </w:pPr>
            <w:r>
              <w:rPr>
                <w:rFonts w:hint="eastAsia"/>
                <w:color w:val="auto"/>
              </w:rPr>
              <w:t>白茅</w:t>
            </w:r>
          </w:p>
        </w:tc>
        <w:tc>
          <w:tcPr>
            <w:tcW w:w="2584" w:type="pct"/>
            <w:noWrap/>
            <w:vAlign w:val="center"/>
          </w:tcPr>
          <w:p w14:paraId="7FAA437D">
            <w:pPr>
              <w:pStyle w:val="94"/>
              <w:rPr>
                <w:i/>
                <w:iCs/>
                <w:color w:val="auto"/>
              </w:rPr>
            </w:pPr>
            <w:r>
              <w:rPr>
                <w:rFonts w:hint="eastAsia"/>
                <w:i/>
                <w:iCs/>
                <w:color w:val="auto"/>
              </w:rPr>
              <w:t>Imperata cylindrica</w:t>
            </w:r>
          </w:p>
        </w:tc>
      </w:tr>
      <w:tr w14:paraId="55A540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1A3F2F71">
            <w:pPr>
              <w:pStyle w:val="94"/>
              <w:rPr>
                <w:color w:val="auto"/>
              </w:rPr>
            </w:pPr>
            <w:r>
              <w:rPr>
                <w:rFonts w:hint="eastAsia"/>
                <w:color w:val="auto"/>
              </w:rPr>
              <w:t>11</w:t>
            </w:r>
          </w:p>
        </w:tc>
        <w:tc>
          <w:tcPr>
            <w:tcW w:w="600" w:type="pct"/>
            <w:noWrap/>
            <w:vAlign w:val="center"/>
          </w:tcPr>
          <w:p w14:paraId="050BB4DB">
            <w:pPr>
              <w:pStyle w:val="94"/>
              <w:rPr>
                <w:color w:val="auto"/>
              </w:rPr>
            </w:pPr>
            <w:r>
              <w:rPr>
                <w:rFonts w:hint="eastAsia"/>
                <w:color w:val="auto"/>
              </w:rPr>
              <w:t>禾本科</w:t>
            </w:r>
          </w:p>
        </w:tc>
        <w:tc>
          <w:tcPr>
            <w:tcW w:w="600" w:type="pct"/>
            <w:noWrap/>
            <w:vAlign w:val="center"/>
          </w:tcPr>
          <w:p w14:paraId="2D25EEE1">
            <w:pPr>
              <w:pStyle w:val="94"/>
              <w:rPr>
                <w:color w:val="auto"/>
              </w:rPr>
            </w:pPr>
            <w:r>
              <w:rPr>
                <w:rFonts w:hint="eastAsia"/>
                <w:color w:val="auto"/>
              </w:rPr>
              <w:t>狗尾草属</w:t>
            </w:r>
          </w:p>
        </w:tc>
        <w:tc>
          <w:tcPr>
            <w:tcW w:w="870" w:type="pct"/>
            <w:noWrap/>
            <w:vAlign w:val="center"/>
          </w:tcPr>
          <w:p w14:paraId="234A05DB">
            <w:pPr>
              <w:pStyle w:val="94"/>
              <w:rPr>
                <w:color w:val="auto"/>
              </w:rPr>
            </w:pPr>
            <w:r>
              <w:rPr>
                <w:rFonts w:hint="eastAsia"/>
                <w:color w:val="auto"/>
              </w:rPr>
              <w:t>狗尾草</w:t>
            </w:r>
          </w:p>
        </w:tc>
        <w:tc>
          <w:tcPr>
            <w:tcW w:w="2584" w:type="pct"/>
            <w:noWrap/>
            <w:vAlign w:val="center"/>
          </w:tcPr>
          <w:p w14:paraId="69CF6D69">
            <w:pPr>
              <w:pStyle w:val="94"/>
              <w:rPr>
                <w:i/>
                <w:iCs/>
                <w:color w:val="auto"/>
              </w:rPr>
            </w:pPr>
            <w:r>
              <w:rPr>
                <w:rFonts w:hint="eastAsia"/>
                <w:i/>
                <w:iCs/>
                <w:color w:val="auto"/>
              </w:rPr>
              <w:t>Setaria viridis</w:t>
            </w:r>
          </w:p>
        </w:tc>
      </w:tr>
      <w:tr w14:paraId="7419C3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3FABCCD4">
            <w:pPr>
              <w:pStyle w:val="94"/>
              <w:rPr>
                <w:color w:val="auto"/>
              </w:rPr>
            </w:pPr>
            <w:r>
              <w:rPr>
                <w:rFonts w:hint="eastAsia"/>
                <w:color w:val="auto"/>
              </w:rPr>
              <w:t>12</w:t>
            </w:r>
          </w:p>
        </w:tc>
        <w:tc>
          <w:tcPr>
            <w:tcW w:w="600" w:type="pct"/>
            <w:noWrap/>
            <w:vAlign w:val="center"/>
          </w:tcPr>
          <w:p w14:paraId="3CDDB10A">
            <w:pPr>
              <w:pStyle w:val="94"/>
              <w:rPr>
                <w:color w:val="auto"/>
              </w:rPr>
            </w:pPr>
            <w:r>
              <w:rPr>
                <w:rFonts w:hint="eastAsia"/>
                <w:color w:val="auto"/>
              </w:rPr>
              <w:t>禾本科</w:t>
            </w:r>
          </w:p>
        </w:tc>
        <w:tc>
          <w:tcPr>
            <w:tcW w:w="600" w:type="pct"/>
            <w:noWrap/>
            <w:vAlign w:val="center"/>
          </w:tcPr>
          <w:p w14:paraId="1FDDA62D">
            <w:pPr>
              <w:pStyle w:val="94"/>
              <w:rPr>
                <w:color w:val="auto"/>
              </w:rPr>
            </w:pPr>
            <w:r>
              <w:rPr>
                <w:rFonts w:hint="eastAsia"/>
                <w:color w:val="auto"/>
              </w:rPr>
              <w:t>孔颖草属</w:t>
            </w:r>
          </w:p>
        </w:tc>
        <w:tc>
          <w:tcPr>
            <w:tcW w:w="870" w:type="pct"/>
            <w:noWrap/>
            <w:vAlign w:val="center"/>
          </w:tcPr>
          <w:p w14:paraId="153CC226">
            <w:pPr>
              <w:pStyle w:val="94"/>
              <w:rPr>
                <w:color w:val="auto"/>
              </w:rPr>
            </w:pPr>
            <w:r>
              <w:rPr>
                <w:rFonts w:hint="eastAsia"/>
                <w:color w:val="auto"/>
              </w:rPr>
              <w:t>白羊草</w:t>
            </w:r>
          </w:p>
        </w:tc>
        <w:tc>
          <w:tcPr>
            <w:tcW w:w="2584" w:type="pct"/>
            <w:noWrap/>
            <w:vAlign w:val="center"/>
          </w:tcPr>
          <w:p w14:paraId="56F0EF50">
            <w:pPr>
              <w:pStyle w:val="94"/>
              <w:rPr>
                <w:i/>
                <w:iCs/>
                <w:color w:val="auto"/>
              </w:rPr>
            </w:pPr>
            <w:r>
              <w:rPr>
                <w:rFonts w:hint="eastAsia"/>
                <w:i/>
                <w:iCs/>
                <w:color w:val="auto"/>
              </w:rPr>
              <w:t>Bothriochloa ischaemum</w:t>
            </w:r>
          </w:p>
        </w:tc>
      </w:tr>
      <w:tr w14:paraId="42551B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1B608902">
            <w:pPr>
              <w:pStyle w:val="94"/>
              <w:rPr>
                <w:color w:val="auto"/>
              </w:rPr>
            </w:pPr>
            <w:r>
              <w:rPr>
                <w:rFonts w:hint="eastAsia"/>
                <w:color w:val="auto"/>
              </w:rPr>
              <w:t>13</w:t>
            </w:r>
          </w:p>
        </w:tc>
        <w:tc>
          <w:tcPr>
            <w:tcW w:w="600" w:type="pct"/>
            <w:noWrap/>
            <w:vAlign w:val="center"/>
          </w:tcPr>
          <w:p w14:paraId="6174E379">
            <w:pPr>
              <w:pStyle w:val="94"/>
              <w:rPr>
                <w:color w:val="auto"/>
              </w:rPr>
            </w:pPr>
            <w:r>
              <w:rPr>
                <w:rFonts w:hint="eastAsia"/>
                <w:color w:val="auto"/>
              </w:rPr>
              <w:t>夹竹桃科</w:t>
            </w:r>
          </w:p>
        </w:tc>
        <w:tc>
          <w:tcPr>
            <w:tcW w:w="600" w:type="pct"/>
            <w:noWrap/>
            <w:vAlign w:val="center"/>
          </w:tcPr>
          <w:p w14:paraId="5C477950">
            <w:pPr>
              <w:pStyle w:val="94"/>
              <w:rPr>
                <w:color w:val="auto"/>
              </w:rPr>
            </w:pPr>
            <w:r>
              <w:rPr>
                <w:rFonts w:hint="eastAsia"/>
                <w:color w:val="auto"/>
              </w:rPr>
              <w:t>杠柳属</w:t>
            </w:r>
          </w:p>
        </w:tc>
        <w:tc>
          <w:tcPr>
            <w:tcW w:w="870" w:type="pct"/>
            <w:noWrap/>
            <w:vAlign w:val="center"/>
          </w:tcPr>
          <w:p w14:paraId="3D05E288">
            <w:pPr>
              <w:pStyle w:val="94"/>
              <w:rPr>
                <w:color w:val="auto"/>
              </w:rPr>
            </w:pPr>
            <w:r>
              <w:rPr>
                <w:rFonts w:hint="eastAsia"/>
                <w:color w:val="auto"/>
              </w:rPr>
              <w:t>杠柳</w:t>
            </w:r>
          </w:p>
        </w:tc>
        <w:tc>
          <w:tcPr>
            <w:tcW w:w="2584" w:type="pct"/>
            <w:noWrap/>
            <w:vAlign w:val="center"/>
          </w:tcPr>
          <w:p w14:paraId="25D04789">
            <w:pPr>
              <w:pStyle w:val="94"/>
              <w:rPr>
                <w:i/>
                <w:iCs/>
                <w:color w:val="auto"/>
              </w:rPr>
            </w:pPr>
            <w:r>
              <w:rPr>
                <w:rFonts w:hint="eastAsia"/>
                <w:i/>
                <w:iCs/>
                <w:color w:val="auto"/>
              </w:rPr>
              <w:t>Periploca sepium</w:t>
            </w:r>
          </w:p>
        </w:tc>
      </w:tr>
      <w:tr w14:paraId="4CA0FF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56024C59">
            <w:pPr>
              <w:pStyle w:val="94"/>
              <w:rPr>
                <w:color w:val="auto"/>
              </w:rPr>
            </w:pPr>
            <w:r>
              <w:rPr>
                <w:rFonts w:hint="eastAsia"/>
                <w:color w:val="auto"/>
              </w:rPr>
              <w:t>14</w:t>
            </w:r>
          </w:p>
        </w:tc>
        <w:tc>
          <w:tcPr>
            <w:tcW w:w="600" w:type="pct"/>
            <w:noWrap/>
            <w:vAlign w:val="center"/>
          </w:tcPr>
          <w:p w14:paraId="3137C8BA">
            <w:pPr>
              <w:pStyle w:val="94"/>
              <w:rPr>
                <w:color w:val="auto"/>
              </w:rPr>
            </w:pPr>
            <w:r>
              <w:rPr>
                <w:rFonts w:hint="eastAsia"/>
                <w:color w:val="auto"/>
              </w:rPr>
              <w:t>景天科</w:t>
            </w:r>
          </w:p>
        </w:tc>
        <w:tc>
          <w:tcPr>
            <w:tcW w:w="600" w:type="pct"/>
            <w:noWrap/>
            <w:vAlign w:val="center"/>
          </w:tcPr>
          <w:p w14:paraId="441C4B9B">
            <w:pPr>
              <w:pStyle w:val="94"/>
              <w:rPr>
                <w:color w:val="auto"/>
              </w:rPr>
            </w:pPr>
            <w:r>
              <w:rPr>
                <w:rFonts w:hint="eastAsia"/>
                <w:color w:val="auto"/>
              </w:rPr>
              <w:t>费菜属</w:t>
            </w:r>
          </w:p>
        </w:tc>
        <w:tc>
          <w:tcPr>
            <w:tcW w:w="870" w:type="pct"/>
            <w:noWrap/>
            <w:vAlign w:val="center"/>
          </w:tcPr>
          <w:p w14:paraId="0C8D5074">
            <w:pPr>
              <w:pStyle w:val="94"/>
              <w:rPr>
                <w:color w:val="auto"/>
              </w:rPr>
            </w:pPr>
            <w:r>
              <w:rPr>
                <w:rFonts w:hint="eastAsia"/>
                <w:color w:val="auto"/>
              </w:rPr>
              <w:t>费菜</w:t>
            </w:r>
          </w:p>
        </w:tc>
        <w:tc>
          <w:tcPr>
            <w:tcW w:w="2584" w:type="pct"/>
            <w:noWrap/>
            <w:vAlign w:val="center"/>
          </w:tcPr>
          <w:p w14:paraId="24542F22">
            <w:pPr>
              <w:pStyle w:val="94"/>
              <w:rPr>
                <w:i/>
                <w:iCs/>
                <w:color w:val="auto"/>
              </w:rPr>
            </w:pPr>
            <w:r>
              <w:rPr>
                <w:rFonts w:hint="eastAsia"/>
                <w:i/>
                <w:iCs/>
                <w:color w:val="auto"/>
              </w:rPr>
              <w:t>Phedimus aizoon</w:t>
            </w:r>
          </w:p>
        </w:tc>
      </w:tr>
      <w:tr w14:paraId="2639CE9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577C440B">
            <w:pPr>
              <w:pStyle w:val="94"/>
              <w:rPr>
                <w:color w:val="auto"/>
              </w:rPr>
            </w:pPr>
            <w:r>
              <w:rPr>
                <w:rFonts w:hint="eastAsia"/>
                <w:color w:val="auto"/>
              </w:rPr>
              <w:t>15</w:t>
            </w:r>
          </w:p>
        </w:tc>
        <w:tc>
          <w:tcPr>
            <w:tcW w:w="600" w:type="pct"/>
            <w:noWrap/>
            <w:vAlign w:val="center"/>
          </w:tcPr>
          <w:p w14:paraId="554B3170">
            <w:pPr>
              <w:pStyle w:val="94"/>
              <w:rPr>
                <w:color w:val="auto"/>
              </w:rPr>
            </w:pPr>
            <w:r>
              <w:rPr>
                <w:rFonts w:hint="eastAsia"/>
                <w:color w:val="auto"/>
              </w:rPr>
              <w:t>桔梗科</w:t>
            </w:r>
          </w:p>
        </w:tc>
        <w:tc>
          <w:tcPr>
            <w:tcW w:w="600" w:type="pct"/>
            <w:noWrap/>
            <w:vAlign w:val="center"/>
          </w:tcPr>
          <w:p w14:paraId="40B46E8E">
            <w:pPr>
              <w:pStyle w:val="94"/>
              <w:rPr>
                <w:color w:val="auto"/>
              </w:rPr>
            </w:pPr>
            <w:r>
              <w:rPr>
                <w:rFonts w:hint="eastAsia"/>
                <w:color w:val="auto"/>
              </w:rPr>
              <w:t>桔梗属</w:t>
            </w:r>
          </w:p>
        </w:tc>
        <w:tc>
          <w:tcPr>
            <w:tcW w:w="870" w:type="pct"/>
            <w:noWrap/>
            <w:vAlign w:val="center"/>
          </w:tcPr>
          <w:p w14:paraId="65020165">
            <w:pPr>
              <w:pStyle w:val="94"/>
              <w:rPr>
                <w:color w:val="auto"/>
              </w:rPr>
            </w:pPr>
            <w:r>
              <w:rPr>
                <w:rFonts w:hint="eastAsia"/>
                <w:color w:val="auto"/>
              </w:rPr>
              <w:t>桔梗</w:t>
            </w:r>
          </w:p>
        </w:tc>
        <w:tc>
          <w:tcPr>
            <w:tcW w:w="2584" w:type="pct"/>
            <w:noWrap/>
            <w:vAlign w:val="center"/>
          </w:tcPr>
          <w:p w14:paraId="18FC684B">
            <w:pPr>
              <w:pStyle w:val="94"/>
              <w:rPr>
                <w:i/>
                <w:iCs/>
                <w:color w:val="auto"/>
              </w:rPr>
            </w:pPr>
            <w:r>
              <w:rPr>
                <w:rFonts w:hint="eastAsia"/>
                <w:i/>
                <w:iCs/>
                <w:color w:val="auto"/>
              </w:rPr>
              <w:t>Platycodon grandiflorus</w:t>
            </w:r>
          </w:p>
        </w:tc>
      </w:tr>
      <w:tr w14:paraId="15548F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12B7BD1E">
            <w:pPr>
              <w:pStyle w:val="94"/>
              <w:rPr>
                <w:color w:val="auto"/>
              </w:rPr>
            </w:pPr>
            <w:r>
              <w:rPr>
                <w:rFonts w:hint="eastAsia"/>
                <w:color w:val="auto"/>
              </w:rPr>
              <w:t>16</w:t>
            </w:r>
          </w:p>
        </w:tc>
        <w:tc>
          <w:tcPr>
            <w:tcW w:w="600" w:type="pct"/>
            <w:noWrap/>
            <w:vAlign w:val="center"/>
          </w:tcPr>
          <w:p w14:paraId="2DDEF334">
            <w:pPr>
              <w:pStyle w:val="94"/>
              <w:rPr>
                <w:color w:val="auto"/>
              </w:rPr>
            </w:pPr>
            <w:r>
              <w:rPr>
                <w:rFonts w:hint="eastAsia"/>
                <w:color w:val="auto"/>
              </w:rPr>
              <w:t>菊科</w:t>
            </w:r>
          </w:p>
        </w:tc>
        <w:tc>
          <w:tcPr>
            <w:tcW w:w="600" w:type="pct"/>
            <w:noWrap/>
            <w:vAlign w:val="center"/>
          </w:tcPr>
          <w:p w14:paraId="5D24DA6B">
            <w:pPr>
              <w:pStyle w:val="94"/>
              <w:rPr>
                <w:color w:val="auto"/>
              </w:rPr>
            </w:pPr>
            <w:r>
              <w:rPr>
                <w:rFonts w:hint="eastAsia"/>
                <w:color w:val="auto"/>
              </w:rPr>
              <w:t>蒿属</w:t>
            </w:r>
          </w:p>
        </w:tc>
        <w:tc>
          <w:tcPr>
            <w:tcW w:w="870" w:type="pct"/>
            <w:noWrap/>
            <w:vAlign w:val="center"/>
          </w:tcPr>
          <w:p w14:paraId="69DC347A">
            <w:pPr>
              <w:pStyle w:val="94"/>
              <w:rPr>
                <w:color w:val="auto"/>
              </w:rPr>
            </w:pPr>
            <w:r>
              <w:rPr>
                <w:rFonts w:hint="eastAsia"/>
                <w:color w:val="auto"/>
              </w:rPr>
              <w:t>白莲蒿</w:t>
            </w:r>
          </w:p>
        </w:tc>
        <w:tc>
          <w:tcPr>
            <w:tcW w:w="2584" w:type="pct"/>
            <w:noWrap/>
            <w:vAlign w:val="center"/>
          </w:tcPr>
          <w:p w14:paraId="3FD624F5">
            <w:pPr>
              <w:pStyle w:val="94"/>
              <w:rPr>
                <w:i/>
                <w:iCs/>
                <w:color w:val="auto"/>
              </w:rPr>
            </w:pPr>
            <w:r>
              <w:rPr>
                <w:rFonts w:hint="eastAsia"/>
                <w:i/>
                <w:iCs/>
                <w:color w:val="auto"/>
              </w:rPr>
              <w:t>Artemisia gmelinii</w:t>
            </w:r>
          </w:p>
        </w:tc>
      </w:tr>
      <w:tr w14:paraId="4A0FF5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680EA920">
            <w:pPr>
              <w:pStyle w:val="94"/>
              <w:rPr>
                <w:color w:val="auto"/>
              </w:rPr>
            </w:pPr>
            <w:r>
              <w:rPr>
                <w:rFonts w:hint="eastAsia"/>
                <w:color w:val="auto"/>
              </w:rPr>
              <w:t>17</w:t>
            </w:r>
          </w:p>
        </w:tc>
        <w:tc>
          <w:tcPr>
            <w:tcW w:w="600" w:type="pct"/>
            <w:noWrap/>
            <w:vAlign w:val="center"/>
          </w:tcPr>
          <w:p w14:paraId="157B25BE">
            <w:pPr>
              <w:pStyle w:val="94"/>
              <w:rPr>
                <w:color w:val="auto"/>
              </w:rPr>
            </w:pPr>
            <w:r>
              <w:rPr>
                <w:rFonts w:hint="eastAsia"/>
                <w:color w:val="auto"/>
              </w:rPr>
              <w:t>菊科</w:t>
            </w:r>
          </w:p>
        </w:tc>
        <w:tc>
          <w:tcPr>
            <w:tcW w:w="600" w:type="pct"/>
            <w:noWrap/>
            <w:vAlign w:val="center"/>
          </w:tcPr>
          <w:p w14:paraId="306399D4">
            <w:pPr>
              <w:pStyle w:val="94"/>
              <w:rPr>
                <w:color w:val="auto"/>
              </w:rPr>
            </w:pPr>
            <w:r>
              <w:rPr>
                <w:rFonts w:hint="eastAsia"/>
                <w:color w:val="auto"/>
              </w:rPr>
              <w:t>鬼针草属</w:t>
            </w:r>
          </w:p>
        </w:tc>
        <w:tc>
          <w:tcPr>
            <w:tcW w:w="870" w:type="pct"/>
            <w:noWrap/>
            <w:vAlign w:val="center"/>
          </w:tcPr>
          <w:p w14:paraId="78112F81">
            <w:pPr>
              <w:pStyle w:val="94"/>
              <w:rPr>
                <w:color w:val="auto"/>
              </w:rPr>
            </w:pPr>
            <w:r>
              <w:rPr>
                <w:rFonts w:hint="eastAsia"/>
                <w:color w:val="auto"/>
              </w:rPr>
              <w:t>鬼针草</w:t>
            </w:r>
          </w:p>
        </w:tc>
        <w:tc>
          <w:tcPr>
            <w:tcW w:w="2584" w:type="pct"/>
            <w:noWrap/>
            <w:vAlign w:val="center"/>
          </w:tcPr>
          <w:p w14:paraId="465871BB">
            <w:pPr>
              <w:pStyle w:val="94"/>
              <w:rPr>
                <w:i/>
                <w:iCs/>
                <w:color w:val="auto"/>
              </w:rPr>
            </w:pPr>
            <w:r>
              <w:rPr>
                <w:rFonts w:hint="eastAsia"/>
                <w:i/>
                <w:iCs/>
                <w:color w:val="auto"/>
              </w:rPr>
              <w:t>Bidens pilosa</w:t>
            </w:r>
          </w:p>
        </w:tc>
      </w:tr>
      <w:tr w14:paraId="7F2691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613D2B1E">
            <w:pPr>
              <w:pStyle w:val="94"/>
              <w:rPr>
                <w:color w:val="auto"/>
              </w:rPr>
            </w:pPr>
            <w:r>
              <w:rPr>
                <w:rFonts w:hint="eastAsia"/>
                <w:color w:val="auto"/>
              </w:rPr>
              <w:t>18</w:t>
            </w:r>
          </w:p>
        </w:tc>
        <w:tc>
          <w:tcPr>
            <w:tcW w:w="600" w:type="pct"/>
            <w:noWrap/>
            <w:vAlign w:val="center"/>
          </w:tcPr>
          <w:p w14:paraId="02ABF618">
            <w:pPr>
              <w:pStyle w:val="94"/>
              <w:rPr>
                <w:color w:val="auto"/>
              </w:rPr>
            </w:pPr>
            <w:r>
              <w:rPr>
                <w:rFonts w:hint="eastAsia"/>
                <w:color w:val="auto"/>
              </w:rPr>
              <w:t>菊科</w:t>
            </w:r>
          </w:p>
        </w:tc>
        <w:tc>
          <w:tcPr>
            <w:tcW w:w="600" w:type="pct"/>
            <w:noWrap/>
            <w:vAlign w:val="center"/>
          </w:tcPr>
          <w:p w14:paraId="1A0CA22E">
            <w:pPr>
              <w:pStyle w:val="94"/>
              <w:rPr>
                <w:color w:val="auto"/>
              </w:rPr>
            </w:pPr>
            <w:r>
              <w:rPr>
                <w:rFonts w:hint="eastAsia"/>
                <w:color w:val="auto"/>
              </w:rPr>
              <w:t>菊属</w:t>
            </w:r>
          </w:p>
        </w:tc>
        <w:tc>
          <w:tcPr>
            <w:tcW w:w="870" w:type="pct"/>
            <w:noWrap/>
            <w:vAlign w:val="center"/>
          </w:tcPr>
          <w:p w14:paraId="71B67FAC">
            <w:pPr>
              <w:pStyle w:val="94"/>
              <w:rPr>
                <w:color w:val="auto"/>
              </w:rPr>
            </w:pPr>
            <w:r>
              <w:rPr>
                <w:rFonts w:hint="eastAsia"/>
                <w:color w:val="auto"/>
              </w:rPr>
              <w:t>小红菊</w:t>
            </w:r>
          </w:p>
        </w:tc>
        <w:tc>
          <w:tcPr>
            <w:tcW w:w="2584" w:type="pct"/>
            <w:noWrap/>
            <w:vAlign w:val="center"/>
          </w:tcPr>
          <w:p w14:paraId="014CECD6">
            <w:pPr>
              <w:pStyle w:val="94"/>
              <w:rPr>
                <w:i/>
                <w:iCs/>
                <w:color w:val="auto"/>
              </w:rPr>
            </w:pPr>
            <w:r>
              <w:rPr>
                <w:rFonts w:hint="eastAsia"/>
                <w:i/>
                <w:iCs/>
                <w:color w:val="auto"/>
              </w:rPr>
              <w:t>Chrysanthemum chanetii</w:t>
            </w:r>
          </w:p>
        </w:tc>
      </w:tr>
      <w:tr w14:paraId="01C556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059F3758">
            <w:pPr>
              <w:pStyle w:val="94"/>
              <w:rPr>
                <w:color w:val="auto"/>
              </w:rPr>
            </w:pPr>
            <w:r>
              <w:rPr>
                <w:rFonts w:hint="eastAsia"/>
                <w:color w:val="auto"/>
              </w:rPr>
              <w:t>19</w:t>
            </w:r>
          </w:p>
        </w:tc>
        <w:tc>
          <w:tcPr>
            <w:tcW w:w="600" w:type="pct"/>
            <w:noWrap/>
            <w:vAlign w:val="center"/>
          </w:tcPr>
          <w:p w14:paraId="481AE9FC">
            <w:pPr>
              <w:pStyle w:val="94"/>
              <w:rPr>
                <w:color w:val="auto"/>
              </w:rPr>
            </w:pPr>
            <w:r>
              <w:rPr>
                <w:rFonts w:hint="eastAsia"/>
                <w:color w:val="auto"/>
              </w:rPr>
              <w:t>菊科</w:t>
            </w:r>
          </w:p>
        </w:tc>
        <w:tc>
          <w:tcPr>
            <w:tcW w:w="600" w:type="pct"/>
            <w:noWrap/>
            <w:vAlign w:val="center"/>
          </w:tcPr>
          <w:p w14:paraId="4B8F392B">
            <w:pPr>
              <w:pStyle w:val="94"/>
              <w:rPr>
                <w:color w:val="auto"/>
              </w:rPr>
            </w:pPr>
            <w:r>
              <w:rPr>
                <w:rFonts w:hint="eastAsia"/>
                <w:color w:val="auto"/>
              </w:rPr>
              <w:t>蒿属</w:t>
            </w:r>
          </w:p>
        </w:tc>
        <w:tc>
          <w:tcPr>
            <w:tcW w:w="870" w:type="pct"/>
            <w:noWrap/>
            <w:vAlign w:val="center"/>
          </w:tcPr>
          <w:p w14:paraId="5091118B">
            <w:pPr>
              <w:pStyle w:val="94"/>
              <w:rPr>
                <w:color w:val="auto"/>
              </w:rPr>
            </w:pPr>
            <w:r>
              <w:rPr>
                <w:rFonts w:hint="eastAsia"/>
                <w:color w:val="auto"/>
              </w:rPr>
              <w:t>大籽蒿</w:t>
            </w:r>
          </w:p>
        </w:tc>
        <w:tc>
          <w:tcPr>
            <w:tcW w:w="2584" w:type="pct"/>
            <w:noWrap/>
            <w:vAlign w:val="center"/>
          </w:tcPr>
          <w:p w14:paraId="685AE30D">
            <w:pPr>
              <w:pStyle w:val="94"/>
              <w:rPr>
                <w:i/>
                <w:iCs/>
                <w:color w:val="auto"/>
              </w:rPr>
            </w:pPr>
            <w:r>
              <w:rPr>
                <w:rFonts w:hint="eastAsia"/>
                <w:i/>
                <w:iCs/>
                <w:color w:val="auto"/>
              </w:rPr>
              <w:t>Artemisia sieversiana</w:t>
            </w:r>
          </w:p>
        </w:tc>
      </w:tr>
      <w:tr w14:paraId="0068EE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0A97DC24">
            <w:pPr>
              <w:pStyle w:val="94"/>
              <w:rPr>
                <w:color w:val="auto"/>
              </w:rPr>
            </w:pPr>
            <w:r>
              <w:rPr>
                <w:rFonts w:hint="eastAsia"/>
                <w:color w:val="auto"/>
              </w:rPr>
              <w:t>20</w:t>
            </w:r>
          </w:p>
        </w:tc>
        <w:tc>
          <w:tcPr>
            <w:tcW w:w="600" w:type="pct"/>
            <w:noWrap/>
            <w:vAlign w:val="center"/>
          </w:tcPr>
          <w:p w14:paraId="7EE4F92A">
            <w:pPr>
              <w:pStyle w:val="94"/>
              <w:rPr>
                <w:color w:val="auto"/>
              </w:rPr>
            </w:pPr>
            <w:r>
              <w:rPr>
                <w:rFonts w:hint="eastAsia"/>
                <w:color w:val="auto"/>
              </w:rPr>
              <w:t>菊科</w:t>
            </w:r>
          </w:p>
        </w:tc>
        <w:tc>
          <w:tcPr>
            <w:tcW w:w="600" w:type="pct"/>
            <w:noWrap/>
            <w:vAlign w:val="center"/>
          </w:tcPr>
          <w:p w14:paraId="3137B7E9">
            <w:pPr>
              <w:pStyle w:val="94"/>
              <w:rPr>
                <w:color w:val="auto"/>
              </w:rPr>
            </w:pPr>
            <w:r>
              <w:rPr>
                <w:rFonts w:hint="eastAsia"/>
                <w:color w:val="auto"/>
              </w:rPr>
              <w:t>蒿属</w:t>
            </w:r>
          </w:p>
        </w:tc>
        <w:tc>
          <w:tcPr>
            <w:tcW w:w="870" w:type="pct"/>
            <w:noWrap/>
            <w:vAlign w:val="center"/>
          </w:tcPr>
          <w:p w14:paraId="41973358">
            <w:pPr>
              <w:pStyle w:val="94"/>
              <w:rPr>
                <w:color w:val="auto"/>
              </w:rPr>
            </w:pPr>
            <w:r>
              <w:rPr>
                <w:rFonts w:hint="eastAsia"/>
                <w:color w:val="auto"/>
              </w:rPr>
              <w:t>黄花蒿</w:t>
            </w:r>
          </w:p>
        </w:tc>
        <w:tc>
          <w:tcPr>
            <w:tcW w:w="2584" w:type="pct"/>
            <w:noWrap/>
            <w:vAlign w:val="center"/>
          </w:tcPr>
          <w:p w14:paraId="60999EAB">
            <w:pPr>
              <w:pStyle w:val="94"/>
              <w:rPr>
                <w:i/>
                <w:iCs/>
                <w:color w:val="auto"/>
              </w:rPr>
            </w:pPr>
            <w:r>
              <w:rPr>
                <w:rFonts w:hint="eastAsia"/>
                <w:i/>
                <w:iCs/>
                <w:color w:val="auto"/>
              </w:rPr>
              <w:t>Artemisia annua</w:t>
            </w:r>
          </w:p>
        </w:tc>
      </w:tr>
      <w:tr w14:paraId="704BEC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54A3982C">
            <w:pPr>
              <w:pStyle w:val="94"/>
              <w:rPr>
                <w:color w:val="auto"/>
              </w:rPr>
            </w:pPr>
            <w:r>
              <w:rPr>
                <w:rFonts w:hint="eastAsia"/>
                <w:color w:val="auto"/>
              </w:rPr>
              <w:t>21</w:t>
            </w:r>
          </w:p>
        </w:tc>
        <w:tc>
          <w:tcPr>
            <w:tcW w:w="600" w:type="pct"/>
            <w:noWrap/>
            <w:vAlign w:val="center"/>
          </w:tcPr>
          <w:p w14:paraId="2311BD29">
            <w:pPr>
              <w:pStyle w:val="94"/>
              <w:rPr>
                <w:color w:val="auto"/>
              </w:rPr>
            </w:pPr>
            <w:r>
              <w:rPr>
                <w:rFonts w:hint="eastAsia"/>
                <w:color w:val="auto"/>
              </w:rPr>
              <w:t>菊科</w:t>
            </w:r>
          </w:p>
        </w:tc>
        <w:tc>
          <w:tcPr>
            <w:tcW w:w="600" w:type="pct"/>
            <w:noWrap/>
            <w:vAlign w:val="center"/>
          </w:tcPr>
          <w:p w14:paraId="7A928257">
            <w:pPr>
              <w:pStyle w:val="94"/>
              <w:rPr>
                <w:color w:val="auto"/>
              </w:rPr>
            </w:pPr>
            <w:r>
              <w:rPr>
                <w:rFonts w:hint="eastAsia"/>
                <w:color w:val="auto"/>
              </w:rPr>
              <w:t>苦苣菜属</w:t>
            </w:r>
          </w:p>
        </w:tc>
        <w:tc>
          <w:tcPr>
            <w:tcW w:w="870" w:type="pct"/>
            <w:noWrap/>
            <w:vAlign w:val="center"/>
          </w:tcPr>
          <w:p w14:paraId="619F4980">
            <w:pPr>
              <w:pStyle w:val="94"/>
              <w:rPr>
                <w:color w:val="auto"/>
              </w:rPr>
            </w:pPr>
            <w:r>
              <w:rPr>
                <w:rFonts w:hint="eastAsia"/>
                <w:color w:val="auto"/>
              </w:rPr>
              <w:t>苦苣菜</w:t>
            </w:r>
          </w:p>
        </w:tc>
        <w:tc>
          <w:tcPr>
            <w:tcW w:w="2584" w:type="pct"/>
            <w:noWrap/>
            <w:vAlign w:val="center"/>
          </w:tcPr>
          <w:p w14:paraId="36D3A41E">
            <w:pPr>
              <w:pStyle w:val="94"/>
              <w:rPr>
                <w:i/>
                <w:iCs/>
                <w:color w:val="auto"/>
              </w:rPr>
            </w:pPr>
            <w:r>
              <w:rPr>
                <w:rFonts w:hint="eastAsia"/>
                <w:i/>
                <w:iCs/>
                <w:color w:val="auto"/>
              </w:rPr>
              <w:t>Sonchus oleraceus</w:t>
            </w:r>
          </w:p>
        </w:tc>
      </w:tr>
      <w:tr w14:paraId="65A6CE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2BCE7FF2">
            <w:pPr>
              <w:pStyle w:val="94"/>
              <w:rPr>
                <w:color w:val="auto"/>
              </w:rPr>
            </w:pPr>
            <w:r>
              <w:rPr>
                <w:rFonts w:hint="eastAsia"/>
                <w:color w:val="auto"/>
              </w:rPr>
              <w:t>22</w:t>
            </w:r>
          </w:p>
        </w:tc>
        <w:tc>
          <w:tcPr>
            <w:tcW w:w="600" w:type="pct"/>
            <w:noWrap/>
            <w:vAlign w:val="center"/>
          </w:tcPr>
          <w:p w14:paraId="2C0F3404">
            <w:pPr>
              <w:pStyle w:val="94"/>
              <w:rPr>
                <w:color w:val="auto"/>
              </w:rPr>
            </w:pPr>
            <w:r>
              <w:rPr>
                <w:rFonts w:hint="eastAsia"/>
                <w:color w:val="auto"/>
              </w:rPr>
              <w:t>菊科</w:t>
            </w:r>
          </w:p>
        </w:tc>
        <w:tc>
          <w:tcPr>
            <w:tcW w:w="600" w:type="pct"/>
            <w:noWrap/>
            <w:vAlign w:val="center"/>
          </w:tcPr>
          <w:p w14:paraId="5E4B53C5">
            <w:pPr>
              <w:pStyle w:val="94"/>
              <w:rPr>
                <w:color w:val="auto"/>
              </w:rPr>
            </w:pPr>
            <w:r>
              <w:rPr>
                <w:rFonts w:hint="eastAsia"/>
                <w:color w:val="auto"/>
              </w:rPr>
              <w:t>紫菀属</w:t>
            </w:r>
          </w:p>
        </w:tc>
        <w:tc>
          <w:tcPr>
            <w:tcW w:w="870" w:type="pct"/>
            <w:noWrap/>
            <w:vAlign w:val="center"/>
          </w:tcPr>
          <w:p w14:paraId="0AD99000">
            <w:pPr>
              <w:pStyle w:val="94"/>
              <w:rPr>
                <w:color w:val="auto"/>
              </w:rPr>
            </w:pPr>
            <w:r>
              <w:rPr>
                <w:rFonts w:hint="eastAsia"/>
                <w:color w:val="auto"/>
              </w:rPr>
              <w:t>三脉紫菀</w:t>
            </w:r>
          </w:p>
        </w:tc>
        <w:tc>
          <w:tcPr>
            <w:tcW w:w="2584" w:type="pct"/>
            <w:noWrap/>
            <w:vAlign w:val="center"/>
          </w:tcPr>
          <w:p w14:paraId="577604E6">
            <w:pPr>
              <w:pStyle w:val="94"/>
              <w:rPr>
                <w:i/>
                <w:iCs/>
                <w:color w:val="auto"/>
              </w:rPr>
            </w:pPr>
            <w:r>
              <w:rPr>
                <w:rFonts w:hint="eastAsia"/>
                <w:i/>
                <w:iCs/>
                <w:color w:val="auto"/>
              </w:rPr>
              <w:t>Aster ageratoides</w:t>
            </w:r>
          </w:p>
        </w:tc>
      </w:tr>
      <w:tr w14:paraId="4ADAF1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4B4E3596">
            <w:pPr>
              <w:pStyle w:val="94"/>
              <w:rPr>
                <w:color w:val="auto"/>
              </w:rPr>
            </w:pPr>
            <w:r>
              <w:rPr>
                <w:rFonts w:hint="eastAsia"/>
                <w:color w:val="auto"/>
              </w:rPr>
              <w:t>23</w:t>
            </w:r>
          </w:p>
        </w:tc>
        <w:tc>
          <w:tcPr>
            <w:tcW w:w="600" w:type="pct"/>
            <w:noWrap/>
            <w:vAlign w:val="center"/>
          </w:tcPr>
          <w:p w14:paraId="126A90D7">
            <w:pPr>
              <w:pStyle w:val="94"/>
              <w:rPr>
                <w:color w:val="auto"/>
              </w:rPr>
            </w:pPr>
            <w:r>
              <w:rPr>
                <w:rFonts w:hint="eastAsia"/>
                <w:color w:val="auto"/>
              </w:rPr>
              <w:t>菊科</w:t>
            </w:r>
          </w:p>
        </w:tc>
        <w:tc>
          <w:tcPr>
            <w:tcW w:w="600" w:type="pct"/>
            <w:noWrap/>
            <w:vAlign w:val="center"/>
          </w:tcPr>
          <w:p w14:paraId="1D433750">
            <w:pPr>
              <w:pStyle w:val="94"/>
              <w:rPr>
                <w:color w:val="auto"/>
              </w:rPr>
            </w:pPr>
            <w:r>
              <w:rPr>
                <w:rFonts w:hint="eastAsia"/>
                <w:color w:val="auto"/>
              </w:rPr>
              <w:t>紫菀属</w:t>
            </w:r>
          </w:p>
        </w:tc>
        <w:tc>
          <w:tcPr>
            <w:tcW w:w="870" w:type="pct"/>
            <w:noWrap/>
            <w:vAlign w:val="center"/>
          </w:tcPr>
          <w:p w14:paraId="36ADBC2C">
            <w:pPr>
              <w:pStyle w:val="94"/>
              <w:rPr>
                <w:color w:val="auto"/>
              </w:rPr>
            </w:pPr>
            <w:r>
              <w:rPr>
                <w:rFonts w:hint="eastAsia"/>
                <w:color w:val="auto"/>
              </w:rPr>
              <w:t>阿尔泰狗娃花</w:t>
            </w:r>
          </w:p>
        </w:tc>
        <w:tc>
          <w:tcPr>
            <w:tcW w:w="2584" w:type="pct"/>
            <w:noWrap/>
            <w:vAlign w:val="center"/>
          </w:tcPr>
          <w:p w14:paraId="4218C218">
            <w:pPr>
              <w:pStyle w:val="94"/>
              <w:rPr>
                <w:i/>
                <w:iCs/>
                <w:color w:val="auto"/>
              </w:rPr>
            </w:pPr>
            <w:r>
              <w:rPr>
                <w:rFonts w:hint="eastAsia"/>
                <w:i/>
                <w:iCs/>
                <w:color w:val="auto"/>
              </w:rPr>
              <w:t>Aster altaicus</w:t>
            </w:r>
          </w:p>
        </w:tc>
      </w:tr>
      <w:tr w14:paraId="538C3D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4C80F24F">
            <w:pPr>
              <w:pStyle w:val="94"/>
              <w:rPr>
                <w:color w:val="auto"/>
              </w:rPr>
            </w:pPr>
            <w:r>
              <w:rPr>
                <w:rFonts w:hint="eastAsia"/>
                <w:color w:val="auto"/>
              </w:rPr>
              <w:t>24</w:t>
            </w:r>
          </w:p>
        </w:tc>
        <w:tc>
          <w:tcPr>
            <w:tcW w:w="600" w:type="pct"/>
            <w:noWrap/>
            <w:vAlign w:val="center"/>
          </w:tcPr>
          <w:p w14:paraId="09DCA448">
            <w:pPr>
              <w:pStyle w:val="94"/>
              <w:rPr>
                <w:color w:val="auto"/>
              </w:rPr>
            </w:pPr>
            <w:r>
              <w:rPr>
                <w:rFonts w:hint="eastAsia"/>
                <w:color w:val="auto"/>
              </w:rPr>
              <w:t>菊科</w:t>
            </w:r>
          </w:p>
        </w:tc>
        <w:tc>
          <w:tcPr>
            <w:tcW w:w="600" w:type="pct"/>
            <w:noWrap/>
            <w:vAlign w:val="center"/>
          </w:tcPr>
          <w:p w14:paraId="709720FD">
            <w:pPr>
              <w:pStyle w:val="94"/>
              <w:rPr>
                <w:color w:val="auto"/>
              </w:rPr>
            </w:pPr>
            <w:r>
              <w:rPr>
                <w:rFonts w:hint="eastAsia"/>
                <w:color w:val="auto"/>
              </w:rPr>
              <w:t>蒿属</w:t>
            </w:r>
          </w:p>
        </w:tc>
        <w:tc>
          <w:tcPr>
            <w:tcW w:w="870" w:type="pct"/>
            <w:noWrap/>
            <w:vAlign w:val="center"/>
          </w:tcPr>
          <w:p w14:paraId="70D98B02">
            <w:pPr>
              <w:pStyle w:val="94"/>
              <w:rPr>
                <w:color w:val="auto"/>
              </w:rPr>
            </w:pPr>
            <w:r>
              <w:rPr>
                <w:rFonts w:hint="eastAsia"/>
                <w:color w:val="auto"/>
              </w:rPr>
              <w:t>艾</w:t>
            </w:r>
          </w:p>
        </w:tc>
        <w:tc>
          <w:tcPr>
            <w:tcW w:w="2584" w:type="pct"/>
            <w:noWrap/>
            <w:vAlign w:val="center"/>
          </w:tcPr>
          <w:p w14:paraId="64B6CABA">
            <w:pPr>
              <w:pStyle w:val="94"/>
              <w:rPr>
                <w:i/>
                <w:iCs/>
                <w:color w:val="auto"/>
              </w:rPr>
            </w:pPr>
            <w:r>
              <w:rPr>
                <w:rFonts w:hint="eastAsia"/>
                <w:i/>
                <w:iCs/>
                <w:color w:val="auto"/>
              </w:rPr>
              <w:t>Artemisia argyi</w:t>
            </w:r>
          </w:p>
        </w:tc>
      </w:tr>
      <w:tr w14:paraId="64F74B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4617A25C">
            <w:pPr>
              <w:pStyle w:val="94"/>
              <w:rPr>
                <w:color w:val="auto"/>
              </w:rPr>
            </w:pPr>
            <w:r>
              <w:rPr>
                <w:rFonts w:hint="eastAsia"/>
                <w:color w:val="auto"/>
              </w:rPr>
              <w:t>25</w:t>
            </w:r>
          </w:p>
        </w:tc>
        <w:tc>
          <w:tcPr>
            <w:tcW w:w="600" w:type="pct"/>
            <w:noWrap/>
            <w:vAlign w:val="center"/>
          </w:tcPr>
          <w:p w14:paraId="13BC8DE6">
            <w:pPr>
              <w:pStyle w:val="94"/>
              <w:rPr>
                <w:color w:val="auto"/>
              </w:rPr>
            </w:pPr>
            <w:r>
              <w:rPr>
                <w:rFonts w:hint="eastAsia"/>
                <w:color w:val="auto"/>
              </w:rPr>
              <w:t>菊科</w:t>
            </w:r>
          </w:p>
        </w:tc>
        <w:tc>
          <w:tcPr>
            <w:tcW w:w="600" w:type="pct"/>
            <w:noWrap/>
            <w:vAlign w:val="center"/>
          </w:tcPr>
          <w:p w14:paraId="439C684D">
            <w:pPr>
              <w:pStyle w:val="94"/>
              <w:rPr>
                <w:color w:val="auto"/>
              </w:rPr>
            </w:pPr>
            <w:r>
              <w:rPr>
                <w:rFonts w:hint="eastAsia"/>
                <w:color w:val="auto"/>
              </w:rPr>
              <w:t>菊属</w:t>
            </w:r>
          </w:p>
        </w:tc>
        <w:tc>
          <w:tcPr>
            <w:tcW w:w="870" w:type="pct"/>
            <w:noWrap/>
            <w:vAlign w:val="center"/>
          </w:tcPr>
          <w:p w14:paraId="625A3134">
            <w:pPr>
              <w:pStyle w:val="94"/>
              <w:rPr>
                <w:color w:val="auto"/>
              </w:rPr>
            </w:pPr>
            <w:r>
              <w:rPr>
                <w:rFonts w:hint="eastAsia"/>
                <w:color w:val="auto"/>
              </w:rPr>
              <w:t>野菊</w:t>
            </w:r>
          </w:p>
        </w:tc>
        <w:tc>
          <w:tcPr>
            <w:tcW w:w="2584" w:type="pct"/>
            <w:noWrap/>
            <w:vAlign w:val="center"/>
          </w:tcPr>
          <w:p w14:paraId="391E92EC">
            <w:pPr>
              <w:pStyle w:val="94"/>
              <w:rPr>
                <w:i/>
                <w:iCs/>
                <w:color w:val="auto"/>
              </w:rPr>
            </w:pPr>
            <w:r>
              <w:rPr>
                <w:rFonts w:hint="eastAsia"/>
                <w:i/>
                <w:iCs/>
                <w:color w:val="auto"/>
              </w:rPr>
              <w:t>Chrysanthemum indicum</w:t>
            </w:r>
          </w:p>
        </w:tc>
      </w:tr>
      <w:tr w14:paraId="14BB2D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7E112542">
            <w:pPr>
              <w:pStyle w:val="94"/>
              <w:rPr>
                <w:color w:val="auto"/>
              </w:rPr>
            </w:pPr>
            <w:r>
              <w:rPr>
                <w:rFonts w:hint="eastAsia"/>
                <w:color w:val="auto"/>
              </w:rPr>
              <w:t>26</w:t>
            </w:r>
          </w:p>
        </w:tc>
        <w:tc>
          <w:tcPr>
            <w:tcW w:w="600" w:type="pct"/>
            <w:noWrap/>
            <w:vAlign w:val="center"/>
          </w:tcPr>
          <w:p w14:paraId="72CF5613">
            <w:pPr>
              <w:pStyle w:val="94"/>
              <w:rPr>
                <w:color w:val="auto"/>
              </w:rPr>
            </w:pPr>
            <w:r>
              <w:rPr>
                <w:rFonts w:hint="eastAsia"/>
                <w:color w:val="auto"/>
              </w:rPr>
              <w:t>菊科</w:t>
            </w:r>
          </w:p>
        </w:tc>
        <w:tc>
          <w:tcPr>
            <w:tcW w:w="600" w:type="pct"/>
            <w:noWrap/>
            <w:vAlign w:val="center"/>
          </w:tcPr>
          <w:p w14:paraId="172615E9">
            <w:pPr>
              <w:pStyle w:val="94"/>
              <w:rPr>
                <w:color w:val="auto"/>
              </w:rPr>
            </w:pPr>
            <w:r>
              <w:rPr>
                <w:rFonts w:hint="eastAsia"/>
                <w:color w:val="auto"/>
              </w:rPr>
              <w:t>蒿属</w:t>
            </w:r>
          </w:p>
        </w:tc>
        <w:tc>
          <w:tcPr>
            <w:tcW w:w="870" w:type="pct"/>
            <w:noWrap/>
            <w:vAlign w:val="center"/>
          </w:tcPr>
          <w:p w14:paraId="2B233AA0">
            <w:pPr>
              <w:pStyle w:val="94"/>
              <w:rPr>
                <w:color w:val="auto"/>
              </w:rPr>
            </w:pPr>
            <w:r>
              <w:rPr>
                <w:rFonts w:hint="eastAsia"/>
                <w:color w:val="auto"/>
              </w:rPr>
              <w:t>白莲蒿</w:t>
            </w:r>
          </w:p>
        </w:tc>
        <w:tc>
          <w:tcPr>
            <w:tcW w:w="2584" w:type="pct"/>
            <w:noWrap/>
            <w:vAlign w:val="center"/>
          </w:tcPr>
          <w:p w14:paraId="018CE1B2">
            <w:pPr>
              <w:pStyle w:val="94"/>
              <w:rPr>
                <w:i/>
                <w:iCs/>
                <w:color w:val="auto"/>
              </w:rPr>
            </w:pPr>
            <w:r>
              <w:rPr>
                <w:rFonts w:hint="eastAsia"/>
                <w:i/>
                <w:iCs/>
                <w:color w:val="auto"/>
              </w:rPr>
              <w:t>Artemisia gmelinii</w:t>
            </w:r>
          </w:p>
        </w:tc>
      </w:tr>
      <w:tr w14:paraId="07E21E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6BD7E30A">
            <w:pPr>
              <w:pStyle w:val="94"/>
              <w:rPr>
                <w:color w:val="auto"/>
              </w:rPr>
            </w:pPr>
            <w:r>
              <w:rPr>
                <w:rFonts w:hint="eastAsia"/>
                <w:color w:val="auto"/>
              </w:rPr>
              <w:t>27</w:t>
            </w:r>
          </w:p>
        </w:tc>
        <w:tc>
          <w:tcPr>
            <w:tcW w:w="600" w:type="pct"/>
            <w:noWrap/>
            <w:vAlign w:val="center"/>
          </w:tcPr>
          <w:p w14:paraId="542DE15E">
            <w:pPr>
              <w:pStyle w:val="94"/>
              <w:rPr>
                <w:color w:val="auto"/>
              </w:rPr>
            </w:pPr>
            <w:r>
              <w:rPr>
                <w:rFonts w:hint="eastAsia"/>
                <w:color w:val="auto"/>
              </w:rPr>
              <w:t>菊科</w:t>
            </w:r>
          </w:p>
        </w:tc>
        <w:tc>
          <w:tcPr>
            <w:tcW w:w="600" w:type="pct"/>
            <w:noWrap/>
            <w:vAlign w:val="center"/>
          </w:tcPr>
          <w:p w14:paraId="7F2BB693">
            <w:pPr>
              <w:pStyle w:val="94"/>
              <w:rPr>
                <w:color w:val="auto"/>
              </w:rPr>
            </w:pPr>
            <w:r>
              <w:rPr>
                <w:rFonts w:hint="eastAsia"/>
                <w:color w:val="auto"/>
              </w:rPr>
              <w:t>蒿属</w:t>
            </w:r>
          </w:p>
        </w:tc>
        <w:tc>
          <w:tcPr>
            <w:tcW w:w="870" w:type="pct"/>
            <w:noWrap/>
            <w:vAlign w:val="center"/>
          </w:tcPr>
          <w:p w14:paraId="4B082707">
            <w:pPr>
              <w:pStyle w:val="94"/>
              <w:rPr>
                <w:color w:val="auto"/>
              </w:rPr>
            </w:pPr>
            <w:r>
              <w:rPr>
                <w:rFonts w:hint="eastAsia"/>
                <w:color w:val="auto"/>
              </w:rPr>
              <w:t>华北米蒿</w:t>
            </w:r>
          </w:p>
        </w:tc>
        <w:tc>
          <w:tcPr>
            <w:tcW w:w="2584" w:type="pct"/>
            <w:noWrap/>
            <w:vAlign w:val="center"/>
          </w:tcPr>
          <w:p w14:paraId="12CE1AAD">
            <w:pPr>
              <w:pStyle w:val="94"/>
              <w:rPr>
                <w:i/>
                <w:iCs/>
                <w:color w:val="auto"/>
              </w:rPr>
            </w:pPr>
            <w:r>
              <w:rPr>
                <w:rFonts w:hint="eastAsia"/>
                <w:i/>
                <w:iCs/>
                <w:color w:val="auto"/>
              </w:rPr>
              <w:t>Artemisia giraldii</w:t>
            </w:r>
          </w:p>
        </w:tc>
      </w:tr>
      <w:tr w14:paraId="3ACC9A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08AED744">
            <w:pPr>
              <w:pStyle w:val="94"/>
              <w:rPr>
                <w:color w:val="auto"/>
              </w:rPr>
            </w:pPr>
            <w:r>
              <w:rPr>
                <w:rFonts w:hint="eastAsia"/>
                <w:color w:val="auto"/>
              </w:rPr>
              <w:t>28</w:t>
            </w:r>
          </w:p>
        </w:tc>
        <w:tc>
          <w:tcPr>
            <w:tcW w:w="600" w:type="pct"/>
            <w:noWrap/>
            <w:vAlign w:val="center"/>
          </w:tcPr>
          <w:p w14:paraId="3684FBA8">
            <w:pPr>
              <w:pStyle w:val="94"/>
              <w:rPr>
                <w:color w:val="auto"/>
              </w:rPr>
            </w:pPr>
            <w:r>
              <w:rPr>
                <w:rFonts w:hint="eastAsia"/>
                <w:color w:val="auto"/>
              </w:rPr>
              <w:t>菊科</w:t>
            </w:r>
          </w:p>
        </w:tc>
        <w:tc>
          <w:tcPr>
            <w:tcW w:w="600" w:type="pct"/>
            <w:noWrap/>
            <w:vAlign w:val="center"/>
          </w:tcPr>
          <w:p w14:paraId="26B73F77">
            <w:pPr>
              <w:pStyle w:val="94"/>
              <w:rPr>
                <w:color w:val="auto"/>
              </w:rPr>
            </w:pPr>
            <w:r>
              <w:rPr>
                <w:rFonts w:hint="eastAsia"/>
                <w:color w:val="auto"/>
              </w:rPr>
              <w:t>蓟属</w:t>
            </w:r>
          </w:p>
        </w:tc>
        <w:tc>
          <w:tcPr>
            <w:tcW w:w="870" w:type="pct"/>
            <w:noWrap/>
            <w:vAlign w:val="center"/>
          </w:tcPr>
          <w:p w14:paraId="5F0A6D21">
            <w:pPr>
              <w:pStyle w:val="94"/>
              <w:rPr>
                <w:color w:val="auto"/>
              </w:rPr>
            </w:pPr>
            <w:r>
              <w:rPr>
                <w:rFonts w:hint="eastAsia"/>
                <w:color w:val="auto"/>
              </w:rPr>
              <w:t>刺儿菜</w:t>
            </w:r>
          </w:p>
        </w:tc>
        <w:tc>
          <w:tcPr>
            <w:tcW w:w="2584" w:type="pct"/>
            <w:noWrap/>
            <w:vAlign w:val="center"/>
          </w:tcPr>
          <w:p w14:paraId="2E096DF8">
            <w:pPr>
              <w:pStyle w:val="94"/>
              <w:rPr>
                <w:i/>
                <w:iCs/>
                <w:color w:val="auto"/>
              </w:rPr>
            </w:pPr>
            <w:r>
              <w:rPr>
                <w:rFonts w:hint="eastAsia"/>
                <w:i/>
                <w:iCs/>
                <w:color w:val="auto"/>
              </w:rPr>
              <w:t>Cirsium arvense var. integrifolium</w:t>
            </w:r>
          </w:p>
        </w:tc>
      </w:tr>
      <w:tr w14:paraId="2A4B47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565FB1FD">
            <w:pPr>
              <w:pStyle w:val="94"/>
              <w:rPr>
                <w:color w:val="auto"/>
              </w:rPr>
            </w:pPr>
            <w:r>
              <w:rPr>
                <w:rFonts w:hint="eastAsia"/>
                <w:color w:val="auto"/>
              </w:rPr>
              <w:t>29</w:t>
            </w:r>
          </w:p>
        </w:tc>
        <w:tc>
          <w:tcPr>
            <w:tcW w:w="600" w:type="pct"/>
            <w:noWrap/>
            <w:vAlign w:val="center"/>
          </w:tcPr>
          <w:p w14:paraId="303C0C7B">
            <w:pPr>
              <w:pStyle w:val="94"/>
              <w:rPr>
                <w:color w:val="auto"/>
              </w:rPr>
            </w:pPr>
            <w:r>
              <w:rPr>
                <w:rFonts w:hint="eastAsia"/>
                <w:color w:val="auto"/>
              </w:rPr>
              <w:t>菊科</w:t>
            </w:r>
          </w:p>
        </w:tc>
        <w:tc>
          <w:tcPr>
            <w:tcW w:w="600" w:type="pct"/>
            <w:noWrap/>
            <w:vAlign w:val="center"/>
          </w:tcPr>
          <w:p w14:paraId="0AB78ECC">
            <w:pPr>
              <w:pStyle w:val="94"/>
              <w:rPr>
                <w:color w:val="auto"/>
              </w:rPr>
            </w:pPr>
            <w:r>
              <w:rPr>
                <w:rFonts w:hint="eastAsia"/>
                <w:color w:val="auto"/>
              </w:rPr>
              <w:t>蒲公英属</w:t>
            </w:r>
          </w:p>
        </w:tc>
        <w:tc>
          <w:tcPr>
            <w:tcW w:w="870" w:type="pct"/>
            <w:noWrap/>
            <w:vAlign w:val="center"/>
          </w:tcPr>
          <w:p w14:paraId="3EEDDFDB">
            <w:pPr>
              <w:pStyle w:val="94"/>
              <w:rPr>
                <w:color w:val="auto"/>
              </w:rPr>
            </w:pPr>
            <w:r>
              <w:rPr>
                <w:rFonts w:hint="eastAsia"/>
                <w:color w:val="auto"/>
              </w:rPr>
              <w:t>蒲公英</w:t>
            </w:r>
          </w:p>
        </w:tc>
        <w:tc>
          <w:tcPr>
            <w:tcW w:w="2584" w:type="pct"/>
            <w:noWrap/>
            <w:vAlign w:val="center"/>
          </w:tcPr>
          <w:p w14:paraId="46B1B3CB">
            <w:pPr>
              <w:pStyle w:val="94"/>
              <w:rPr>
                <w:i/>
                <w:iCs/>
                <w:color w:val="auto"/>
              </w:rPr>
            </w:pPr>
            <w:r>
              <w:rPr>
                <w:rFonts w:hint="eastAsia"/>
                <w:i/>
                <w:iCs/>
                <w:color w:val="auto"/>
              </w:rPr>
              <w:t>Taraxacum mongolicum</w:t>
            </w:r>
          </w:p>
        </w:tc>
      </w:tr>
      <w:tr w14:paraId="0F0402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24FF9117">
            <w:pPr>
              <w:pStyle w:val="94"/>
              <w:rPr>
                <w:color w:val="auto"/>
              </w:rPr>
            </w:pPr>
            <w:r>
              <w:rPr>
                <w:rFonts w:hint="eastAsia"/>
                <w:color w:val="auto"/>
              </w:rPr>
              <w:t>30</w:t>
            </w:r>
          </w:p>
        </w:tc>
        <w:tc>
          <w:tcPr>
            <w:tcW w:w="600" w:type="pct"/>
            <w:noWrap/>
            <w:vAlign w:val="center"/>
          </w:tcPr>
          <w:p w14:paraId="7B6DE230">
            <w:pPr>
              <w:pStyle w:val="94"/>
              <w:rPr>
                <w:color w:val="auto"/>
              </w:rPr>
            </w:pPr>
            <w:r>
              <w:rPr>
                <w:rFonts w:hint="eastAsia"/>
                <w:color w:val="auto"/>
              </w:rPr>
              <w:t>菊科</w:t>
            </w:r>
          </w:p>
        </w:tc>
        <w:tc>
          <w:tcPr>
            <w:tcW w:w="600" w:type="pct"/>
            <w:noWrap/>
            <w:vAlign w:val="center"/>
          </w:tcPr>
          <w:p w14:paraId="418B4C8A">
            <w:pPr>
              <w:pStyle w:val="94"/>
              <w:rPr>
                <w:color w:val="auto"/>
              </w:rPr>
            </w:pPr>
            <w:r>
              <w:rPr>
                <w:rFonts w:hint="eastAsia"/>
                <w:color w:val="auto"/>
              </w:rPr>
              <w:t>蒿属</w:t>
            </w:r>
          </w:p>
        </w:tc>
        <w:tc>
          <w:tcPr>
            <w:tcW w:w="870" w:type="pct"/>
            <w:noWrap/>
            <w:vAlign w:val="center"/>
          </w:tcPr>
          <w:p w14:paraId="180422C7">
            <w:pPr>
              <w:pStyle w:val="94"/>
              <w:rPr>
                <w:color w:val="auto"/>
              </w:rPr>
            </w:pPr>
            <w:r>
              <w:rPr>
                <w:rFonts w:hint="eastAsia"/>
                <w:color w:val="auto"/>
              </w:rPr>
              <w:t>茵陈蒿</w:t>
            </w:r>
          </w:p>
        </w:tc>
        <w:tc>
          <w:tcPr>
            <w:tcW w:w="2584" w:type="pct"/>
            <w:noWrap/>
            <w:vAlign w:val="center"/>
          </w:tcPr>
          <w:p w14:paraId="71B6DB32">
            <w:pPr>
              <w:pStyle w:val="94"/>
              <w:rPr>
                <w:i/>
                <w:iCs/>
                <w:color w:val="auto"/>
              </w:rPr>
            </w:pPr>
            <w:r>
              <w:rPr>
                <w:rFonts w:hint="eastAsia"/>
                <w:i/>
                <w:iCs/>
                <w:color w:val="auto"/>
              </w:rPr>
              <w:t>Artemisia capillaris</w:t>
            </w:r>
          </w:p>
        </w:tc>
      </w:tr>
      <w:tr w14:paraId="722862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27D2744C">
            <w:pPr>
              <w:pStyle w:val="94"/>
              <w:rPr>
                <w:color w:val="auto"/>
              </w:rPr>
            </w:pPr>
            <w:r>
              <w:rPr>
                <w:rFonts w:hint="eastAsia"/>
                <w:color w:val="auto"/>
              </w:rPr>
              <w:t>31</w:t>
            </w:r>
          </w:p>
        </w:tc>
        <w:tc>
          <w:tcPr>
            <w:tcW w:w="600" w:type="pct"/>
            <w:noWrap/>
            <w:vAlign w:val="center"/>
          </w:tcPr>
          <w:p w14:paraId="4FC445F3">
            <w:pPr>
              <w:pStyle w:val="94"/>
              <w:rPr>
                <w:color w:val="auto"/>
              </w:rPr>
            </w:pPr>
            <w:r>
              <w:rPr>
                <w:rFonts w:hint="eastAsia"/>
                <w:color w:val="auto"/>
              </w:rPr>
              <w:t>列当科</w:t>
            </w:r>
          </w:p>
        </w:tc>
        <w:tc>
          <w:tcPr>
            <w:tcW w:w="600" w:type="pct"/>
            <w:noWrap/>
            <w:vAlign w:val="center"/>
          </w:tcPr>
          <w:p w14:paraId="37BC59EA">
            <w:pPr>
              <w:pStyle w:val="94"/>
              <w:rPr>
                <w:color w:val="auto"/>
              </w:rPr>
            </w:pPr>
            <w:r>
              <w:rPr>
                <w:rFonts w:hint="eastAsia"/>
                <w:color w:val="auto"/>
              </w:rPr>
              <w:t>地黄属</w:t>
            </w:r>
          </w:p>
        </w:tc>
        <w:tc>
          <w:tcPr>
            <w:tcW w:w="870" w:type="pct"/>
            <w:noWrap/>
            <w:vAlign w:val="center"/>
          </w:tcPr>
          <w:p w14:paraId="4FD2294B">
            <w:pPr>
              <w:pStyle w:val="94"/>
              <w:rPr>
                <w:color w:val="auto"/>
              </w:rPr>
            </w:pPr>
            <w:r>
              <w:rPr>
                <w:rFonts w:hint="eastAsia"/>
                <w:color w:val="auto"/>
              </w:rPr>
              <w:t>地黄</w:t>
            </w:r>
          </w:p>
        </w:tc>
        <w:tc>
          <w:tcPr>
            <w:tcW w:w="2584" w:type="pct"/>
            <w:noWrap/>
            <w:vAlign w:val="center"/>
          </w:tcPr>
          <w:p w14:paraId="4C87006E">
            <w:pPr>
              <w:pStyle w:val="94"/>
              <w:rPr>
                <w:i/>
                <w:iCs/>
                <w:color w:val="auto"/>
              </w:rPr>
            </w:pPr>
            <w:r>
              <w:rPr>
                <w:rFonts w:hint="eastAsia"/>
                <w:i/>
                <w:iCs/>
                <w:color w:val="auto"/>
              </w:rPr>
              <w:t>Rehmannia glutinosa</w:t>
            </w:r>
          </w:p>
        </w:tc>
      </w:tr>
      <w:tr w14:paraId="61FBAA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124AB5CF">
            <w:pPr>
              <w:pStyle w:val="94"/>
              <w:rPr>
                <w:color w:val="auto"/>
              </w:rPr>
            </w:pPr>
            <w:r>
              <w:rPr>
                <w:rFonts w:hint="eastAsia"/>
                <w:color w:val="auto"/>
              </w:rPr>
              <w:t>32</w:t>
            </w:r>
          </w:p>
        </w:tc>
        <w:tc>
          <w:tcPr>
            <w:tcW w:w="600" w:type="pct"/>
            <w:noWrap/>
            <w:vAlign w:val="center"/>
          </w:tcPr>
          <w:p w14:paraId="572D83DD">
            <w:pPr>
              <w:pStyle w:val="94"/>
              <w:rPr>
                <w:color w:val="auto"/>
              </w:rPr>
            </w:pPr>
            <w:r>
              <w:rPr>
                <w:rFonts w:hint="eastAsia"/>
                <w:color w:val="auto"/>
              </w:rPr>
              <w:t>葡萄科</w:t>
            </w:r>
          </w:p>
        </w:tc>
        <w:tc>
          <w:tcPr>
            <w:tcW w:w="600" w:type="pct"/>
            <w:noWrap/>
            <w:vAlign w:val="center"/>
          </w:tcPr>
          <w:p w14:paraId="0828A1EF">
            <w:pPr>
              <w:pStyle w:val="94"/>
              <w:rPr>
                <w:color w:val="auto"/>
              </w:rPr>
            </w:pPr>
            <w:r>
              <w:rPr>
                <w:rFonts w:hint="eastAsia"/>
                <w:color w:val="auto"/>
              </w:rPr>
              <w:t>蛇葡萄属</w:t>
            </w:r>
          </w:p>
        </w:tc>
        <w:tc>
          <w:tcPr>
            <w:tcW w:w="870" w:type="pct"/>
            <w:noWrap/>
            <w:vAlign w:val="center"/>
          </w:tcPr>
          <w:p w14:paraId="19D90FD7">
            <w:pPr>
              <w:pStyle w:val="94"/>
              <w:rPr>
                <w:color w:val="auto"/>
              </w:rPr>
            </w:pPr>
            <w:r>
              <w:rPr>
                <w:rFonts w:hint="eastAsia"/>
                <w:color w:val="auto"/>
              </w:rPr>
              <w:t>乌头叶蛇葡萄</w:t>
            </w:r>
          </w:p>
        </w:tc>
        <w:tc>
          <w:tcPr>
            <w:tcW w:w="2584" w:type="pct"/>
            <w:noWrap/>
            <w:vAlign w:val="center"/>
          </w:tcPr>
          <w:p w14:paraId="37415F8E">
            <w:pPr>
              <w:pStyle w:val="94"/>
              <w:rPr>
                <w:i/>
                <w:iCs/>
                <w:color w:val="auto"/>
              </w:rPr>
            </w:pPr>
            <w:r>
              <w:rPr>
                <w:rFonts w:hint="eastAsia"/>
                <w:i/>
                <w:iCs/>
                <w:color w:val="auto"/>
              </w:rPr>
              <w:t>Ampelopsis aconitifolia</w:t>
            </w:r>
          </w:p>
        </w:tc>
      </w:tr>
      <w:tr w14:paraId="05CB92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0EBA3172">
            <w:pPr>
              <w:pStyle w:val="94"/>
              <w:rPr>
                <w:color w:val="auto"/>
              </w:rPr>
            </w:pPr>
            <w:r>
              <w:rPr>
                <w:rFonts w:hint="eastAsia"/>
                <w:color w:val="auto"/>
              </w:rPr>
              <w:t>33</w:t>
            </w:r>
          </w:p>
        </w:tc>
        <w:tc>
          <w:tcPr>
            <w:tcW w:w="600" w:type="pct"/>
            <w:noWrap/>
            <w:vAlign w:val="center"/>
          </w:tcPr>
          <w:p w14:paraId="18078F26">
            <w:pPr>
              <w:pStyle w:val="94"/>
              <w:rPr>
                <w:color w:val="auto"/>
              </w:rPr>
            </w:pPr>
            <w:r>
              <w:rPr>
                <w:rFonts w:hint="eastAsia"/>
                <w:color w:val="auto"/>
              </w:rPr>
              <w:t>茜草科</w:t>
            </w:r>
          </w:p>
        </w:tc>
        <w:tc>
          <w:tcPr>
            <w:tcW w:w="600" w:type="pct"/>
            <w:noWrap/>
            <w:vAlign w:val="center"/>
          </w:tcPr>
          <w:p w14:paraId="750B6923">
            <w:pPr>
              <w:pStyle w:val="94"/>
              <w:rPr>
                <w:color w:val="auto"/>
              </w:rPr>
            </w:pPr>
            <w:r>
              <w:rPr>
                <w:rFonts w:hint="eastAsia"/>
                <w:color w:val="auto"/>
              </w:rPr>
              <w:t>拉拉藤属</w:t>
            </w:r>
          </w:p>
        </w:tc>
        <w:tc>
          <w:tcPr>
            <w:tcW w:w="870" w:type="pct"/>
            <w:noWrap/>
            <w:vAlign w:val="center"/>
          </w:tcPr>
          <w:p w14:paraId="51CD56BB">
            <w:pPr>
              <w:pStyle w:val="94"/>
              <w:rPr>
                <w:color w:val="auto"/>
              </w:rPr>
            </w:pPr>
            <w:r>
              <w:rPr>
                <w:rFonts w:hint="eastAsia"/>
                <w:color w:val="auto"/>
              </w:rPr>
              <w:t>车轴草</w:t>
            </w:r>
          </w:p>
        </w:tc>
        <w:tc>
          <w:tcPr>
            <w:tcW w:w="2584" w:type="pct"/>
            <w:noWrap/>
            <w:vAlign w:val="center"/>
          </w:tcPr>
          <w:p w14:paraId="4D8516E1">
            <w:pPr>
              <w:pStyle w:val="94"/>
              <w:rPr>
                <w:i/>
                <w:iCs/>
                <w:color w:val="auto"/>
              </w:rPr>
            </w:pPr>
            <w:r>
              <w:rPr>
                <w:rFonts w:hint="eastAsia"/>
                <w:i/>
                <w:iCs/>
                <w:color w:val="auto"/>
              </w:rPr>
              <w:t>Galium odoratum</w:t>
            </w:r>
          </w:p>
        </w:tc>
      </w:tr>
      <w:tr w14:paraId="57AFFD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6DC00D64">
            <w:pPr>
              <w:pStyle w:val="94"/>
              <w:rPr>
                <w:color w:val="auto"/>
              </w:rPr>
            </w:pPr>
            <w:r>
              <w:rPr>
                <w:rFonts w:hint="eastAsia"/>
                <w:color w:val="auto"/>
              </w:rPr>
              <w:t>34</w:t>
            </w:r>
          </w:p>
        </w:tc>
        <w:tc>
          <w:tcPr>
            <w:tcW w:w="600" w:type="pct"/>
            <w:noWrap/>
            <w:vAlign w:val="center"/>
          </w:tcPr>
          <w:p w14:paraId="7BCEADCF">
            <w:pPr>
              <w:pStyle w:val="94"/>
              <w:rPr>
                <w:color w:val="auto"/>
              </w:rPr>
            </w:pPr>
            <w:r>
              <w:rPr>
                <w:rFonts w:hint="eastAsia"/>
                <w:color w:val="auto"/>
              </w:rPr>
              <w:t>蔷薇科</w:t>
            </w:r>
          </w:p>
        </w:tc>
        <w:tc>
          <w:tcPr>
            <w:tcW w:w="600" w:type="pct"/>
            <w:noWrap/>
            <w:vAlign w:val="center"/>
          </w:tcPr>
          <w:p w14:paraId="42EEE166">
            <w:pPr>
              <w:pStyle w:val="94"/>
              <w:rPr>
                <w:color w:val="auto"/>
              </w:rPr>
            </w:pPr>
            <w:r>
              <w:rPr>
                <w:rFonts w:hint="eastAsia"/>
                <w:color w:val="auto"/>
              </w:rPr>
              <w:t>蔷薇属</w:t>
            </w:r>
          </w:p>
        </w:tc>
        <w:tc>
          <w:tcPr>
            <w:tcW w:w="870" w:type="pct"/>
            <w:noWrap/>
            <w:vAlign w:val="center"/>
          </w:tcPr>
          <w:p w14:paraId="6149E1FD">
            <w:pPr>
              <w:pStyle w:val="94"/>
              <w:rPr>
                <w:color w:val="auto"/>
              </w:rPr>
            </w:pPr>
            <w:r>
              <w:rPr>
                <w:rFonts w:hint="eastAsia"/>
                <w:color w:val="auto"/>
              </w:rPr>
              <w:t>黄刺玫</w:t>
            </w:r>
          </w:p>
        </w:tc>
        <w:tc>
          <w:tcPr>
            <w:tcW w:w="2584" w:type="pct"/>
            <w:noWrap/>
            <w:vAlign w:val="center"/>
          </w:tcPr>
          <w:p w14:paraId="6A6FA23D">
            <w:pPr>
              <w:pStyle w:val="94"/>
              <w:rPr>
                <w:i/>
                <w:iCs/>
                <w:color w:val="auto"/>
              </w:rPr>
            </w:pPr>
            <w:r>
              <w:rPr>
                <w:rFonts w:hint="eastAsia"/>
                <w:i/>
                <w:iCs/>
                <w:color w:val="auto"/>
              </w:rPr>
              <w:t>Rosa xanthina</w:t>
            </w:r>
          </w:p>
        </w:tc>
      </w:tr>
      <w:tr w14:paraId="2E32CD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15A148C1">
            <w:pPr>
              <w:pStyle w:val="94"/>
              <w:rPr>
                <w:color w:val="auto"/>
              </w:rPr>
            </w:pPr>
            <w:r>
              <w:rPr>
                <w:rFonts w:hint="eastAsia"/>
                <w:color w:val="auto"/>
              </w:rPr>
              <w:t>35</w:t>
            </w:r>
          </w:p>
        </w:tc>
        <w:tc>
          <w:tcPr>
            <w:tcW w:w="600" w:type="pct"/>
            <w:noWrap/>
            <w:vAlign w:val="center"/>
          </w:tcPr>
          <w:p w14:paraId="6770C9FC">
            <w:pPr>
              <w:pStyle w:val="94"/>
              <w:rPr>
                <w:color w:val="auto"/>
              </w:rPr>
            </w:pPr>
            <w:r>
              <w:rPr>
                <w:rFonts w:hint="eastAsia"/>
                <w:color w:val="auto"/>
              </w:rPr>
              <w:t>蔷薇科</w:t>
            </w:r>
          </w:p>
        </w:tc>
        <w:tc>
          <w:tcPr>
            <w:tcW w:w="600" w:type="pct"/>
            <w:noWrap/>
            <w:vAlign w:val="center"/>
          </w:tcPr>
          <w:p w14:paraId="6D01B963">
            <w:pPr>
              <w:pStyle w:val="94"/>
              <w:rPr>
                <w:color w:val="auto"/>
              </w:rPr>
            </w:pPr>
            <w:r>
              <w:rPr>
                <w:rFonts w:hint="eastAsia"/>
                <w:color w:val="auto"/>
              </w:rPr>
              <w:t>委陵菜属</w:t>
            </w:r>
          </w:p>
        </w:tc>
        <w:tc>
          <w:tcPr>
            <w:tcW w:w="870" w:type="pct"/>
            <w:noWrap/>
            <w:vAlign w:val="center"/>
          </w:tcPr>
          <w:p w14:paraId="7631F9EE">
            <w:pPr>
              <w:pStyle w:val="94"/>
              <w:rPr>
                <w:color w:val="auto"/>
              </w:rPr>
            </w:pPr>
            <w:r>
              <w:rPr>
                <w:rFonts w:hint="eastAsia"/>
                <w:color w:val="auto"/>
              </w:rPr>
              <w:t>委陵菜</w:t>
            </w:r>
          </w:p>
        </w:tc>
        <w:tc>
          <w:tcPr>
            <w:tcW w:w="2584" w:type="pct"/>
            <w:noWrap/>
            <w:vAlign w:val="center"/>
          </w:tcPr>
          <w:p w14:paraId="764E201C">
            <w:pPr>
              <w:pStyle w:val="94"/>
              <w:rPr>
                <w:i/>
                <w:iCs/>
                <w:color w:val="auto"/>
              </w:rPr>
            </w:pPr>
            <w:r>
              <w:rPr>
                <w:rFonts w:hint="eastAsia"/>
                <w:i/>
                <w:iCs/>
                <w:color w:val="auto"/>
              </w:rPr>
              <w:t>Potentilla chinensis</w:t>
            </w:r>
          </w:p>
        </w:tc>
      </w:tr>
      <w:tr w14:paraId="3EFD0C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6E0B46A3">
            <w:pPr>
              <w:pStyle w:val="94"/>
              <w:rPr>
                <w:color w:val="auto"/>
              </w:rPr>
            </w:pPr>
            <w:r>
              <w:rPr>
                <w:rFonts w:hint="eastAsia"/>
                <w:color w:val="auto"/>
              </w:rPr>
              <w:t>36</w:t>
            </w:r>
          </w:p>
        </w:tc>
        <w:tc>
          <w:tcPr>
            <w:tcW w:w="600" w:type="pct"/>
            <w:noWrap/>
            <w:vAlign w:val="center"/>
          </w:tcPr>
          <w:p w14:paraId="41A1D4E6">
            <w:pPr>
              <w:pStyle w:val="94"/>
              <w:rPr>
                <w:color w:val="auto"/>
              </w:rPr>
            </w:pPr>
            <w:r>
              <w:rPr>
                <w:rFonts w:hint="eastAsia"/>
                <w:color w:val="auto"/>
              </w:rPr>
              <w:t>莎草科</w:t>
            </w:r>
          </w:p>
        </w:tc>
        <w:tc>
          <w:tcPr>
            <w:tcW w:w="600" w:type="pct"/>
            <w:noWrap/>
            <w:vAlign w:val="center"/>
          </w:tcPr>
          <w:p w14:paraId="787154CB">
            <w:pPr>
              <w:pStyle w:val="94"/>
              <w:rPr>
                <w:color w:val="auto"/>
              </w:rPr>
            </w:pPr>
            <w:r>
              <w:rPr>
                <w:rFonts w:hint="eastAsia"/>
                <w:color w:val="auto"/>
              </w:rPr>
              <w:t>薹草属</w:t>
            </w:r>
          </w:p>
        </w:tc>
        <w:tc>
          <w:tcPr>
            <w:tcW w:w="870" w:type="pct"/>
            <w:noWrap/>
            <w:vAlign w:val="center"/>
          </w:tcPr>
          <w:p w14:paraId="2ECED666">
            <w:pPr>
              <w:pStyle w:val="94"/>
              <w:rPr>
                <w:color w:val="auto"/>
              </w:rPr>
            </w:pPr>
            <w:r>
              <w:rPr>
                <w:rFonts w:hint="eastAsia"/>
                <w:color w:val="auto"/>
              </w:rPr>
              <w:t>披针薹草</w:t>
            </w:r>
          </w:p>
        </w:tc>
        <w:tc>
          <w:tcPr>
            <w:tcW w:w="2584" w:type="pct"/>
            <w:noWrap/>
            <w:vAlign w:val="center"/>
          </w:tcPr>
          <w:p w14:paraId="5003DB33">
            <w:pPr>
              <w:pStyle w:val="94"/>
              <w:rPr>
                <w:i/>
                <w:iCs/>
                <w:color w:val="auto"/>
              </w:rPr>
            </w:pPr>
            <w:r>
              <w:rPr>
                <w:rFonts w:hint="eastAsia"/>
                <w:i/>
                <w:iCs/>
                <w:color w:val="auto"/>
              </w:rPr>
              <w:t>Carex lancifolia</w:t>
            </w:r>
          </w:p>
        </w:tc>
      </w:tr>
      <w:tr w14:paraId="7380F5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0CDCC1FD">
            <w:pPr>
              <w:pStyle w:val="94"/>
              <w:rPr>
                <w:color w:val="auto"/>
              </w:rPr>
            </w:pPr>
            <w:r>
              <w:rPr>
                <w:rFonts w:hint="eastAsia"/>
                <w:color w:val="auto"/>
              </w:rPr>
              <w:t>37</w:t>
            </w:r>
          </w:p>
        </w:tc>
        <w:tc>
          <w:tcPr>
            <w:tcW w:w="600" w:type="pct"/>
            <w:noWrap/>
            <w:vAlign w:val="center"/>
          </w:tcPr>
          <w:p w14:paraId="0C0AB8AB">
            <w:pPr>
              <w:pStyle w:val="94"/>
              <w:rPr>
                <w:color w:val="auto"/>
              </w:rPr>
            </w:pPr>
            <w:r>
              <w:rPr>
                <w:rFonts w:hint="eastAsia"/>
                <w:color w:val="auto"/>
              </w:rPr>
              <w:t>小檗科</w:t>
            </w:r>
          </w:p>
        </w:tc>
        <w:tc>
          <w:tcPr>
            <w:tcW w:w="600" w:type="pct"/>
            <w:noWrap/>
            <w:vAlign w:val="center"/>
          </w:tcPr>
          <w:p w14:paraId="125B1C9D">
            <w:pPr>
              <w:pStyle w:val="94"/>
              <w:rPr>
                <w:color w:val="auto"/>
              </w:rPr>
            </w:pPr>
            <w:r>
              <w:rPr>
                <w:rFonts w:hint="eastAsia"/>
                <w:color w:val="auto"/>
              </w:rPr>
              <w:t>小檗属</w:t>
            </w:r>
          </w:p>
        </w:tc>
        <w:tc>
          <w:tcPr>
            <w:tcW w:w="870" w:type="pct"/>
            <w:noWrap/>
            <w:vAlign w:val="center"/>
          </w:tcPr>
          <w:p w14:paraId="4C65781E">
            <w:pPr>
              <w:pStyle w:val="94"/>
              <w:rPr>
                <w:color w:val="auto"/>
              </w:rPr>
            </w:pPr>
            <w:r>
              <w:rPr>
                <w:rFonts w:hint="eastAsia"/>
                <w:color w:val="auto"/>
              </w:rPr>
              <w:t>细叶小檗</w:t>
            </w:r>
          </w:p>
        </w:tc>
        <w:tc>
          <w:tcPr>
            <w:tcW w:w="2584" w:type="pct"/>
            <w:noWrap/>
            <w:vAlign w:val="center"/>
          </w:tcPr>
          <w:p w14:paraId="6BBE02DE">
            <w:pPr>
              <w:pStyle w:val="94"/>
              <w:rPr>
                <w:i/>
                <w:iCs/>
                <w:color w:val="auto"/>
              </w:rPr>
            </w:pPr>
            <w:r>
              <w:rPr>
                <w:rFonts w:hint="eastAsia"/>
                <w:i/>
                <w:iCs/>
                <w:color w:val="auto"/>
              </w:rPr>
              <w:t>Berberis poiretii</w:t>
            </w:r>
          </w:p>
        </w:tc>
      </w:tr>
      <w:tr w14:paraId="6CC46E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354533CF">
            <w:pPr>
              <w:pStyle w:val="94"/>
              <w:rPr>
                <w:color w:val="auto"/>
              </w:rPr>
            </w:pPr>
            <w:r>
              <w:rPr>
                <w:rFonts w:hint="eastAsia"/>
                <w:color w:val="auto"/>
              </w:rPr>
              <w:t>38</w:t>
            </w:r>
          </w:p>
        </w:tc>
        <w:tc>
          <w:tcPr>
            <w:tcW w:w="600" w:type="pct"/>
            <w:noWrap/>
            <w:vAlign w:val="center"/>
          </w:tcPr>
          <w:p w14:paraId="3AE16870">
            <w:pPr>
              <w:pStyle w:val="94"/>
              <w:rPr>
                <w:color w:val="auto"/>
              </w:rPr>
            </w:pPr>
            <w:r>
              <w:rPr>
                <w:rFonts w:hint="eastAsia"/>
                <w:color w:val="auto"/>
              </w:rPr>
              <w:t>小檗科</w:t>
            </w:r>
          </w:p>
        </w:tc>
        <w:tc>
          <w:tcPr>
            <w:tcW w:w="600" w:type="pct"/>
            <w:noWrap/>
            <w:vAlign w:val="center"/>
          </w:tcPr>
          <w:p w14:paraId="74705B2A">
            <w:pPr>
              <w:pStyle w:val="94"/>
              <w:rPr>
                <w:color w:val="auto"/>
              </w:rPr>
            </w:pPr>
            <w:r>
              <w:rPr>
                <w:rFonts w:hint="eastAsia"/>
                <w:color w:val="auto"/>
              </w:rPr>
              <w:t>小檗属</w:t>
            </w:r>
          </w:p>
        </w:tc>
        <w:tc>
          <w:tcPr>
            <w:tcW w:w="870" w:type="pct"/>
            <w:noWrap/>
            <w:vAlign w:val="center"/>
          </w:tcPr>
          <w:p w14:paraId="1566493B">
            <w:pPr>
              <w:pStyle w:val="94"/>
              <w:rPr>
                <w:color w:val="auto"/>
              </w:rPr>
            </w:pPr>
            <w:r>
              <w:rPr>
                <w:rFonts w:hint="eastAsia"/>
                <w:color w:val="auto"/>
              </w:rPr>
              <w:t>堆花小檗</w:t>
            </w:r>
          </w:p>
        </w:tc>
        <w:tc>
          <w:tcPr>
            <w:tcW w:w="2584" w:type="pct"/>
            <w:noWrap/>
            <w:vAlign w:val="center"/>
          </w:tcPr>
          <w:p w14:paraId="1014105D">
            <w:pPr>
              <w:pStyle w:val="94"/>
              <w:rPr>
                <w:i/>
                <w:iCs/>
                <w:color w:val="auto"/>
              </w:rPr>
            </w:pPr>
            <w:r>
              <w:rPr>
                <w:rFonts w:hint="eastAsia"/>
                <w:i/>
                <w:iCs/>
                <w:color w:val="auto"/>
              </w:rPr>
              <w:t>Berberis aggregata</w:t>
            </w:r>
          </w:p>
        </w:tc>
      </w:tr>
      <w:tr w14:paraId="478A1B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46D18B29">
            <w:pPr>
              <w:pStyle w:val="94"/>
              <w:rPr>
                <w:color w:val="auto"/>
              </w:rPr>
            </w:pPr>
            <w:r>
              <w:rPr>
                <w:rFonts w:hint="eastAsia"/>
                <w:color w:val="auto"/>
              </w:rPr>
              <w:t>39</w:t>
            </w:r>
          </w:p>
        </w:tc>
        <w:tc>
          <w:tcPr>
            <w:tcW w:w="600" w:type="pct"/>
            <w:noWrap/>
            <w:vAlign w:val="center"/>
          </w:tcPr>
          <w:p w14:paraId="6FD47471">
            <w:pPr>
              <w:pStyle w:val="94"/>
              <w:rPr>
                <w:color w:val="auto"/>
              </w:rPr>
            </w:pPr>
            <w:r>
              <w:rPr>
                <w:rFonts w:hint="eastAsia"/>
                <w:color w:val="auto"/>
              </w:rPr>
              <w:t>旋花科</w:t>
            </w:r>
          </w:p>
        </w:tc>
        <w:tc>
          <w:tcPr>
            <w:tcW w:w="600" w:type="pct"/>
            <w:noWrap/>
            <w:vAlign w:val="center"/>
          </w:tcPr>
          <w:p w14:paraId="4483F701">
            <w:pPr>
              <w:pStyle w:val="94"/>
              <w:rPr>
                <w:color w:val="auto"/>
              </w:rPr>
            </w:pPr>
            <w:r>
              <w:rPr>
                <w:rFonts w:hint="eastAsia"/>
                <w:color w:val="auto"/>
              </w:rPr>
              <w:t>番薯属</w:t>
            </w:r>
          </w:p>
        </w:tc>
        <w:tc>
          <w:tcPr>
            <w:tcW w:w="870" w:type="pct"/>
            <w:noWrap/>
            <w:vAlign w:val="center"/>
          </w:tcPr>
          <w:p w14:paraId="15A7C732">
            <w:pPr>
              <w:pStyle w:val="94"/>
              <w:rPr>
                <w:color w:val="auto"/>
              </w:rPr>
            </w:pPr>
            <w:r>
              <w:rPr>
                <w:rFonts w:hint="eastAsia"/>
                <w:color w:val="auto"/>
              </w:rPr>
              <w:t>圆叶牵牛</w:t>
            </w:r>
          </w:p>
        </w:tc>
        <w:tc>
          <w:tcPr>
            <w:tcW w:w="2584" w:type="pct"/>
            <w:noWrap/>
            <w:vAlign w:val="center"/>
          </w:tcPr>
          <w:p w14:paraId="609176DE">
            <w:pPr>
              <w:pStyle w:val="94"/>
              <w:rPr>
                <w:i/>
                <w:iCs/>
                <w:color w:val="auto"/>
              </w:rPr>
            </w:pPr>
            <w:r>
              <w:rPr>
                <w:rFonts w:hint="eastAsia"/>
                <w:i/>
                <w:iCs/>
                <w:color w:val="auto"/>
              </w:rPr>
              <w:t>Ipomoea purpurea</w:t>
            </w:r>
          </w:p>
        </w:tc>
      </w:tr>
      <w:tr w14:paraId="2D9EFF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6" w:type="pct"/>
            <w:noWrap/>
            <w:vAlign w:val="center"/>
          </w:tcPr>
          <w:p w14:paraId="1842A410">
            <w:pPr>
              <w:pStyle w:val="94"/>
              <w:rPr>
                <w:color w:val="auto"/>
              </w:rPr>
            </w:pPr>
            <w:r>
              <w:rPr>
                <w:rFonts w:hint="eastAsia"/>
                <w:color w:val="auto"/>
              </w:rPr>
              <w:t>40</w:t>
            </w:r>
          </w:p>
        </w:tc>
        <w:tc>
          <w:tcPr>
            <w:tcW w:w="600" w:type="pct"/>
            <w:noWrap/>
            <w:vAlign w:val="center"/>
          </w:tcPr>
          <w:p w14:paraId="4F9CAB31">
            <w:pPr>
              <w:pStyle w:val="94"/>
              <w:rPr>
                <w:color w:val="auto"/>
              </w:rPr>
            </w:pPr>
            <w:r>
              <w:rPr>
                <w:rFonts w:hint="eastAsia"/>
                <w:color w:val="auto"/>
              </w:rPr>
              <w:t>杨柳科</w:t>
            </w:r>
          </w:p>
        </w:tc>
        <w:tc>
          <w:tcPr>
            <w:tcW w:w="600" w:type="pct"/>
            <w:noWrap/>
            <w:vAlign w:val="center"/>
          </w:tcPr>
          <w:p w14:paraId="4860452D">
            <w:pPr>
              <w:pStyle w:val="94"/>
              <w:rPr>
                <w:color w:val="auto"/>
              </w:rPr>
            </w:pPr>
            <w:r>
              <w:rPr>
                <w:rFonts w:hint="eastAsia"/>
                <w:color w:val="auto"/>
              </w:rPr>
              <w:t>杨属</w:t>
            </w:r>
          </w:p>
        </w:tc>
        <w:tc>
          <w:tcPr>
            <w:tcW w:w="870" w:type="pct"/>
            <w:noWrap/>
            <w:vAlign w:val="center"/>
          </w:tcPr>
          <w:p w14:paraId="304AA90A">
            <w:pPr>
              <w:pStyle w:val="94"/>
              <w:rPr>
                <w:color w:val="auto"/>
              </w:rPr>
            </w:pPr>
            <w:r>
              <w:rPr>
                <w:rFonts w:hint="eastAsia"/>
                <w:color w:val="auto"/>
              </w:rPr>
              <w:t>小叶杨</w:t>
            </w:r>
          </w:p>
        </w:tc>
        <w:tc>
          <w:tcPr>
            <w:tcW w:w="2584" w:type="pct"/>
            <w:noWrap/>
            <w:vAlign w:val="center"/>
          </w:tcPr>
          <w:p w14:paraId="3B43A85E">
            <w:pPr>
              <w:pStyle w:val="94"/>
              <w:rPr>
                <w:i/>
                <w:iCs/>
                <w:color w:val="auto"/>
              </w:rPr>
            </w:pPr>
            <w:r>
              <w:rPr>
                <w:i/>
                <w:iCs/>
                <w:color w:val="auto"/>
              </w:rPr>
              <w:t>Populus simonii Carrière</w:t>
            </w:r>
          </w:p>
        </w:tc>
      </w:tr>
    </w:tbl>
    <w:p w14:paraId="47C76922">
      <w:pPr>
        <w:pStyle w:val="5"/>
        <w:rPr>
          <w:rFonts w:cs="Arial"/>
        </w:rPr>
      </w:pPr>
      <w:r>
        <w:rPr>
          <w:rFonts w:hint="eastAsia"/>
        </w:rPr>
        <w:t>重要野生植物调查</w:t>
      </w:r>
    </w:p>
    <w:p w14:paraId="48191026">
      <w:pPr>
        <w:pStyle w:val="96"/>
        <w:ind w:firstLine="480"/>
      </w:pPr>
      <w:r>
        <w:rPr>
          <w:rFonts w:hint="eastAsia"/>
        </w:rPr>
        <w:t>经调查，对比《中国生物多样性红色名录》评价范围内无近危、易危、濒危野生植物，无山西省重点保护野生植物（对比《山西省人民政府关于公布山西省重点保护野生植物名录的通知（晋政函〔2023〕126号）》）。</w:t>
      </w:r>
    </w:p>
    <w:p w14:paraId="048D50A2">
      <w:pPr>
        <w:pStyle w:val="4"/>
        <w:rPr>
          <w:rFonts w:ascii="Times New Roman" w:hAnsi="Times New Roman" w:cs="Arial"/>
          <w:szCs w:val="24"/>
        </w:rPr>
      </w:pPr>
      <w:bookmarkStart w:id="148" w:name="_Toc171579823"/>
      <w:r>
        <w:rPr>
          <w:rFonts w:hint="eastAsia"/>
        </w:rPr>
        <w:t>野生动物现状</w:t>
      </w:r>
      <w:bookmarkEnd w:id="148"/>
    </w:p>
    <w:p w14:paraId="3C5B0DA0">
      <w:pPr>
        <w:pStyle w:val="5"/>
      </w:pPr>
      <w:r>
        <w:rPr>
          <w:rFonts w:hint="eastAsia"/>
        </w:rPr>
        <w:t>现状调查范围及方法</w:t>
      </w:r>
    </w:p>
    <w:p w14:paraId="0C268480">
      <w:pPr>
        <w:pStyle w:val="96"/>
        <w:ind w:firstLine="480"/>
      </w:pPr>
      <w:r>
        <w:rPr>
          <w:rFonts w:hint="eastAsia"/>
        </w:rPr>
        <w:t>1.调查范围</w:t>
      </w:r>
    </w:p>
    <w:p w14:paraId="3CB5E004">
      <w:pPr>
        <w:pStyle w:val="96"/>
        <w:ind w:firstLine="480"/>
      </w:pPr>
      <w:r>
        <w:rPr>
          <w:rFonts w:hint="eastAsia"/>
        </w:rPr>
        <w:t>与评价范围相同。</w:t>
      </w:r>
    </w:p>
    <w:p w14:paraId="285FD82A">
      <w:pPr>
        <w:pStyle w:val="96"/>
        <w:ind w:firstLine="480"/>
      </w:pPr>
      <w:r>
        <w:rPr>
          <w:rFonts w:hint="eastAsia"/>
        </w:rPr>
        <w:t>2.调查方法</w:t>
      </w:r>
    </w:p>
    <w:p w14:paraId="7FF48D82">
      <w:pPr>
        <w:pStyle w:val="96"/>
        <w:ind w:firstLine="480"/>
      </w:pPr>
      <w:r>
        <w:rPr>
          <w:rFonts w:hint="eastAsia"/>
        </w:rPr>
        <w:t>项目组向当地林业管理部门专业技术人员及调查范围所涉及的乡镇政府工作人员咨询了当地的野生动物的种类和变动情况，并走访了井场周边的群众，同时查阅当地地方志等收集到的相关资料，了解野生动物的种类和变动情况，最后结合调查范围内动物资源情况的现状调查进行综合判断。</w:t>
      </w:r>
    </w:p>
    <w:p w14:paraId="63E5B4A7">
      <w:pPr>
        <w:pStyle w:val="96"/>
        <w:ind w:firstLine="480"/>
      </w:pPr>
      <w:r>
        <w:rPr>
          <w:rFonts w:hint="eastAsia"/>
        </w:rPr>
        <w:t>主要参考《中国脊椎动物大全》（刘玉明等，2000年）、《中国动物地理区划鱼中国昆虫地理区划》（竺可桢等，1959年）、《山西鸟类》（樊龙锁主编，2008年）等专著，以及近期发表的相关论文、地方史志、年鉴以及土地、农林业、水产等等。</w:t>
      </w:r>
    </w:p>
    <w:p w14:paraId="7E505164">
      <w:pPr>
        <w:pStyle w:val="96"/>
        <w:ind w:firstLine="480"/>
      </w:pPr>
      <w:r>
        <w:rPr>
          <w:rFonts w:hint="eastAsia"/>
        </w:rPr>
        <w:t>3.野生动物样线调查方法</w:t>
      </w:r>
    </w:p>
    <w:p w14:paraId="6A4F6AA7">
      <w:pPr>
        <w:pStyle w:val="96"/>
        <w:ind w:firstLine="480"/>
      </w:pPr>
      <w:r>
        <w:rPr>
          <w:rFonts w:hint="eastAsia"/>
        </w:rPr>
        <w:t>路线调查时，调查时间夏季在早晨5：30 ~9：30和下午的5：00 ~7：00；冬季在早晨的7：00 ~10：00和下午的3：00 ~5：00之间鸟类觅食活动较为频繁的时间内进行。</w:t>
      </w:r>
    </w:p>
    <w:p w14:paraId="03BB764B">
      <w:pPr>
        <w:pStyle w:val="96"/>
        <w:ind w:firstLine="480"/>
      </w:pPr>
      <w:r>
        <w:rPr>
          <w:rFonts w:hint="eastAsia"/>
        </w:rPr>
        <w:t>实地调查中，路线统计所行走的速度及左右视区（即左右跨度）依照调查样区中生境的类型、视野情况和调查对象灵活选用。通常情况下，对中小型鸟类调查时，行走的速度多采用2km/h，左右视区在15~20m之间；在森林和灌丛等复杂环境中调查时，行走的速度要更慢一些 ( 1.5km/h )，左右视区以10 ~ 15m。平川和丘陵等开阔地带调查时，行走速度多选用2km/小时，左右视区以20 ~30m；</w:t>
      </w:r>
    </w:p>
    <w:p w14:paraId="49B5C4C2">
      <w:pPr>
        <w:pStyle w:val="96"/>
        <w:ind w:firstLine="480"/>
      </w:pPr>
      <w:r>
        <w:rPr>
          <w:rFonts w:hint="eastAsia"/>
        </w:rPr>
        <w:t>对路线调查时，选取的调查样带要长 (1 ~4km)，左右跨度要大 (100 ~200m)，行走的速度也可相应地快一些 (3km/h)。</w:t>
      </w:r>
    </w:p>
    <w:p w14:paraId="5D4A1214">
      <w:pPr>
        <w:pStyle w:val="96"/>
        <w:ind w:firstLine="480"/>
      </w:pPr>
      <w:r>
        <w:rPr>
          <w:rFonts w:hint="eastAsia"/>
        </w:rPr>
        <w:t>路线调查时，对于形态特征明显，野外较易识别的鸟类，可用肉眼直接辨别到种。对于形态特征不明显，用肉眼不易识别的小型鸟类，要借用望远镜进行观察和鉴别。夏季，在密林和灌丛等环境复杂、视野不好的样区进行种类调查时，还要借助于各种鸟类的鸣叫特点进行辨别，同时，调查时行走的速度也要慢一些。</w:t>
      </w:r>
    </w:p>
    <w:p w14:paraId="7DA46DAB">
      <w:pPr>
        <w:pStyle w:val="96"/>
        <w:ind w:firstLine="480"/>
      </w:pPr>
      <w:r>
        <w:rPr>
          <w:rFonts w:hint="eastAsia"/>
        </w:rPr>
        <w:t>评价区样线设置情况见下表，分布情况见</w:t>
      </w:r>
      <w:r>
        <w:fldChar w:fldCharType="begin"/>
      </w:r>
      <w:r>
        <w:instrText xml:space="preserve"> </w:instrText>
      </w:r>
      <w:r>
        <w:rPr>
          <w:rFonts w:hint="eastAsia"/>
        </w:rPr>
        <w:instrText xml:space="preserve">REF _Ref167175112 \h</w:instrText>
      </w:r>
      <w:r>
        <w:instrText xml:space="preserve">  \* MERGEFORMAT </w:instrText>
      </w:r>
      <w:r>
        <w:fldChar w:fldCharType="separate"/>
      </w:r>
      <w:r>
        <w:t>图 8</w:t>
      </w:r>
      <w:r>
        <w:fldChar w:fldCharType="end"/>
      </w:r>
      <w:r>
        <w:rPr>
          <w:rFonts w:hint="eastAsia"/>
        </w:rPr>
        <w:t>。</w:t>
      </w:r>
    </w:p>
    <w:p w14:paraId="2810223F">
      <w:pPr>
        <w:pStyle w:val="19"/>
        <w:keepNext/>
      </w:pPr>
      <w:r>
        <w:t xml:space="preserve">表 </w:t>
      </w:r>
      <w:r>
        <w:fldChar w:fldCharType="begin"/>
      </w:r>
      <w:r>
        <w:instrText xml:space="preserve"> SEQ 表 \* ARABIC </w:instrText>
      </w:r>
      <w:r>
        <w:fldChar w:fldCharType="separate"/>
      </w:r>
      <w:r>
        <w:t>67</w:t>
      </w:r>
      <w:r>
        <w:fldChar w:fldCharType="end"/>
      </w:r>
      <w:r>
        <w:rPr>
          <w:rFonts w:hint="eastAsia"/>
        </w:rPr>
        <w:t>本项目陆生野生动物调查样线设置一览表</w:t>
      </w:r>
    </w:p>
    <w:tbl>
      <w:tblPr>
        <w:tblStyle w:val="73"/>
        <w:tblW w:w="4999"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11"/>
        <w:gridCol w:w="3123"/>
        <w:gridCol w:w="3123"/>
        <w:gridCol w:w="3123"/>
      </w:tblGrid>
      <w:tr w14:paraId="537F32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614" w:type="pct"/>
            <w:noWrap/>
            <w:vAlign w:val="bottom"/>
          </w:tcPr>
          <w:p w14:paraId="0DFE9EBC">
            <w:pPr>
              <w:pStyle w:val="94"/>
              <w:rPr>
                <w:color w:val="auto"/>
              </w:rPr>
            </w:pPr>
            <w:r>
              <w:rPr>
                <w:color w:val="auto"/>
              </w:rPr>
              <w:t>样线编号</w:t>
            </w:r>
          </w:p>
        </w:tc>
        <w:tc>
          <w:tcPr>
            <w:tcW w:w="1462" w:type="pct"/>
            <w:noWrap/>
            <w:vAlign w:val="bottom"/>
          </w:tcPr>
          <w:p w14:paraId="7C1C4F96">
            <w:pPr>
              <w:pStyle w:val="94"/>
              <w:rPr>
                <w:color w:val="auto"/>
              </w:rPr>
            </w:pPr>
            <w:r>
              <w:rPr>
                <w:color w:val="auto"/>
              </w:rPr>
              <w:t>1#</w:t>
            </w:r>
          </w:p>
        </w:tc>
        <w:tc>
          <w:tcPr>
            <w:tcW w:w="1462" w:type="pct"/>
            <w:noWrap/>
            <w:vAlign w:val="bottom"/>
          </w:tcPr>
          <w:p w14:paraId="65261DA8">
            <w:pPr>
              <w:pStyle w:val="94"/>
              <w:rPr>
                <w:color w:val="auto"/>
              </w:rPr>
            </w:pPr>
            <w:r>
              <w:rPr>
                <w:color w:val="auto"/>
              </w:rPr>
              <w:t>2#</w:t>
            </w:r>
          </w:p>
        </w:tc>
        <w:tc>
          <w:tcPr>
            <w:tcW w:w="1462" w:type="pct"/>
            <w:noWrap/>
            <w:vAlign w:val="bottom"/>
          </w:tcPr>
          <w:p w14:paraId="024CB317">
            <w:pPr>
              <w:pStyle w:val="94"/>
              <w:rPr>
                <w:color w:val="auto"/>
              </w:rPr>
            </w:pPr>
            <w:r>
              <w:rPr>
                <w:color w:val="auto"/>
              </w:rPr>
              <w:t>3#</w:t>
            </w:r>
          </w:p>
        </w:tc>
      </w:tr>
      <w:tr w14:paraId="79AA3B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614" w:type="pct"/>
            <w:noWrap/>
            <w:vAlign w:val="bottom"/>
          </w:tcPr>
          <w:p w14:paraId="51D08E94">
            <w:pPr>
              <w:pStyle w:val="94"/>
              <w:rPr>
                <w:color w:val="auto"/>
              </w:rPr>
            </w:pPr>
            <w:r>
              <w:rPr>
                <w:color w:val="auto"/>
              </w:rPr>
              <w:t>起点坐标</w:t>
            </w:r>
          </w:p>
        </w:tc>
        <w:tc>
          <w:tcPr>
            <w:tcW w:w="1462" w:type="pct"/>
            <w:noWrap/>
            <w:vAlign w:val="bottom"/>
          </w:tcPr>
          <w:p w14:paraId="48FA9942">
            <w:pPr>
              <w:pStyle w:val="94"/>
              <w:rPr>
                <w:color w:val="auto"/>
              </w:rPr>
            </w:pPr>
            <w:r>
              <w:rPr>
                <w:color w:val="auto"/>
              </w:rPr>
              <w:t>E110.862217°；N38.446478°</w:t>
            </w:r>
          </w:p>
        </w:tc>
        <w:tc>
          <w:tcPr>
            <w:tcW w:w="1462" w:type="pct"/>
            <w:noWrap/>
            <w:vAlign w:val="bottom"/>
          </w:tcPr>
          <w:p w14:paraId="50D65C7B">
            <w:pPr>
              <w:pStyle w:val="94"/>
              <w:rPr>
                <w:color w:val="auto"/>
              </w:rPr>
            </w:pPr>
            <w:r>
              <w:rPr>
                <w:color w:val="auto"/>
              </w:rPr>
              <w:t>E110.911693°；N38.386754°</w:t>
            </w:r>
          </w:p>
        </w:tc>
        <w:tc>
          <w:tcPr>
            <w:tcW w:w="1462" w:type="pct"/>
            <w:noWrap/>
            <w:vAlign w:val="bottom"/>
          </w:tcPr>
          <w:p w14:paraId="4AA6BCEA">
            <w:pPr>
              <w:pStyle w:val="94"/>
              <w:rPr>
                <w:color w:val="auto"/>
              </w:rPr>
            </w:pPr>
            <w:r>
              <w:rPr>
                <w:color w:val="auto"/>
              </w:rPr>
              <w:t>E110.911506°；N38.446658°</w:t>
            </w:r>
          </w:p>
        </w:tc>
      </w:tr>
      <w:tr w14:paraId="56C5EA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614" w:type="pct"/>
            <w:noWrap/>
            <w:vAlign w:val="bottom"/>
          </w:tcPr>
          <w:p w14:paraId="12C78BD8">
            <w:pPr>
              <w:pStyle w:val="94"/>
              <w:rPr>
                <w:color w:val="auto"/>
              </w:rPr>
            </w:pPr>
            <w:r>
              <w:rPr>
                <w:color w:val="auto"/>
              </w:rPr>
              <w:t>终点坐标</w:t>
            </w:r>
          </w:p>
        </w:tc>
        <w:tc>
          <w:tcPr>
            <w:tcW w:w="1462" w:type="pct"/>
            <w:noWrap/>
            <w:vAlign w:val="bottom"/>
          </w:tcPr>
          <w:p w14:paraId="0C4C8901">
            <w:pPr>
              <w:pStyle w:val="94"/>
              <w:rPr>
                <w:color w:val="auto"/>
              </w:rPr>
            </w:pPr>
            <w:r>
              <w:rPr>
                <w:color w:val="auto"/>
              </w:rPr>
              <w:t>E110.862965°；N38.435381°</w:t>
            </w:r>
          </w:p>
        </w:tc>
        <w:tc>
          <w:tcPr>
            <w:tcW w:w="1462" w:type="pct"/>
            <w:noWrap/>
            <w:vAlign w:val="bottom"/>
          </w:tcPr>
          <w:p w14:paraId="6F30B34B">
            <w:pPr>
              <w:pStyle w:val="94"/>
              <w:rPr>
                <w:color w:val="auto"/>
              </w:rPr>
            </w:pPr>
            <w:r>
              <w:rPr>
                <w:color w:val="auto"/>
              </w:rPr>
              <w:t>E110.917454°；N38.386258°</w:t>
            </w:r>
          </w:p>
        </w:tc>
        <w:tc>
          <w:tcPr>
            <w:tcW w:w="1462" w:type="pct"/>
            <w:noWrap/>
            <w:vAlign w:val="bottom"/>
          </w:tcPr>
          <w:p w14:paraId="3A5B2C79">
            <w:pPr>
              <w:pStyle w:val="94"/>
              <w:rPr>
                <w:color w:val="auto"/>
              </w:rPr>
            </w:pPr>
            <w:r>
              <w:rPr>
                <w:color w:val="auto"/>
              </w:rPr>
              <w:t>E110.927635°；N38.441592°</w:t>
            </w:r>
          </w:p>
        </w:tc>
      </w:tr>
      <w:tr w14:paraId="2C01B1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614" w:type="pct"/>
            <w:noWrap/>
            <w:vAlign w:val="bottom"/>
          </w:tcPr>
          <w:p w14:paraId="01D1B508">
            <w:pPr>
              <w:pStyle w:val="94"/>
              <w:rPr>
                <w:color w:val="auto"/>
              </w:rPr>
            </w:pPr>
            <w:r>
              <w:rPr>
                <w:color w:val="auto"/>
              </w:rPr>
              <w:t>海拔高度</w:t>
            </w:r>
          </w:p>
        </w:tc>
        <w:tc>
          <w:tcPr>
            <w:tcW w:w="1462" w:type="pct"/>
            <w:noWrap/>
            <w:vAlign w:val="bottom"/>
          </w:tcPr>
          <w:p w14:paraId="651A92DA">
            <w:pPr>
              <w:pStyle w:val="94"/>
              <w:rPr>
                <w:color w:val="auto"/>
              </w:rPr>
            </w:pPr>
            <w:r>
              <w:rPr>
                <w:color w:val="auto"/>
              </w:rPr>
              <w:t>742~960m</w:t>
            </w:r>
          </w:p>
        </w:tc>
        <w:tc>
          <w:tcPr>
            <w:tcW w:w="1462" w:type="pct"/>
            <w:noWrap/>
            <w:vAlign w:val="bottom"/>
          </w:tcPr>
          <w:p w14:paraId="47808FB6">
            <w:pPr>
              <w:pStyle w:val="94"/>
              <w:rPr>
                <w:color w:val="auto"/>
              </w:rPr>
            </w:pPr>
            <w:r>
              <w:rPr>
                <w:color w:val="auto"/>
              </w:rPr>
              <w:t>1013~1133m</w:t>
            </w:r>
          </w:p>
        </w:tc>
        <w:tc>
          <w:tcPr>
            <w:tcW w:w="1462" w:type="pct"/>
            <w:noWrap/>
            <w:vAlign w:val="bottom"/>
          </w:tcPr>
          <w:p w14:paraId="2A1613C8">
            <w:pPr>
              <w:pStyle w:val="94"/>
              <w:rPr>
                <w:color w:val="auto"/>
              </w:rPr>
            </w:pPr>
            <w:r>
              <w:rPr>
                <w:color w:val="auto"/>
              </w:rPr>
              <w:t>968~1053m</w:t>
            </w:r>
          </w:p>
        </w:tc>
      </w:tr>
      <w:tr w14:paraId="168F33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614" w:type="pct"/>
            <w:noWrap/>
            <w:vAlign w:val="bottom"/>
          </w:tcPr>
          <w:p w14:paraId="57F9DD09">
            <w:pPr>
              <w:pStyle w:val="94"/>
              <w:rPr>
                <w:color w:val="auto"/>
              </w:rPr>
            </w:pPr>
            <w:r>
              <w:rPr>
                <w:color w:val="auto"/>
              </w:rPr>
              <w:t>长度</w:t>
            </w:r>
          </w:p>
        </w:tc>
        <w:tc>
          <w:tcPr>
            <w:tcW w:w="1462" w:type="pct"/>
            <w:noWrap/>
            <w:vAlign w:val="bottom"/>
          </w:tcPr>
          <w:p w14:paraId="27A1749E">
            <w:pPr>
              <w:pStyle w:val="94"/>
              <w:rPr>
                <w:color w:val="auto"/>
              </w:rPr>
            </w:pPr>
            <w:r>
              <w:rPr>
                <w:color w:val="auto"/>
              </w:rPr>
              <w:t>1757m</w:t>
            </w:r>
          </w:p>
        </w:tc>
        <w:tc>
          <w:tcPr>
            <w:tcW w:w="1462" w:type="pct"/>
            <w:noWrap/>
            <w:vAlign w:val="bottom"/>
          </w:tcPr>
          <w:p w14:paraId="78039CC6">
            <w:pPr>
              <w:pStyle w:val="94"/>
              <w:rPr>
                <w:color w:val="auto"/>
              </w:rPr>
            </w:pPr>
            <w:r>
              <w:rPr>
                <w:color w:val="auto"/>
              </w:rPr>
              <w:t>1483m</w:t>
            </w:r>
          </w:p>
        </w:tc>
        <w:tc>
          <w:tcPr>
            <w:tcW w:w="1462" w:type="pct"/>
            <w:noWrap/>
            <w:vAlign w:val="bottom"/>
          </w:tcPr>
          <w:p w14:paraId="3DA24DCB">
            <w:pPr>
              <w:pStyle w:val="94"/>
              <w:rPr>
                <w:color w:val="auto"/>
              </w:rPr>
            </w:pPr>
            <w:r>
              <w:rPr>
                <w:color w:val="auto"/>
              </w:rPr>
              <w:t>1985m</w:t>
            </w:r>
          </w:p>
        </w:tc>
      </w:tr>
      <w:tr w14:paraId="792C27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614" w:type="pct"/>
            <w:noWrap/>
            <w:vAlign w:val="center"/>
          </w:tcPr>
          <w:p w14:paraId="0EC8A488">
            <w:pPr>
              <w:pStyle w:val="94"/>
              <w:rPr>
                <w:color w:val="auto"/>
              </w:rPr>
            </w:pPr>
            <w:r>
              <w:rPr>
                <w:rFonts w:hint="eastAsia"/>
                <w:color w:val="auto"/>
              </w:rPr>
              <w:t>生境类型</w:t>
            </w:r>
          </w:p>
        </w:tc>
        <w:tc>
          <w:tcPr>
            <w:tcW w:w="4386" w:type="pct"/>
            <w:gridSpan w:val="3"/>
            <w:noWrap/>
            <w:vAlign w:val="center"/>
          </w:tcPr>
          <w:p w14:paraId="425CB22C">
            <w:pPr>
              <w:pStyle w:val="94"/>
              <w:rPr>
                <w:color w:val="auto"/>
              </w:rPr>
            </w:pPr>
            <w:r>
              <w:rPr>
                <w:rFonts w:hint="eastAsia"/>
                <w:color w:val="auto"/>
              </w:rPr>
              <w:t>乔木林、草丛、农田、村庄</w:t>
            </w:r>
          </w:p>
        </w:tc>
      </w:tr>
    </w:tbl>
    <w:p w14:paraId="2DFD4AC3">
      <w:pPr>
        <w:pStyle w:val="5"/>
      </w:pPr>
      <w:r>
        <w:rPr>
          <w:rFonts w:hint="eastAsia"/>
        </w:rPr>
        <w:t>样线调查结果</w:t>
      </w:r>
    </w:p>
    <w:p w14:paraId="6929F13B">
      <w:pPr>
        <w:pStyle w:val="96"/>
        <w:ind w:firstLine="480"/>
      </w:pPr>
      <w:r>
        <w:rPr>
          <w:rFonts w:hint="eastAsia"/>
        </w:rPr>
        <w:t>2023年9月在评价区进行的野外调查，野外资料经过整理，得到了</w:t>
      </w:r>
      <w:r>
        <w:fldChar w:fldCharType="begin"/>
      </w:r>
      <w:r>
        <w:instrText xml:space="preserve"> </w:instrText>
      </w:r>
      <w:r>
        <w:rPr>
          <w:rFonts w:hint="eastAsia"/>
        </w:rPr>
        <w:instrText xml:space="preserve">REF _Ref168032513 \h</w:instrText>
      </w:r>
      <w:r>
        <w:instrText xml:space="preserve">  \* MERGEFORMAT </w:instrText>
      </w:r>
      <w:r>
        <w:fldChar w:fldCharType="separate"/>
      </w:r>
      <w:r>
        <w:t>表 68</w:t>
      </w:r>
      <w:r>
        <w:fldChar w:fldCharType="end"/>
      </w:r>
      <w:r>
        <w:rPr>
          <w:rFonts w:hint="eastAsia"/>
        </w:rPr>
        <w:t>、</w:t>
      </w:r>
      <w:r>
        <w:fldChar w:fldCharType="begin"/>
      </w:r>
      <w:r>
        <w:instrText xml:space="preserve"> </w:instrText>
      </w:r>
      <w:r>
        <w:rPr>
          <w:rFonts w:hint="eastAsia"/>
        </w:rPr>
        <w:instrText xml:space="preserve">REF _Ref167175086 \h</w:instrText>
      </w:r>
      <w:r>
        <w:instrText xml:space="preserve">  \* MERGEFORMAT </w:instrText>
      </w:r>
      <w:r>
        <w:fldChar w:fldCharType="separate"/>
      </w:r>
      <w:r>
        <w:t>表 69</w:t>
      </w:r>
      <w:r>
        <w:fldChar w:fldCharType="end"/>
      </w:r>
      <w:r>
        <w:rPr>
          <w:rFonts w:hint="eastAsia"/>
        </w:rPr>
        <w:t>，把评价区内的鸟类作为一个群落，表中数字，可以反映观察到的鸟类群落各物种种群的相对数量。观察到的鸟类中，体型最大的是环颈雉，其次体型较大的有雀形目鸦科的喜鹊、珠颈斑鸠等，其余近物种都是小型鸟类。</w:t>
      </w:r>
    </w:p>
    <w:p w14:paraId="09184ED6">
      <w:pPr>
        <w:pStyle w:val="96"/>
        <w:ind w:firstLine="480"/>
      </w:pPr>
      <w:r>
        <w:rPr>
          <w:rFonts w:hint="eastAsia"/>
        </w:rPr>
        <w:t>动物调查样线调查表见下表。</w:t>
      </w:r>
    </w:p>
    <w:p w14:paraId="04951886">
      <w:pPr>
        <w:pStyle w:val="19"/>
        <w:keepNext/>
      </w:pPr>
      <w:bookmarkStart w:id="149" w:name="_Ref168032513"/>
      <w:r>
        <w:t xml:space="preserve">表 </w:t>
      </w:r>
      <w:r>
        <w:fldChar w:fldCharType="begin"/>
      </w:r>
      <w:r>
        <w:instrText xml:space="preserve"> SEQ 表 \* ARABIC </w:instrText>
      </w:r>
      <w:r>
        <w:fldChar w:fldCharType="separate"/>
      </w:r>
      <w:r>
        <w:t>68</w:t>
      </w:r>
      <w:r>
        <w:fldChar w:fldCharType="end"/>
      </w:r>
      <w:bookmarkEnd w:id="149"/>
      <w:r>
        <w:rPr>
          <w:rFonts w:hint="eastAsia"/>
        </w:rPr>
        <w:t>评价区鸟类野外调查结果</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722"/>
        <w:gridCol w:w="4753"/>
        <w:gridCol w:w="855"/>
        <w:gridCol w:w="2153"/>
        <w:gridCol w:w="1199"/>
      </w:tblGrid>
      <w:tr w14:paraId="39AD42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6" w:type="pct"/>
            <w:vAlign w:val="center"/>
          </w:tcPr>
          <w:p w14:paraId="66DA89AB">
            <w:pPr>
              <w:pStyle w:val="94"/>
              <w:rPr>
                <w:color w:val="auto"/>
              </w:rPr>
            </w:pPr>
            <w:r>
              <w:rPr>
                <w:rFonts w:hint="eastAsia"/>
                <w:color w:val="auto"/>
              </w:rPr>
              <w:t>物种名</w:t>
            </w:r>
          </w:p>
        </w:tc>
        <w:tc>
          <w:tcPr>
            <w:tcW w:w="2225" w:type="pct"/>
            <w:vAlign w:val="center"/>
          </w:tcPr>
          <w:p w14:paraId="68E05FC7">
            <w:pPr>
              <w:pStyle w:val="94"/>
              <w:rPr>
                <w:color w:val="auto"/>
              </w:rPr>
            </w:pPr>
            <w:r>
              <w:rPr>
                <w:rFonts w:hint="eastAsia"/>
                <w:color w:val="auto"/>
              </w:rPr>
              <w:t>拉丁名</w:t>
            </w:r>
          </w:p>
        </w:tc>
        <w:tc>
          <w:tcPr>
            <w:tcW w:w="400" w:type="pct"/>
            <w:vAlign w:val="center"/>
          </w:tcPr>
          <w:p w14:paraId="02C73C66">
            <w:pPr>
              <w:pStyle w:val="94"/>
              <w:rPr>
                <w:color w:val="auto"/>
              </w:rPr>
            </w:pPr>
            <w:r>
              <w:rPr>
                <w:rFonts w:hint="eastAsia"/>
                <w:color w:val="auto"/>
              </w:rPr>
              <w:t>数量</w:t>
            </w:r>
          </w:p>
        </w:tc>
        <w:tc>
          <w:tcPr>
            <w:tcW w:w="1008" w:type="pct"/>
            <w:vAlign w:val="center"/>
          </w:tcPr>
          <w:p w14:paraId="3064C622">
            <w:pPr>
              <w:pStyle w:val="94"/>
              <w:rPr>
                <w:color w:val="auto"/>
              </w:rPr>
            </w:pPr>
            <w:r>
              <w:rPr>
                <w:rFonts w:hint="eastAsia"/>
                <w:color w:val="auto"/>
              </w:rPr>
              <w:t>生境</w:t>
            </w:r>
          </w:p>
        </w:tc>
        <w:tc>
          <w:tcPr>
            <w:tcW w:w="561" w:type="pct"/>
            <w:vAlign w:val="center"/>
          </w:tcPr>
          <w:p w14:paraId="2511DF39">
            <w:pPr>
              <w:pStyle w:val="94"/>
              <w:rPr>
                <w:color w:val="auto"/>
              </w:rPr>
            </w:pPr>
            <w:r>
              <w:rPr>
                <w:rFonts w:hint="eastAsia"/>
                <w:color w:val="auto"/>
              </w:rPr>
              <w:t>备注</w:t>
            </w:r>
          </w:p>
        </w:tc>
      </w:tr>
      <w:tr w14:paraId="242D57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6" w:type="pct"/>
            <w:vAlign w:val="center"/>
          </w:tcPr>
          <w:p w14:paraId="46CFD811">
            <w:pPr>
              <w:pStyle w:val="94"/>
              <w:rPr>
                <w:rFonts w:eastAsia="Arial"/>
                <w:color w:val="auto"/>
              </w:rPr>
            </w:pPr>
            <w:r>
              <w:rPr>
                <w:rFonts w:hint="eastAsia"/>
                <w:color w:val="auto"/>
                <w:sz w:val="22"/>
                <w:szCs w:val="22"/>
              </w:rPr>
              <w:t>欧亚喜鹊</w:t>
            </w:r>
          </w:p>
        </w:tc>
        <w:tc>
          <w:tcPr>
            <w:tcW w:w="2225" w:type="pct"/>
            <w:vAlign w:val="center"/>
          </w:tcPr>
          <w:p w14:paraId="2EA0CE5B">
            <w:pPr>
              <w:pStyle w:val="94"/>
              <w:rPr>
                <w:rFonts w:eastAsia="Arial"/>
                <w:i/>
                <w:iCs/>
                <w:color w:val="auto"/>
              </w:rPr>
            </w:pPr>
            <w:r>
              <w:rPr>
                <w:rFonts w:hint="eastAsia"/>
                <w:i/>
                <w:iCs/>
                <w:color w:val="auto"/>
                <w:sz w:val="22"/>
                <w:szCs w:val="22"/>
              </w:rPr>
              <w:t>Pica pica</w:t>
            </w:r>
          </w:p>
        </w:tc>
        <w:tc>
          <w:tcPr>
            <w:tcW w:w="400" w:type="pct"/>
            <w:vAlign w:val="center"/>
          </w:tcPr>
          <w:p w14:paraId="6A194C27">
            <w:pPr>
              <w:pStyle w:val="94"/>
              <w:rPr>
                <w:color w:val="auto"/>
              </w:rPr>
            </w:pPr>
            <w:r>
              <w:rPr>
                <w:rFonts w:hint="eastAsia"/>
                <w:color w:val="auto"/>
              </w:rPr>
              <w:t>10</w:t>
            </w:r>
          </w:p>
        </w:tc>
        <w:tc>
          <w:tcPr>
            <w:tcW w:w="1008" w:type="pct"/>
            <w:vAlign w:val="center"/>
          </w:tcPr>
          <w:p w14:paraId="678B5EDD">
            <w:pPr>
              <w:pStyle w:val="94"/>
              <w:rPr>
                <w:color w:val="auto"/>
              </w:rPr>
            </w:pPr>
            <w:r>
              <w:rPr>
                <w:rFonts w:hint="eastAsia"/>
                <w:color w:val="auto"/>
              </w:rPr>
              <w:t>乔木林</w:t>
            </w:r>
          </w:p>
        </w:tc>
        <w:tc>
          <w:tcPr>
            <w:tcW w:w="561" w:type="pct"/>
            <w:vAlign w:val="center"/>
          </w:tcPr>
          <w:p w14:paraId="68C3374C">
            <w:pPr>
              <w:pStyle w:val="94"/>
              <w:rPr>
                <w:color w:val="auto"/>
              </w:rPr>
            </w:pPr>
            <w:r>
              <w:rPr>
                <w:rFonts w:hint="eastAsia"/>
                <w:color w:val="auto"/>
              </w:rPr>
              <w:t>　</w:t>
            </w:r>
          </w:p>
        </w:tc>
      </w:tr>
      <w:tr w14:paraId="4B16E6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6" w:type="pct"/>
            <w:vAlign w:val="center"/>
          </w:tcPr>
          <w:p w14:paraId="7A8FCF42">
            <w:pPr>
              <w:pStyle w:val="94"/>
              <w:rPr>
                <w:color w:val="auto"/>
                <w:sz w:val="22"/>
                <w:szCs w:val="22"/>
              </w:rPr>
            </w:pPr>
            <w:r>
              <w:rPr>
                <w:rFonts w:hint="eastAsia"/>
                <w:color w:val="auto"/>
                <w:sz w:val="22"/>
                <w:szCs w:val="22"/>
              </w:rPr>
              <w:t>灰喜鹊</w:t>
            </w:r>
          </w:p>
        </w:tc>
        <w:tc>
          <w:tcPr>
            <w:tcW w:w="2225" w:type="pct"/>
            <w:vAlign w:val="center"/>
          </w:tcPr>
          <w:p w14:paraId="7A0F165A">
            <w:pPr>
              <w:pStyle w:val="94"/>
              <w:rPr>
                <w:i/>
                <w:iCs/>
                <w:color w:val="auto"/>
                <w:sz w:val="22"/>
                <w:szCs w:val="22"/>
              </w:rPr>
            </w:pPr>
            <w:r>
              <w:rPr>
                <w:i/>
                <w:iCs/>
                <w:color w:val="auto"/>
                <w:sz w:val="22"/>
                <w:szCs w:val="22"/>
              </w:rPr>
              <w:t>Cyanopica cyanus</w:t>
            </w:r>
          </w:p>
        </w:tc>
        <w:tc>
          <w:tcPr>
            <w:tcW w:w="400" w:type="pct"/>
            <w:vAlign w:val="center"/>
          </w:tcPr>
          <w:p w14:paraId="2FD972CF">
            <w:pPr>
              <w:pStyle w:val="94"/>
              <w:rPr>
                <w:color w:val="auto"/>
              </w:rPr>
            </w:pPr>
            <w:r>
              <w:rPr>
                <w:rFonts w:hint="eastAsia"/>
                <w:color w:val="auto"/>
              </w:rPr>
              <w:t>8</w:t>
            </w:r>
          </w:p>
        </w:tc>
        <w:tc>
          <w:tcPr>
            <w:tcW w:w="1008" w:type="pct"/>
            <w:vAlign w:val="center"/>
          </w:tcPr>
          <w:p w14:paraId="44162945">
            <w:pPr>
              <w:pStyle w:val="94"/>
              <w:rPr>
                <w:color w:val="auto"/>
              </w:rPr>
            </w:pPr>
            <w:r>
              <w:rPr>
                <w:rFonts w:hint="eastAsia"/>
                <w:color w:val="auto"/>
              </w:rPr>
              <w:t>乔木林</w:t>
            </w:r>
          </w:p>
        </w:tc>
        <w:tc>
          <w:tcPr>
            <w:tcW w:w="561" w:type="pct"/>
            <w:vAlign w:val="center"/>
          </w:tcPr>
          <w:p w14:paraId="213A0D24">
            <w:pPr>
              <w:pStyle w:val="94"/>
              <w:rPr>
                <w:color w:val="auto"/>
              </w:rPr>
            </w:pPr>
          </w:p>
        </w:tc>
      </w:tr>
      <w:tr w14:paraId="4E4C89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6" w:type="pct"/>
            <w:vAlign w:val="center"/>
          </w:tcPr>
          <w:p w14:paraId="4885A2D3">
            <w:pPr>
              <w:pStyle w:val="94"/>
              <w:rPr>
                <w:rFonts w:eastAsia="Arial"/>
                <w:color w:val="auto"/>
              </w:rPr>
            </w:pPr>
            <w:r>
              <w:rPr>
                <w:rFonts w:hint="eastAsia"/>
                <w:color w:val="auto"/>
                <w:sz w:val="22"/>
                <w:szCs w:val="22"/>
              </w:rPr>
              <w:t>珠颈斑鸠</w:t>
            </w:r>
          </w:p>
        </w:tc>
        <w:tc>
          <w:tcPr>
            <w:tcW w:w="2225" w:type="pct"/>
            <w:vAlign w:val="center"/>
          </w:tcPr>
          <w:p w14:paraId="49C44168">
            <w:pPr>
              <w:pStyle w:val="94"/>
              <w:rPr>
                <w:rFonts w:eastAsia="Arial"/>
                <w:i/>
                <w:iCs/>
                <w:color w:val="auto"/>
              </w:rPr>
            </w:pPr>
            <w:r>
              <w:rPr>
                <w:rFonts w:hint="eastAsia"/>
                <w:i/>
                <w:iCs/>
                <w:color w:val="auto"/>
                <w:sz w:val="22"/>
                <w:szCs w:val="22"/>
              </w:rPr>
              <w:t>Spilopelia chinensis</w:t>
            </w:r>
          </w:p>
        </w:tc>
        <w:tc>
          <w:tcPr>
            <w:tcW w:w="400" w:type="pct"/>
            <w:vAlign w:val="center"/>
          </w:tcPr>
          <w:p w14:paraId="090E1AEF">
            <w:pPr>
              <w:pStyle w:val="94"/>
              <w:rPr>
                <w:color w:val="auto"/>
              </w:rPr>
            </w:pPr>
            <w:r>
              <w:rPr>
                <w:rFonts w:hint="eastAsia"/>
                <w:color w:val="auto"/>
              </w:rPr>
              <w:t>8</w:t>
            </w:r>
          </w:p>
        </w:tc>
        <w:tc>
          <w:tcPr>
            <w:tcW w:w="1008" w:type="pct"/>
            <w:vAlign w:val="center"/>
          </w:tcPr>
          <w:p w14:paraId="7D2C08BB">
            <w:pPr>
              <w:pStyle w:val="94"/>
              <w:rPr>
                <w:color w:val="auto"/>
              </w:rPr>
            </w:pPr>
            <w:r>
              <w:rPr>
                <w:rFonts w:hint="eastAsia"/>
                <w:color w:val="auto"/>
              </w:rPr>
              <w:t>村庄</w:t>
            </w:r>
          </w:p>
        </w:tc>
        <w:tc>
          <w:tcPr>
            <w:tcW w:w="561" w:type="pct"/>
            <w:vAlign w:val="center"/>
          </w:tcPr>
          <w:p w14:paraId="1D57D9D5">
            <w:pPr>
              <w:pStyle w:val="94"/>
              <w:rPr>
                <w:color w:val="auto"/>
              </w:rPr>
            </w:pPr>
            <w:r>
              <w:rPr>
                <w:rFonts w:hint="eastAsia"/>
                <w:color w:val="auto"/>
              </w:rPr>
              <w:t>　</w:t>
            </w:r>
          </w:p>
        </w:tc>
      </w:tr>
      <w:tr w14:paraId="1B8B75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6" w:type="pct"/>
            <w:vAlign w:val="center"/>
          </w:tcPr>
          <w:p w14:paraId="694144FB">
            <w:pPr>
              <w:pStyle w:val="94"/>
              <w:rPr>
                <w:rFonts w:eastAsia="Arial"/>
                <w:color w:val="auto"/>
              </w:rPr>
            </w:pPr>
            <w:r>
              <w:rPr>
                <w:rFonts w:hint="eastAsia"/>
                <w:color w:val="auto"/>
                <w:sz w:val="22"/>
                <w:szCs w:val="22"/>
              </w:rPr>
              <w:t>家燕</w:t>
            </w:r>
          </w:p>
        </w:tc>
        <w:tc>
          <w:tcPr>
            <w:tcW w:w="2225" w:type="pct"/>
            <w:vAlign w:val="center"/>
          </w:tcPr>
          <w:p w14:paraId="08005356">
            <w:pPr>
              <w:pStyle w:val="94"/>
              <w:rPr>
                <w:rFonts w:eastAsia="Arial"/>
                <w:i/>
                <w:iCs/>
                <w:color w:val="auto"/>
              </w:rPr>
            </w:pPr>
            <w:r>
              <w:rPr>
                <w:rFonts w:hint="eastAsia"/>
                <w:i/>
                <w:iCs/>
                <w:color w:val="auto"/>
                <w:sz w:val="22"/>
                <w:szCs w:val="22"/>
              </w:rPr>
              <w:t>Hirundo rustica</w:t>
            </w:r>
          </w:p>
        </w:tc>
        <w:tc>
          <w:tcPr>
            <w:tcW w:w="400" w:type="pct"/>
            <w:vAlign w:val="center"/>
          </w:tcPr>
          <w:p w14:paraId="0F89D147">
            <w:pPr>
              <w:pStyle w:val="94"/>
              <w:rPr>
                <w:color w:val="auto"/>
              </w:rPr>
            </w:pPr>
            <w:r>
              <w:rPr>
                <w:color w:val="auto"/>
              </w:rPr>
              <w:t>5</w:t>
            </w:r>
          </w:p>
        </w:tc>
        <w:tc>
          <w:tcPr>
            <w:tcW w:w="1008" w:type="pct"/>
            <w:vAlign w:val="center"/>
          </w:tcPr>
          <w:p w14:paraId="352E4BC3">
            <w:pPr>
              <w:pStyle w:val="94"/>
              <w:rPr>
                <w:color w:val="auto"/>
              </w:rPr>
            </w:pPr>
            <w:r>
              <w:rPr>
                <w:rFonts w:hint="eastAsia"/>
                <w:color w:val="auto"/>
              </w:rPr>
              <w:t>村庄</w:t>
            </w:r>
          </w:p>
        </w:tc>
        <w:tc>
          <w:tcPr>
            <w:tcW w:w="561" w:type="pct"/>
            <w:vAlign w:val="center"/>
          </w:tcPr>
          <w:p w14:paraId="4C1D4FCE">
            <w:pPr>
              <w:pStyle w:val="94"/>
              <w:rPr>
                <w:color w:val="auto"/>
              </w:rPr>
            </w:pPr>
            <w:r>
              <w:rPr>
                <w:rFonts w:hint="eastAsia"/>
                <w:color w:val="auto"/>
              </w:rPr>
              <w:t>　</w:t>
            </w:r>
          </w:p>
        </w:tc>
      </w:tr>
      <w:tr w14:paraId="0504AF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6" w:type="pct"/>
            <w:vAlign w:val="center"/>
          </w:tcPr>
          <w:p w14:paraId="5018CD39">
            <w:pPr>
              <w:pStyle w:val="94"/>
              <w:rPr>
                <w:rFonts w:eastAsia="Arial"/>
                <w:color w:val="auto"/>
              </w:rPr>
            </w:pPr>
            <w:r>
              <w:rPr>
                <w:rFonts w:hint="eastAsia"/>
                <w:color w:val="auto"/>
                <w:sz w:val="22"/>
                <w:szCs w:val="22"/>
              </w:rPr>
              <w:t>麻雀</w:t>
            </w:r>
          </w:p>
        </w:tc>
        <w:tc>
          <w:tcPr>
            <w:tcW w:w="2225" w:type="pct"/>
            <w:vAlign w:val="center"/>
          </w:tcPr>
          <w:p w14:paraId="6285EEED">
            <w:pPr>
              <w:pStyle w:val="94"/>
              <w:rPr>
                <w:rFonts w:eastAsia="Arial"/>
                <w:i/>
                <w:iCs/>
                <w:color w:val="auto"/>
              </w:rPr>
            </w:pPr>
            <w:r>
              <w:rPr>
                <w:rFonts w:hint="eastAsia"/>
                <w:i/>
                <w:iCs/>
                <w:color w:val="auto"/>
                <w:sz w:val="22"/>
                <w:szCs w:val="22"/>
              </w:rPr>
              <w:t>Passer montanus</w:t>
            </w:r>
          </w:p>
        </w:tc>
        <w:tc>
          <w:tcPr>
            <w:tcW w:w="400" w:type="pct"/>
            <w:vAlign w:val="center"/>
          </w:tcPr>
          <w:p w14:paraId="472BF787">
            <w:pPr>
              <w:pStyle w:val="94"/>
              <w:rPr>
                <w:color w:val="auto"/>
              </w:rPr>
            </w:pPr>
            <w:r>
              <w:rPr>
                <w:color w:val="auto"/>
              </w:rPr>
              <w:t>18</w:t>
            </w:r>
          </w:p>
        </w:tc>
        <w:tc>
          <w:tcPr>
            <w:tcW w:w="1008" w:type="pct"/>
            <w:vAlign w:val="center"/>
          </w:tcPr>
          <w:p w14:paraId="7CC3D26D">
            <w:pPr>
              <w:pStyle w:val="94"/>
              <w:rPr>
                <w:color w:val="auto"/>
              </w:rPr>
            </w:pPr>
            <w:r>
              <w:rPr>
                <w:rFonts w:hint="eastAsia"/>
                <w:color w:val="auto"/>
              </w:rPr>
              <w:t>农田</w:t>
            </w:r>
          </w:p>
        </w:tc>
        <w:tc>
          <w:tcPr>
            <w:tcW w:w="561" w:type="pct"/>
            <w:vAlign w:val="center"/>
          </w:tcPr>
          <w:p w14:paraId="7F6C9E5F">
            <w:pPr>
              <w:pStyle w:val="94"/>
              <w:rPr>
                <w:color w:val="auto"/>
              </w:rPr>
            </w:pPr>
            <w:r>
              <w:rPr>
                <w:rFonts w:hint="eastAsia"/>
                <w:color w:val="auto"/>
              </w:rPr>
              <w:t>　</w:t>
            </w:r>
          </w:p>
        </w:tc>
      </w:tr>
      <w:tr w14:paraId="44E5F9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6" w:type="pct"/>
            <w:vAlign w:val="center"/>
          </w:tcPr>
          <w:p w14:paraId="1FD181FC">
            <w:pPr>
              <w:pStyle w:val="94"/>
              <w:rPr>
                <w:rFonts w:eastAsia="Arial"/>
                <w:color w:val="auto"/>
              </w:rPr>
            </w:pPr>
            <w:r>
              <w:rPr>
                <w:rFonts w:hint="eastAsia"/>
                <w:color w:val="auto"/>
                <w:sz w:val="22"/>
                <w:szCs w:val="22"/>
              </w:rPr>
              <w:t>四声杜鹃</w:t>
            </w:r>
          </w:p>
        </w:tc>
        <w:tc>
          <w:tcPr>
            <w:tcW w:w="2225" w:type="pct"/>
            <w:vAlign w:val="center"/>
          </w:tcPr>
          <w:p w14:paraId="43746E9F">
            <w:pPr>
              <w:pStyle w:val="94"/>
              <w:rPr>
                <w:rFonts w:eastAsia="Arial"/>
                <w:i/>
                <w:iCs/>
                <w:color w:val="auto"/>
              </w:rPr>
            </w:pPr>
            <w:r>
              <w:rPr>
                <w:rFonts w:hint="eastAsia"/>
                <w:i/>
                <w:iCs/>
                <w:color w:val="auto"/>
                <w:sz w:val="22"/>
                <w:szCs w:val="22"/>
              </w:rPr>
              <w:t>Cuculus micropterus</w:t>
            </w:r>
          </w:p>
        </w:tc>
        <w:tc>
          <w:tcPr>
            <w:tcW w:w="400" w:type="pct"/>
            <w:vAlign w:val="center"/>
          </w:tcPr>
          <w:p w14:paraId="64C4ADF0">
            <w:pPr>
              <w:pStyle w:val="94"/>
              <w:rPr>
                <w:color w:val="auto"/>
              </w:rPr>
            </w:pPr>
            <w:r>
              <w:rPr>
                <w:color w:val="auto"/>
              </w:rPr>
              <w:t>4</w:t>
            </w:r>
          </w:p>
        </w:tc>
        <w:tc>
          <w:tcPr>
            <w:tcW w:w="1008" w:type="pct"/>
            <w:vAlign w:val="center"/>
          </w:tcPr>
          <w:p w14:paraId="6851CAC5">
            <w:pPr>
              <w:pStyle w:val="94"/>
              <w:rPr>
                <w:color w:val="auto"/>
              </w:rPr>
            </w:pPr>
            <w:r>
              <w:rPr>
                <w:rFonts w:hint="eastAsia"/>
                <w:color w:val="auto"/>
              </w:rPr>
              <w:t>乔木林</w:t>
            </w:r>
          </w:p>
        </w:tc>
        <w:tc>
          <w:tcPr>
            <w:tcW w:w="561" w:type="pct"/>
            <w:vAlign w:val="center"/>
          </w:tcPr>
          <w:p w14:paraId="24DCC7B4">
            <w:pPr>
              <w:pStyle w:val="94"/>
              <w:rPr>
                <w:color w:val="auto"/>
              </w:rPr>
            </w:pPr>
            <w:r>
              <w:rPr>
                <w:rFonts w:hint="eastAsia"/>
                <w:color w:val="auto"/>
              </w:rPr>
              <w:t>　</w:t>
            </w:r>
          </w:p>
        </w:tc>
      </w:tr>
      <w:tr w14:paraId="7CDFE0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6" w:type="pct"/>
            <w:vAlign w:val="center"/>
          </w:tcPr>
          <w:p w14:paraId="45A4EE59">
            <w:pPr>
              <w:pStyle w:val="94"/>
              <w:rPr>
                <w:rFonts w:eastAsia="Arial"/>
                <w:color w:val="auto"/>
              </w:rPr>
            </w:pPr>
            <w:r>
              <w:rPr>
                <w:rFonts w:hint="eastAsia"/>
                <w:color w:val="auto"/>
                <w:sz w:val="22"/>
                <w:szCs w:val="22"/>
              </w:rPr>
              <w:t>大杜鹃</w:t>
            </w:r>
          </w:p>
        </w:tc>
        <w:tc>
          <w:tcPr>
            <w:tcW w:w="2225" w:type="pct"/>
            <w:vAlign w:val="center"/>
          </w:tcPr>
          <w:p w14:paraId="635893A9">
            <w:pPr>
              <w:pStyle w:val="94"/>
              <w:rPr>
                <w:rFonts w:eastAsia="Arial"/>
                <w:i/>
                <w:iCs/>
                <w:color w:val="auto"/>
              </w:rPr>
            </w:pPr>
            <w:r>
              <w:rPr>
                <w:rFonts w:hint="eastAsia"/>
                <w:i/>
                <w:iCs/>
                <w:color w:val="auto"/>
                <w:sz w:val="22"/>
                <w:szCs w:val="22"/>
              </w:rPr>
              <w:t>Cuculus canorus</w:t>
            </w:r>
          </w:p>
        </w:tc>
        <w:tc>
          <w:tcPr>
            <w:tcW w:w="400" w:type="pct"/>
            <w:vAlign w:val="center"/>
          </w:tcPr>
          <w:p w14:paraId="5825B799">
            <w:pPr>
              <w:pStyle w:val="94"/>
              <w:rPr>
                <w:color w:val="auto"/>
              </w:rPr>
            </w:pPr>
            <w:r>
              <w:rPr>
                <w:color w:val="auto"/>
              </w:rPr>
              <w:t>6</w:t>
            </w:r>
          </w:p>
        </w:tc>
        <w:tc>
          <w:tcPr>
            <w:tcW w:w="1008" w:type="pct"/>
            <w:vAlign w:val="center"/>
          </w:tcPr>
          <w:p w14:paraId="3A01566D">
            <w:pPr>
              <w:pStyle w:val="94"/>
              <w:rPr>
                <w:color w:val="auto"/>
              </w:rPr>
            </w:pPr>
            <w:r>
              <w:rPr>
                <w:rFonts w:hint="eastAsia"/>
                <w:color w:val="auto"/>
              </w:rPr>
              <w:t>乔木林</w:t>
            </w:r>
          </w:p>
        </w:tc>
        <w:tc>
          <w:tcPr>
            <w:tcW w:w="561" w:type="pct"/>
            <w:vAlign w:val="center"/>
          </w:tcPr>
          <w:p w14:paraId="605D7860">
            <w:pPr>
              <w:pStyle w:val="94"/>
              <w:rPr>
                <w:color w:val="auto"/>
              </w:rPr>
            </w:pPr>
            <w:r>
              <w:rPr>
                <w:rFonts w:hint="eastAsia"/>
                <w:color w:val="auto"/>
              </w:rPr>
              <w:t>　</w:t>
            </w:r>
          </w:p>
        </w:tc>
      </w:tr>
      <w:tr w14:paraId="13F12D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6" w:type="pct"/>
            <w:vAlign w:val="center"/>
          </w:tcPr>
          <w:p w14:paraId="33B38DD9">
            <w:pPr>
              <w:pStyle w:val="94"/>
              <w:rPr>
                <w:color w:val="auto"/>
                <w:sz w:val="22"/>
                <w:szCs w:val="22"/>
              </w:rPr>
            </w:pPr>
            <w:r>
              <w:rPr>
                <w:rFonts w:hint="eastAsia"/>
                <w:color w:val="auto"/>
                <w:sz w:val="22"/>
                <w:szCs w:val="22"/>
              </w:rPr>
              <w:t>雉鸡</w:t>
            </w:r>
          </w:p>
        </w:tc>
        <w:tc>
          <w:tcPr>
            <w:tcW w:w="2225" w:type="pct"/>
            <w:vAlign w:val="center"/>
          </w:tcPr>
          <w:p w14:paraId="0A559C78">
            <w:pPr>
              <w:pStyle w:val="94"/>
              <w:rPr>
                <w:i/>
                <w:iCs/>
                <w:color w:val="auto"/>
                <w:sz w:val="22"/>
                <w:szCs w:val="22"/>
              </w:rPr>
            </w:pPr>
            <w:r>
              <w:rPr>
                <w:rFonts w:hint="eastAsia"/>
                <w:i/>
                <w:iCs/>
                <w:color w:val="auto"/>
                <w:sz w:val="22"/>
                <w:szCs w:val="22"/>
              </w:rPr>
              <w:t>Phasianus colchicus</w:t>
            </w:r>
          </w:p>
        </w:tc>
        <w:tc>
          <w:tcPr>
            <w:tcW w:w="400" w:type="pct"/>
            <w:vAlign w:val="center"/>
          </w:tcPr>
          <w:p w14:paraId="11606AE2">
            <w:pPr>
              <w:pStyle w:val="94"/>
              <w:rPr>
                <w:color w:val="auto"/>
              </w:rPr>
            </w:pPr>
            <w:r>
              <w:rPr>
                <w:color w:val="auto"/>
              </w:rPr>
              <w:t>3</w:t>
            </w:r>
          </w:p>
        </w:tc>
        <w:tc>
          <w:tcPr>
            <w:tcW w:w="1008" w:type="pct"/>
            <w:vAlign w:val="center"/>
          </w:tcPr>
          <w:p w14:paraId="3AF117EC">
            <w:pPr>
              <w:pStyle w:val="94"/>
              <w:rPr>
                <w:color w:val="auto"/>
              </w:rPr>
            </w:pPr>
            <w:r>
              <w:rPr>
                <w:rFonts w:hint="eastAsia"/>
                <w:color w:val="auto"/>
              </w:rPr>
              <w:t>草丛</w:t>
            </w:r>
          </w:p>
        </w:tc>
        <w:tc>
          <w:tcPr>
            <w:tcW w:w="561" w:type="pct"/>
            <w:vAlign w:val="center"/>
          </w:tcPr>
          <w:p w14:paraId="4E2F9EF0">
            <w:pPr>
              <w:pStyle w:val="94"/>
              <w:rPr>
                <w:color w:val="auto"/>
              </w:rPr>
            </w:pPr>
          </w:p>
        </w:tc>
      </w:tr>
      <w:tr w14:paraId="27AD04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6" w:type="pct"/>
            <w:vAlign w:val="center"/>
          </w:tcPr>
          <w:p w14:paraId="26746941">
            <w:pPr>
              <w:pStyle w:val="94"/>
              <w:rPr>
                <w:rFonts w:eastAsia="Arial"/>
                <w:color w:val="auto"/>
              </w:rPr>
            </w:pPr>
            <w:r>
              <w:rPr>
                <w:rFonts w:hint="eastAsia"/>
                <w:color w:val="auto"/>
                <w:sz w:val="22"/>
                <w:szCs w:val="22"/>
              </w:rPr>
              <w:t>大斑啄木鸟</w:t>
            </w:r>
          </w:p>
        </w:tc>
        <w:tc>
          <w:tcPr>
            <w:tcW w:w="2225" w:type="pct"/>
            <w:vAlign w:val="center"/>
          </w:tcPr>
          <w:p w14:paraId="5AF6A1ED">
            <w:pPr>
              <w:pStyle w:val="94"/>
              <w:rPr>
                <w:rFonts w:eastAsia="Arial"/>
                <w:i/>
                <w:iCs/>
                <w:color w:val="auto"/>
              </w:rPr>
            </w:pPr>
            <w:r>
              <w:rPr>
                <w:rFonts w:hint="eastAsia"/>
                <w:i/>
                <w:iCs/>
                <w:color w:val="auto"/>
                <w:sz w:val="22"/>
                <w:szCs w:val="22"/>
              </w:rPr>
              <w:t>Dendrocopos major</w:t>
            </w:r>
          </w:p>
        </w:tc>
        <w:tc>
          <w:tcPr>
            <w:tcW w:w="400" w:type="pct"/>
            <w:vAlign w:val="center"/>
          </w:tcPr>
          <w:p w14:paraId="42AEED98">
            <w:pPr>
              <w:pStyle w:val="94"/>
              <w:rPr>
                <w:color w:val="auto"/>
              </w:rPr>
            </w:pPr>
            <w:r>
              <w:rPr>
                <w:color w:val="auto"/>
              </w:rPr>
              <w:t>6</w:t>
            </w:r>
          </w:p>
        </w:tc>
        <w:tc>
          <w:tcPr>
            <w:tcW w:w="1008" w:type="pct"/>
            <w:vAlign w:val="center"/>
          </w:tcPr>
          <w:p w14:paraId="4BDDBAA8">
            <w:pPr>
              <w:pStyle w:val="94"/>
              <w:rPr>
                <w:color w:val="auto"/>
              </w:rPr>
            </w:pPr>
            <w:r>
              <w:rPr>
                <w:rFonts w:hint="eastAsia"/>
                <w:color w:val="auto"/>
              </w:rPr>
              <w:t>乔木林</w:t>
            </w:r>
          </w:p>
        </w:tc>
        <w:tc>
          <w:tcPr>
            <w:tcW w:w="561" w:type="pct"/>
            <w:vAlign w:val="center"/>
          </w:tcPr>
          <w:p w14:paraId="144EA217">
            <w:pPr>
              <w:pStyle w:val="94"/>
              <w:rPr>
                <w:color w:val="auto"/>
              </w:rPr>
            </w:pPr>
          </w:p>
        </w:tc>
      </w:tr>
    </w:tbl>
    <w:p w14:paraId="339D1784">
      <w:pPr>
        <w:pStyle w:val="96"/>
        <w:ind w:firstLine="480"/>
        <w:rPr>
          <w:rFonts w:cs="Arial"/>
        </w:rPr>
      </w:pPr>
      <w:r>
        <w:rPr>
          <w:rFonts w:hint="eastAsia"/>
        </w:rPr>
        <w:t>野外使用访问法和样线法调查。调查到兽类5种，它们中有</w:t>
      </w:r>
      <w:r>
        <w:t>4</w:t>
      </w:r>
      <w:r>
        <w:rPr>
          <w:rFonts w:hint="eastAsia"/>
        </w:rPr>
        <w:t>种是访问得到，有1种获得了实体标本或观察到了痕迹。</w:t>
      </w:r>
    </w:p>
    <w:p w14:paraId="2C9BF8E6">
      <w:pPr>
        <w:pStyle w:val="19"/>
        <w:keepNext/>
      </w:pPr>
      <w:bookmarkStart w:id="150" w:name="_Ref167175086"/>
      <w:r>
        <w:t xml:space="preserve">表 </w:t>
      </w:r>
      <w:r>
        <w:fldChar w:fldCharType="begin"/>
      </w:r>
      <w:r>
        <w:instrText xml:space="preserve"> SEQ 表 \* ARABIC </w:instrText>
      </w:r>
      <w:r>
        <w:fldChar w:fldCharType="separate"/>
      </w:r>
      <w:r>
        <w:t>69</w:t>
      </w:r>
      <w:r>
        <w:fldChar w:fldCharType="end"/>
      </w:r>
      <w:bookmarkEnd w:id="150"/>
      <w:r>
        <w:rPr>
          <w:rFonts w:hint="eastAsia"/>
        </w:rPr>
        <w:t>评价区兽类野外调查结果</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95"/>
        <w:gridCol w:w="4623"/>
        <w:gridCol w:w="1757"/>
        <w:gridCol w:w="2506"/>
      </w:tblGrid>
      <w:tr w14:paraId="4DE4E3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757" w:type="dxa"/>
            <w:noWrap/>
            <w:vAlign w:val="center"/>
          </w:tcPr>
          <w:p w14:paraId="76A85024">
            <w:pPr>
              <w:pStyle w:val="94"/>
              <w:rPr>
                <w:color w:val="auto"/>
              </w:rPr>
            </w:pPr>
            <w:r>
              <w:rPr>
                <w:rFonts w:hint="eastAsia"/>
                <w:color w:val="auto"/>
              </w:rPr>
              <w:t>物种名</w:t>
            </w:r>
          </w:p>
        </w:tc>
        <w:tc>
          <w:tcPr>
            <w:tcW w:w="4526" w:type="dxa"/>
            <w:noWrap/>
            <w:vAlign w:val="center"/>
          </w:tcPr>
          <w:p w14:paraId="321764F2">
            <w:pPr>
              <w:pStyle w:val="94"/>
              <w:rPr>
                <w:color w:val="auto"/>
              </w:rPr>
            </w:pPr>
            <w:r>
              <w:rPr>
                <w:rFonts w:hint="eastAsia"/>
                <w:color w:val="auto"/>
              </w:rPr>
              <w:t>拉丁名</w:t>
            </w:r>
          </w:p>
        </w:tc>
        <w:tc>
          <w:tcPr>
            <w:tcW w:w="1720" w:type="dxa"/>
            <w:noWrap/>
            <w:vAlign w:val="center"/>
          </w:tcPr>
          <w:p w14:paraId="46887919">
            <w:pPr>
              <w:pStyle w:val="94"/>
              <w:rPr>
                <w:color w:val="auto"/>
              </w:rPr>
            </w:pPr>
            <w:r>
              <w:rPr>
                <w:rFonts w:hint="eastAsia"/>
                <w:color w:val="auto"/>
              </w:rPr>
              <w:t>数量</w:t>
            </w:r>
          </w:p>
        </w:tc>
        <w:tc>
          <w:tcPr>
            <w:tcW w:w="2453" w:type="dxa"/>
            <w:noWrap/>
            <w:vAlign w:val="center"/>
          </w:tcPr>
          <w:p w14:paraId="7C9A7E1C">
            <w:pPr>
              <w:pStyle w:val="94"/>
              <w:rPr>
                <w:color w:val="auto"/>
              </w:rPr>
            </w:pPr>
            <w:r>
              <w:rPr>
                <w:rFonts w:hint="eastAsia"/>
                <w:color w:val="auto"/>
              </w:rPr>
              <w:t>调查方式</w:t>
            </w:r>
          </w:p>
        </w:tc>
      </w:tr>
      <w:tr w14:paraId="4A5D1B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757" w:type="dxa"/>
            <w:noWrap/>
            <w:vAlign w:val="center"/>
          </w:tcPr>
          <w:p w14:paraId="60FFF050">
            <w:pPr>
              <w:pStyle w:val="94"/>
              <w:rPr>
                <w:color w:val="auto"/>
              </w:rPr>
            </w:pPr>
            <w:r>
              <w:rPr>
                <w:rFonts w:hint="eastAsia"/>
                <w:color w:val="auto"/>
              </w:rPr>
              <w:t>草兔</w:t>
            </w:r>
          </w:p>
        </w:tc>
        <w:tc>
          <w:tcPr>
            <w:tcW w:w="4526" w:type="dxa"/>
            <w:noWrap/>
            <w:vAlign w:val="center"/>
          </w:tcPr>
          <w:p w14:paraId="55B3264C">
            <w:pPr>
              <w:pStyle w:val="94"/>
              <w:rPr>
                <w:i/>
                <w:iCs/>
                <w:color w:val="auto"/>
              </w:rPr>
            </w:pPr>
            <w:r>
              <w:rPr>
                <w:rFonts w:hint="eastAsia"/>
                <w:i/>
                <w:iCs/>
                <w:color w:val="auto"/>
              </w:rPr>
              <w:t>Lepus capensis</w:t>
            </w:r>
          </w:p>
        </w:tc>
        <w:tc>
          <w:tcPr>
            <w:tcW w:w="1720" w:type="dxa"/>
            <w:noWrap/>
            <w:vAlign w:val="center"/>
          </w:tcPr>
          <w:p w14:paraId="54D10767">
            <w:pPr>
              <w:pStyle w:val="94"/>
              <w:rPr>
                <w:color w:val="auto"/>
              </w:rPr>
            </w:pPr>
            <w:r>
              <w:rPr>
                <w:color w:val="auto"/>
              </w:rPr>
              <w:t>4</w:t>
            </w:r>
          </w:p>
        </w:tc>
        <w:tc>
          <w:tcPr>
            <w:tcW w:w="2453" w:type="dxa"/>
            <w:noWrap/>
            <w:vAlign w:val="center"/>
          </w:tcPr>
          <w:p w14:paraId="7215D36E">
            <w:pPr>
              <w:pStyle w:val="94"/>
              <w:rPr>
                <w:color w:val="auto"/>
              </w:rPr>
            </w:pPr>
            <w:r>
              <w:rPr>
                <w:rFonts w:hint="eastAsia"/>
                <w:color w:val="auto"/>
              </w:rPr>
              <w:t>观察到足迹及实体</w:t>
            </w:r>
          </w:p>
        </w:tc>
      </w:tr>
      <w:tr w14:paraId="03FDCC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757" w:type="dxa"/>
            <w:noWrap/>
            <w:vAlign w:val="center"/>
          </w:tcPr>
          <w:p w14:paraId="70E461F8">
            <w:pPr>
              <w:pStyle w:val="94"/>
              <w:rPr>
                <w:color w:val="auto"/>
              </w:rPr>
            </w:pPr>
            <w:r>
              <w:rPr>
                <w:rFonts w:hint="eastAsia"/>
                <w:color w:val="auto"/>
              </w:rPr>
              <w:t>野猪</w:t>
            </w:r>
          </w:p>
        </w:tc>
        <w:tc>
          <w:tcPr>
            <w:tcW w:w="4526" w:type="dxa"/>
            <w:noWrap/>
            <w:vAlign w:val="center"/>
          </w:tcPr>
          <w:p w14:paraId="048F5E89">
            <w:pPr>
              <w:pStyle w:val="94"/>
              <w:rPr>
                <w:i/>
                <w:iCs/>
                <w:color w:val="auto"/>
              </w:rPr>
            </w:pPr>
            <w:r>
              <w:rPr>
                <w:rFonts w:hint="eastAsia"/>
                <w:i/>
                <w:iCs/>
                <w:color w:val="auto"/>
              </w:rPr>
              <w:t>Sus scrofa</w:t>
            </w:r>
          </w:p>
        </w:tc>
        <w:tc>
          <w:tcPr>
            <w:tcW w:w="1720" w:type="dxa"/>
            <w:noWrap/>
            <w:vAlign w:val="center"/>
          </w:tcPr>
          <w:p w14:paraId="0B2A4F91">
            <w:pPr>
              <w:pStyle w:val="94"/>
              <w:rPr>
                <w:color w:val="auto"/>
              </w:rPr>
            </w:pPr>
            <w:r>
              <w:rPr>
                <w:color w:val="auto"/>
              </w:rPr>
              <w:t>/</w:t>
            </w:r>
          </w:p>
        </w:tc>
        <w:tc>
          <w:tcPr>
            <w:tcW w:w="2453" w:type="dxa"/>
            <w:noWrap/>
            <w:vAlign w:val="center"/>
          </w:tcPr>
          <w:p w14:paraId="713B1E14">
            <w:pPr>
              <w:pStyle w:val="94"/>
              <w:rPr>
                <w:color w:val="auto"/>
              </w:rPr>
            </w:pPr>
            <w:r>
              <w:rPr>
                <w:rFonts w:hint="eastAsia"/>
                <w:color w:val="auto"/>
              </w:rPr>
              <w:t>访问</w:t>
            </w:r>
          </w:p>
        </w:tc>
      </w:tr>
      <w:tr w14:paraId="631A06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757" w:type="dxa"/>
            <w:noWrap/>
            <w:vAlign w:val="center"/>
          </w:tcPr>
          <w:p w14:paraId="3A8D6A0E">
            <w:pPr>
              <w:pStyle w:val="94"/>
              <w:rPr>
                <w:color w:val="auto"/>
              </w:rPr>
            </w:pPr>
            <w:r>
              <w:rPr>
                <w:rFonts w:hint="eastAsia"/>
                <w:color w:val="auto"/>
              </w:rPr>
              <w:t>褐家鼠</w:t>
            </w:r>
          </w:p>
        </w:tc>
        <w:tc>
          <w:tcPr>
            <w:tcW w:w="4526" w:type="dxa"/>
            <w:noWrap/>
            <w:vAlign w:val="center"/>
          </w:tcPr>
          <w:p w14:paraId="5E2A60EB">
            <w:pPr>
              <w:pStyle w:val="94"/>
              <w:rPr>
                <w:i/>
                <w:iCs/>
                <w:color w:val="auto"/>
              </w:rPr>
            </w:pPr>
            <w:r>
              <w:rPr>
                <w:rFonts w:hint="eastAsia"/>
                <w:i/>
                <w:iCs/>
                <w:color w:val="auto"/>
              </w:rPr>
              <w:t>Rattus norvegicus</w:t>
            </w:r>
          </w:p>
        </w:tc>
        <w:tc>
          <w:tcPr>
            <w:tcW w:w="1720" w:type="dxa"/>
            <w:noWrap/>
            <w:vAlign w:val="center"/>
          </w:tcPr>
          <w:p w14:paraId="1AD4FC4D">
            <w:pPr>
              <w:pStyle w:val="94"/>
              <w:rPr>
                <w:color w:val="auto"/>
              </w:rPr>
            </w:pPr>
            <w:r>
              <w:rPr>
                <w:rFonts w:hint="eastAsia"/>
                <w:color w:val="auto"/>
              </w:rPr>
              <w:t>/</w:t>
            </w:r>
          </w:p>
        </w:tc>
        <w:tc>
          <w:tcPr>
            <w:tcW w:w="2453" w:type="dxa"/>
            <w:noWrap/>
            <w:vAlign w:val="center"/>
          </w:tcPr>
          <w:p w14:paraId="77DFE325">
            <w:pPr>
              <w:pStyle w:val="94"/>
              <w:rPr>
                <w:color w:val="auto"/>
              </w:rPr>
            </w:pPr>
            <w:r>
              <w:rPr>
                <w:rFonts w:hint="eastAsia"/>
                <w:color w:val="auto"/>
              </w:rPr>
              <w:t>访问</w:t>
            </w:r>
          </w:p>
        </w:tc>
      </w:tr>
      <w:tr w14:paraId="708870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757" w:type="dxa"/>
            <w:noWrap/>
            <w:vAlign w:val="center"/>
          </w:tcPr>
          <w:p w14:paraId="78687FBC">
            <w:pPr>
              <w:pStyle w:val="94"/>
              <w:rPr>
                <w:color w:val="auto"/>
              </w:rPr>
            </w:pPr>
            <w:r>
              <w:rPr>
                <w:rFonts w:hint="eastAsia"/>
                <w:color w:val="auto"/>
              </w:rPr>
              <w:t>小家鼠</w:t>
            </w:r>
          </w:p>
        </w:tc>
        <w:tc>
          <w:tcPr>
            <w:tcW w:w="4526" w:type="dxa"/>
            <w:noWrap/>
            <w:vAlign w:val="center"/>
          </w:tcPr>
          <w:p w14:paraId="5BF95844">
            <w:pPr>
              <w:pStyle w:val="94"/>
              <w:rPr>
                <w:i/>
                <w:iCs/>
                <w:color w:val="auto"/>
              </w:rPr>
            </w:pPr>
            <w:r>
              <w:rPr>
                <w:rFonts w:hint="eastAsia"/>
                <w:i/>
                <w:iCs/>
                <w:color w:val="auto"/>
              </w:rPr>
              <w:t>Mus musculus</w:t>
            </w:r>
          </w:p>
        </w:tc>
        <w:tc>
          <w:tcPr>
            <w:tcW w:w="1720" w:type="dxa"/>
            <w:noWrap/>
            <w:vAlign w:val="center"/>
          </w:tcPr>
          <w:p w14:paraId="07BC040B">
            <w:pPr>
              <w:pStyle w:val="94"/>
              <w:rPr>
                <w:color w:val="auto"/>
              </w:rPr>
            </w:pPr>
            <w:r>
              <w:rPr>
                <w:rFonts w:hint="eastAsia"/>
                <w:color w:val="auto"/>
              </w:rPr>
              <w:t>/</w:t>
            </w:r>
          </w:p>
        </w:tc>
        <w:tc>
          <w:tcPr>
            <w:tcW w:w="2453" w:type="dxa"/>
            <w:noWrap/>
            <w:vAlign w:val="center"/>
          </w:tcPr>
          <w:p w14:paraId="52F3DD95">
            <w:pPr>
              <w:pStyle w:val="94"/>
              <w:rPr>
                <w:color w:val="auto"/>
              </w:rPr>
            </w:pPr>
            <w:r>
              <w:rPr>
                <w:rFonts w:hint="eastAsia"/>
                <w:color w:val="auto"/>
              </w:rPr>
              <w:t>访问</w:t>
            </w:r>
          </w:p>
        </w:tc>
      </w:tr>
      <w:tr w14:paraId="66DECA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757" w:type="dxa"/>
            <w:noWrap/>
            <w:vAlign w:val="center"/>
          </w:tcPr>
          <w:p w14:paraId="3D5D245F">
            <w:pPr>
              <w:pStyle w:val="94"/>
              <w:rPr>
                <w:color w:val="auto"/>
              </w:rPr>
            </w:pPr>
            <w:r>
              <w:rPr>
                <w:rFonts w:hint="eastAsia"/>
                <w:color w:val="auto"/>
              </w:rPr>
              <w:t>蝙蝠</w:t>
            </w:r>
          </w:p>
        </w:tc>
        <w:tc>
          <w:tcPr>
            <w:tcW w:w="4526" w:type="dxa"/>
            <w:noWrap/>
            <w:vAlign w:val="center"/>
          </w:tcPr>
          <w:p w14:paraId="3949228F">
            <w:pPr>
              <w:pStyle w:val="94"/>
              <w:rPr>
                <w:i/>
                <w:iCs/>
                <w:color w:val="auto"/>
              </w:rPr>
            </w:pPr>
            <w:r>
              <w:rPr>
                <w:rFonts w:hint="eastAsia"/>
                <w:i/>
                <w:iCs/>
                <w:color w:val="auto"/>
              </w:rPr>
              <w:t>Chiroptera</w:t>
            </w:r>
          </w:p>
        </w:tc>
        <w:tc>
          <w:tcPr>
            <w:tcW w:w="1720" w:type="dxa"/>
            <w:noWrap/>
            <w:vAlign w:val="center"/>
          </w:tcPr>
          <w:p w14:paraId="45BF9DD1">
            <w:pPr>
              <w:pStyle w:val="94"/>
              <w:rPr>
                <w:color w:val="auto"/>
              </w:rPr>
            </w:pPr>
            <w:r>
              <w:rPr>
                <w:color w:val="auto"/>
              </w:rPr>
              <w:t>/</w:t>
            </w:r>
          </w:p>
        </w:tc>
        <w:tc>
          <w:tcPr>
            <w:tcW w:w="2453" w:type="dxa"/>
            <w:noWrap/>
            <w:vAlign w:val="center"/>
          </w:tcPr>
          <w:p w14:paraId="63163AE8">
            <w:pPr>
              <w:pStyle w:val="94"/>
              <w:rPr>
                <w:color w:val="auto"/>
              </w:rPr>
            </w:pPr>
            <w:r>
              <w:rPr>
                <w:rFonts w:hint="eastAsia"/>
                <w:color w:val="auto"/>
              </w:rPr>
              <w:t>访问</w:t>
            </w:r>
          </w:p>
        </w:tc>
      </w:tr>
    </w:tbl>
    <w:p w14:paraId="0C0299CD">
      <w:pPr>
        <w:pStyle w:val="96"/>
        <w:ind w:firstLine="480"/>
      </w:pPr>
    </w:p>
    <w:p w14:paraId="5AD3140E">
      <w:pPr>
        <w:pStyle w:val="96"/>
        <w:keepNext/>
        <w:spacing w:line="240" w:lineRule="auto"/>
        <w:ind w:firstLine="0" w:firstLineChars="0"/>
        <w:jc w:val="center"/>
      </w:pPr>
      <w:r>
        <w:rPr>
          <w:rFonts w:hint="eastAsia"/>
        </w:rPr>
        <w:drawing>
          <wp:inline distT="0" distB="0" distL="0" distR="0">
            <wp:extent cx="6645910" cy="4702810"/>
            <wp:effectExtent l="0" t="0" r="2540" b="2540"/>
            <wp:docPr id="11963061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306104" name="图片 1"/>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645910" cy="4702810"/>
                    </a:xfrm>
                    <a:prstGeom prst="rect">
                      <a:avLst/>
                    </a:prstGeom>
                  </pic:spPr>
                </pic:pic>
              </a:graphicData>
            </a:graphic>
          </wp:inline>
        </w:drawing>
      </w:r>
    </w:p>
    <w:p w14:paraId="6EB53AF8">
      <w:pPr>
        <w:pStyle w:val="19"/>
      </w:pPr>
      <w:bookmarkStart w:id="151" w:name="_Ref167175112"/>
      <w:r>
        <w:t xml:space="preserve">图 </w:t>
      </w:r>
      <w:r>
        <w:fldChar w:fldCharType="begin"/>
      </w:r>
      <w:r>
        <w:instrText xml:space="preserve"> SEQ 图 \* ARABIC </w:instrText>
      </w:r>
      <w:r>
        <w:fldChar w:fldCharType="separate"/>
      </w:r>
      <w:r>
        <w:t>8</w:t>
      </w:r>
      <w:r>
        <w:fldChar w:fldCharType="end"/>
      </w:r>
      <w:bookmarkEnd w:id="151"/>
      <w:r>
        <w:rPr>
          <w:rFonts w:hint="eastAsia"/>
        </w:rPr>
        <w:t>本项目野生动物调查样线分布图</w:t>
      </w:r>
    </w:p>
    <w:p w14:paraId="39C79EFC">
      <w:pPr>
        <w:pStyle w:val="96"/>
        <w:ind w:firstLine="480"/>
        <w:sectPr>
          <w:pgSz w:w="11906" w:h="16838"/>
          <w:pgMar w:top="720" w:right="720" w:bottom="720" w:left="720" w:header="851" w:footer="1077" w:gutter="0"/>
          <w:cols w:space="425" w:num="1"/>
          <w:docGrid w:linePitch="312" w:charSpace="0"/>
        </w:sectPr>
      </w:pPr>
    </w:p>
    <w:p w14:paraId="6A56FC0D">
      <w:pPr>
        <w:pStyle w:val="5"/>
      </w:pPr>
      <w:r>
        <w:t>陆生野生动物资源</w:t>
      </w:r>
    </w:p>
    <w:p w14:paraId="2610612E">
      <w:pPr>
        <w:pStyle w:val="96"/>
        <w:ind w:firstLine="480"/>
      </w:pPr>
      <w:r>
        <w:rPr>
          <w:rFonts w:hint="eastAsia"/>
        </w:rPr>
        <w:t>1、哺乳类野生动物</w:t>
      </w:r>
    </w:p>
    <w:p w14:paraId="5D6CEF1C">
      <w:pPr>
        <w:pStyle w:val="96"/>
        <w:ind w:firstLine="480"/>
      </w:pPr>
      <w:r>
        <w:rPr>
          <w:rFonts w:hint="eastAsia"/>
        </w:rPr>
        <w:t>经查阅相关资料，访问当地居民，调查共有6目10科19种哺乳类野生动物，无山西省重点野生物动物，无“三危物种”，特有种1种，无国家重点保护野生动物。具体见下表。</w:t>
      </w:r>
    </w:p>
    <w:p w14:paraId="371DF75D">
      <w:pPr>
        <w:pStyle w:val="19"/>
        <w:keepNext/>
      </w:pPr>
      <w:r>
        <w:t xml:space="preserve">表 </w:t>
      </w:r>
      <w:r>
        <w:fldChar w:fldCharType="begin"/>
      </w:r>
      <w:r>
        <w:instrText xml:space="preserve"> SEQ 表 \* ARABIC </w:instrText>
      </w:r>
      <w:r>
        <w:fldChar w:fldCharType="separate"/>
      </w:r>
      <w:r>
        <w:t>70</w:t>
      </w:r>
      <w:r>
        <w:fldChar w:fldCharType="end"/>
      </w:r>
      <w:r>
        <w:rPr>
          <w:rFonts w:hint="eastAsia"/>
        </w:rPr>
        <w:t>调查样区域哺乳类名录</w:t>
      </w:r>
    </w:p>
    <w:tbl>
      <w:tblPr>
        <w:tblStyle w:val="39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6"/>
        <w:gridCol w:w="946"/>
        <w:gridCol w:w="1418"/>
        <w:gridCol w:w="3633"/>
        <w:gridCol w:w="1318"/>
        <w:gridCol w:w="1652"/>
        <w:gridCol w:w="2596"/>
        <w:gridCol w:w="3105"/>
      </w:tblGrid>
      <w:tr w14:paraId="5C899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 w:hRule="atLeast"/>
        </w:trPr>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13A77DBC">
            <w:pPr>
              <w:pStyle w:val="94"/>
              <w:spacing w:before="100" w:beforeLines="0" w:beforeAutospacing="1" w:after="100" w:afterLines="0" w:afterAutospacing="1"/>
              <w:ind w:left="0" w:leftChars="0" w:right="0" w:rightChars="0" w:firstLine="0" w:firstLineChars="0"/>
              <w:rPr>
                <w:rFonts w:hint="default"/>
                <w:color w:val="auto"/>
                <w:sz w:val="18"/>
              </w:rPr>
            </w:pPr>
            <w:r>
              <w:rPr>
                <w:rFonts w:hint="eastAsia"/>
                <w:color w:val="auto"/>
                <w:sz w:val="18"/>
              </w:rPr>
              <w:t>目</w:t>
            </w:r>
          </w:p>
        </w:tc>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1B8F4BB3">
            <w:pPr>
              <w:pStyle w:val="94"/>
              <w:spacing w:before="100" w:beforeLines="0" w:beforeAutospacing="1" w:after="100" w:afterLines="0" w:afterAutospacing="1"/>
              <w:ind w:left="0" w:leftChars="0" w:right="0" w:rightChars="0" w:firstLine="0" w:firstLineChars="0"/>
              <w:rPr>
                <w:rFonts w:hint="default"/>
                <w:color w:val="auto"/>
                <w:sz w:val="18"/>
              </w:rPr>
            </w:pPr>
            <w:r>
              <w:rPr>
                <w:rFonts w:hint="eastAsia"/>
                <w:color w:val="auto"/>
                <w:sz w:val="18"/>
              </w:rPr>
              <w:t>科</w:t>
            </w:r>
          </w:p>
        </w:tc>
        <w:tc>
          <w:tcPr>
            <w:tcW w:w="45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6357C08E">
            <w:pPr>
              <w:pStyle w:val="94"/>
              <w:spacing w:before="100" w:beforeLines="0" w:beforeAutospacing="1" w:after="100" w:afterLines="0" w:afterAutospacing="1"/>
              <w:ind w:left="0" w:leftChars="0" w:right="0" w:rightChars="0" w:firstLine="0" w:firstLineChars="0"/>
              <w:rPr>
                <w:rFonts w:hint="default"/>
                <w:color w:val="auto"/>
                <w:sz w:val="18"/>
              </w:rPr>
            </w:pPr>
            <w:r>
              <w:rPr>
                <w:rFonts w:hint="eastAsia"/>
                <w:color w:val="auto"/>
                <w:sz w:val="18"/>
              </w:rPr>
              <w:t>种</w:t>
            </w:r>
          </w:p>
        </w:tc>
        <w:tc>
          <w:tcPr>
            <w:tcW w:w="116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38830012">
            <w:pPr>
              <w:pStyle w:val="94"/>
              <w:spacing w:before="100" w:beforeLines="0" w:beforeAutospacing="1" w:after="100" w:afterLines="0" w:afterAutospacing="1"/>
              <w:ind w:left="0" w:leftChars="0" w:right="0" w:rightChars="0" w:firstLine="0" w:firstLineChars="0"/>
              <w:rPr>
                <w:rFonts w:hint="default"/>
                <w:color w:val="auto"/>
                <w:sz w:val="18"/>
              </w:rPr>
            </w:pPr>
            <w:r>
              <w:rPr>
                <w:rFonts w:hint="eastAsia"/>
                <w:color w:val="auto"/>
                <w:sz w:val="18"/>
              </w:rPr>
              <w:t>拉丁学名</w:t>
            </w:r>
          </w:p>
        </w:tc>
        <w:tc>
          <w:tcPr>
            <w:tcW w:w="422" w:type="pct"/>
            <w:tcBorders>
              <w:top w:val="single" w:color="auto" w:sz="4" w:space="0"/>
              <w:left w:val="single" w:color="auto" w:sz="4" w:space="0"/>
              <w:bottom w:val="single" w:color="auto" w:sz="4" w:space="0"/>
              <w:right w:val="single" w:color="auto" w:sz="4" w:space="0"/>
            </w:tcBorders>
            <w:shd w:val="clear" w:color="auto" w:fill="FFFFFF"/>
            <w:vAlign w:val="center"/>
          </w:tcPr>
          <w:p w14:paraId="14A68F61">
            <w:pPr>
              <w:pStyle w:val="94"/>
              <w:spacing w:before="100" w:beforeLines="0" w:beforeAutospacing="1" w:after="100" w:afterLines="0" w:afterAutospacing="1"/>
              <w:ind w:left="0" w:leftChars="0" w:right="0" w:rightChars="0" w:firstLine="0" w:firstLineChars="0"/>
              <w:rPr>
                <w:rFonts w:hint="default"/>
                <w:color w:val="auto"/>
                <w:sz w:val="18"/>
              </w:rPr>
            </w:pPr>
            <w:r>
              <w:rPr>
                <w:rFonts w:hint="eastAsia"/>
                <w:color w:val="auto"/>
                <w:sz w:val="18"/>
              </w:rPr>
              <w:t>中国生物多样性红色名录濒危物种</w:t>
            </w:r>
          </w:p>
        </w:tc>
        <w:tc>
          <w:tcPr>
            <w:tcW w:w="529"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54D731BC">
            <w:pPr>
              <w:pStyle w:val="94"/>
              <w:spacing w:before="100" w:beforeLines="0" w:beforeAutospacing="1" w:after="100" w:afterLines="0" w:afterAutospacing="1"/>
              <w:ind w:left="0" w:leftChars="0" w:right="0" w:rightChars="0" w:firstLine="0" w:firstLineChars="0"/>
              <w:rPr>
                <w:rFonts w:hint="default"/>
                <w:color w:val="auto"/>
                <w:sz w:val="18"/>
              </w:rPr>
            </w:pPr>
            <w:r>
              <w:rPr>
                <w:rFonts w:hint="eastAsia"/>
                <w:color w:val="auto"/>
                <w:sz w:val="18"/>
              </w:rPr>
              <w:t>是否为特有种</w:t>
            </w:r>
          </w:p>
        </w:tc>
        <w:tc>
          <w:tcPr>
            <w:tcW w:w="831"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5E9BEDA9">
            <w:pPr>
              <w:pStyle w:val="94"/>
              <w:spacing w:before="100" w:beforeLines="0" w:beforeAutospacing="1" w:after="100" w:afterLines="0" w:afterAutospacing="1"/>
              <w:ind w:left="0" w:leftChars="0" w:right="0" w:rightChars="0" w:firstLine="0" w:firstLineChars="0"/>
              <w:rPr>
                <w:rFonts w:hint="default"/>
                <w:color w:val="auto"/>
                <w:sz w:val="18"/>
              </w:rPr>
            </w:pPr>
            <w:r>
              <w:rPr>
                <w:rFonts w:hint="eastAsia"/>
                <w:color w:val="auto"/>
                <w:sz w:val="18"/>
              </w:rPr>
              <w:t>省级重点保护野生动物</w:t>
            </w:r>
          </w:p>
        </w:tc>
        <w:tc>
          <w:tcPr>
            <w:tcW w:w="99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1EF9499C">
            <w:pPr>
              <w:pStyle w:val="94"/>
              <w:spacing w:before="100" w:beforeLines="0" w:beforeAutospacing="1" w:after="100" w:afterLines="0" w:afterAutospacing="1"/>
              <w:ind w:left="0" w:leftChars="0" w:right="0" w:rightChars="0" w:firstLine="0" w:firstLineChars="0"/>
              <w:rPr>
                <w:rFonts w:hint="default"/>
                <w:color w:val="auto"/>
                <w:sz w:val="18"/>
              </w:rPr>
            </w:pPr>
            <w:r>
              <w:rPr>
                <w:rFonts w:hint="eastAsia"/>
                <w:color w:val="auto"/>
                <w:sz w:val="18"/>
              </w:rPr>
              <w:t>国家级重点保护野生动物</w:t>
            </w:r>
          </w:p>
        </w:tc>
      </w:tr>
      <w:tr w14:paraId="2A32B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58B9B11">
            <w:pPr>
              <w:pStyle w:val="94"/>
              <w:spacing w:before="74"/>
              <w:rPr>
                <w:color w:val="auto"/>
                <w:sz w:val="18"/>
                <w:szCs w:val="18"/>
              </w:rPr>
            </w:pPr>
            <w:r>
              <w:rPr>
                <w:rFonts w:hint="eastAsia"/>
                <w:color w:val="auto"/>
                <w:sz w:val="18"/>
              </w:rPr>
              <w:t>食虫目</w:t>
            </w:r>
          </w:p>
        </w:tc>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77C893E5">
            <w:pPr>
              <w:pStyle w:val="94"/>
              <w:spacing w:before="74"/>
              <w:rPr>
                <w:color w:val="auto"/>
                <w:sz w:val="18"/>
                <w:szCs w:val="18"/>
              </w:rPr>
            </w:pPr>
            <w:r>
              <w:rPr>
                <w:rFonts w:hint="eastAsia"/>
                <w:color w:val="auto"/>
                <w:sz w:val="18"/>
              </w:rPr>
              <w:t>鼩鼱科</w:t>
            </w:r>
          </w:p>
        </w:tc>
        <w:tc>
          <w:tcPr>
            <w:tcW w:w="45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64DEA549">
            <w:pPr>
              <w:pStyle w:val="94"/>
              <w:spacing w:before="74"/>
              <w:rPr>
                <w:color w:val="auto"/>
                <w:sz w:val="18"/>
                <w:szCs w:val="18"/>
              </w:rPr>
            </w:pPr>
            <w:r>
              <w:rPr>
                <w:rFonts w:hint="eastAsia"/>
                <w:color w:val="auto"/>
                <w:sz w:val="18"/>
              </w:rPr>
              <w:t>小麝鼩</w:t>
            </w:r>
          </w:p>
        </w:tc>
        <w:tc>
          <w:tcPr>
            <w:tcW w:w="116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4C77CD57">
            <w:pPr>
              <w:pStyle w:val="94"/>
              <w:spacing w:before="74"/>
              <w:rPr>
                <w:i/>
                <w:iCs/>
                <w:color w:val="auto"/>
                <w:sz w:val="18"/>
                <w:szCs w:val="18"/>
              </w:rPr>
            </w:pPr>
            <w:r>
              <w:rPr>
                <w:i/>
                <w:iCs/>
                <w:color w:val="auto"/>
                <w:sz w:val="18"/>
              </w:rPr>
              <w:t>Crocidura shantungensis</w:t>
            </w:r>
          </w:p>
        </w:tc>
        <w:tc>
          <w:tcPr>
            <w:tcW w:w="422"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B0D6B0F">
            <w:pPr>
              <w:pStyle w:val="94"/>
              <w:spacing w:before="74"/>
              <w:rPr>
                <w:color w:val="auto"/>
                <w:sz w:val="18"/>
              </w:rPr>
            </w:pPr>
          </w:p>
        </w:tc>
        <w:tc>
          <w:tcPr>
            <w:tcW w:w="529"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3CD0D9DE">
            <w:pPr>
              <w:pStyle w:val="94"/>
              <w:spacing w:before="74"/>
              <w:rPr>
                <w:color w:val="auto"/>
                <w:sz w:val="18"/>
              </w:rPr>
            </w:pPr>
          </w:p>
        </w:tc>
        <w:tc>
          <w:tcPr>
            <w:tcW w:w="831"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3342F510">
            <w:pPr>
              <w:pStyle w:val="94"/>
              <w:spacing w:before="74"/>
              <w:rPr>
                <w:color w:val="auto"/>
                <w:sz w:val="18"/>
              </w:rPr>
            </w:pPr>
          </w:p>
        </w:tc>
        <w:tc>
          <w:tcPr>
            <w:tcW w:w="99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AC0315E">
            <w:pPr>
              <w:pStyle w:val="94"/>
              <w:spacing w:before="74"/>
              <w:rPr>
                <w:color w:val="auto"/>
                <w:sz w:val="18"/>
              </w:rPr>
            </w:pPr>
          </w:p>
        </w:tc>
      </w:tr>
      <w:tr w14:paraId="6A1C4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75FF394C">
            <w:pPr>
              <w:pStyle w:val="94"/>
              <w:spacing w:before="74"/>
              <w:rPr>
                <w:color w:val="auto"/>
                <w:sz w:val="18"/>
                <w:szCs w:val="18"/>
              </w:rPr>
            </w:pPr>
            <w:r>
              <w:rPr>
                <w:rFonts w:hint="eastAsia"/>
                <w:color w:val="auto"/>
                <w:sz w:val="18"/>
              </w:rPr>
              <w:t>翼手目</w:t>
            </w:r>
          </w:p>
        </w:tc>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5B460D7F">
            <w:pPr>
              <w:pStyle w:val="94"/>
              <w:spacing w:before="74"/>
              <w:rPr>
                <w:color w:val="auto"/>
                <w:sz w:val="18"/>
                <w:szCs w:val="18"/>
              </w:rPr>
            </w:pPr>
            <w:r>
              <w:rPr>
                <w:rFonts w:hint="eastAsia"/>
                <w:color w:val="auto"/>
                <w:sz w:val="18"/>
              </w:rPr>
              <w:t>蝙蝠科</w:t>
            </w:r>
          </w:p>
        </w:tc>
        <w:tc>
          <w:tcPr>
            <w:tcW w:w="45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980A8C4">
            <w:pPr>
              <w:pStyle w:val="94"/>
              <w:spacing w:before="74"/>
              <w:rPr>
                <w:color w:val="auto"/>
                <w:sz w:val="18"/>
                <w:szCs w:val="18"/>
              </w:rPr>
            </w:pPr>
            <w:r>
              <w:rPr>
                <w:rFonts w:hint="eastAsia"/>
                <w:color w:val="auto"/>
                <w:sz w:val="18"/>
              </w:rPr>
              <w:t>普通蝙蝠</w:t>
            </w:r>
          </w:p>
        </w:tc>
        <w:tc>
          <w:tcPr>
            <w:tcW w:w="116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47D722B2">
            <w:pPr>
              <w:pStyle w:val="94"/>
              <w:spacing w:before="74"/>
              <w:rPr>
                <w:i/>
                <w:iCs/>
                <w:color w:val="auto"/>
                <w:sz w:val="18"/>
                <w:szCs w:val="18"/>
              </w:rPr>
            </w:pPr>
            <w:r>
              <w:rPr>
                <w:i/>
                <w:iCs/>
                <w:color w:val="auto"/>
                <w:sz w:val="18"/>
              </w:rPr>
              <w:t>Vespertilio</w:t>
            </w:r>
            <w:r>
              <w:rPr>
                <w:rFonts w:hint="eastAsia"/>
                <w:i/>
                <w:iCs/>
                <w:color w:val="auto"/>
                <w:sz w:val="18"/>
              </w:rPr>
              <w:t>　</w:t>
            </w:r>
            <w:r>
              <w:rPr>
                <w:i/>
                <w:iCs/>
                <w:color w:val="auto"/>
                <w:sz w:val="18"/>
              </w:rPr>
              <w:t>murinus</w:t>
            </w:r>
          </w:p>
        </w:tc>
        <w:tc>
          <w:tcPr>
            <w:tcW w:w="422"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35AE90C">
            <w:pPr>
              <w:pStyle w:val="94"/>
              <w:spacing w:before="74"/>
              <w:rPr>
                <w:color w:val="auto"/>
                <w:sz w:val="18"/>
              </w:rPr>
            </w:pPr>
          </w:p>
        </w:tc>
        <w:tc>
          <w:tcPr>
            <w:tcW w:w="529"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71AB37CA">
            <w:pPr>
              <w:pStyle w:val="94"/>
              <w:spacing w:before="74"/>
              <w:rPr>
                <w:color w:val="auto"/>
                <w:sz w:val="18"/>
              </w:rPr>
            </w:pPr>
          </w:p>
        </w:tc>
        <w:tc>
          <w:tcPr>
            <w:tcW w:w="831"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508836B2">
            <w:pPr>
              <w:pStyle w:val="94"/>
              <w:spacing w:before="74"/>
              <w:rPr>
                <w:color w:val="auto"/>
                <w:sz w:val="18"/>
              </w:rPr>
            </w:pPr>
          </w:p>
        </w:tc>
        <w:tc>
          <w:tcPr>
            <w:tcW w:w="99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14A71D50">
            <w:pPr>
              <w:pStyle w:val="94"/>
              <w:spacing w:before="74"/>
              <w:rPr>
                <w:color w:val="auto"/>
                <w:sz w:val="18"/>
              </w:rPr>
            </w:pPr>
          </w:p>
        </w:tc>
      </w:tr>
      <w:tr w14:paraId="2D2E5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59DABDA7">
            <w:pPr>
              <w:pStyle w:val="94"/>
              <w:spacing w:before="74"/>
              <w:rPr>
                <w:color w:val="auto"/>
                <w:sz w:val="18"/>
                <w:szCs w:val="18"/>
              </w:rPr>
            </w:pPr>
            <w:r>
              <w:rPr>
                <w:rFonts w:hint="eastAsia"/>
                <w:color w:val="auto"/>
                <w:sz w:val="18"/>
              </w:rPr>
              <w:t>翼手目</w:t>
            </w:r>
          </w:p>
        </w:tc>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37AAA6A8">
            <w:pPr>
              <w:pStyle w:val="94"/>
              <w:spacing w:before="74"/>
              <w:rPr>
                <w:color w:val="auto"/>
                <w:sz w:val="18"/>
                <w:szCs w:val="18"/>
              </w:rPr>
            </w:pPr>
            <w:r>
              <w:rPr>
                <w:rFonts w:hint="eastAsia"/>
                <w:color w:val="auto"/>
                <w:sz w:val="18"/>
              </w:rPr>
              <w:t>蝙蝠科</w:t>
            </w:r>
          </w:p>
        </w:tc>
        <w:tc>
          <w:tcPr>
            <w:tcW w:w="45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8C83F98">
            <w:pPr>
              <w:pStyle w:val="94"/>
              <w:spacing w:before="74"/>
              <w:rPr>
                <w:color w:val="auto"/>
                <w:sz w:val="18"/>
                <w:szCs w:val="18"/>
              </w:rPr>
            </w:pPr>
            <w:r>
              <w:rPr>
                <w:rFonts w:hint="eastAsia"/>
                <w:color w:val="auto"/>
                <w:sz w:val="18"/>
              </w:rPr>
              <w:t>普通伏翼</w:t>
            </w:r>
          </w:p>
        </w:tc>
        <w:tc>
          <w:tcPr>
            <w:tcW w:w="116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53C656A">
            <w:pPr>
              <w:pStyle w:val="94"/>
              <w:spacing w:before="74"/>
              <w:rPr>
                <w:i/>
                <w:iCs/>
                <w:color w:val="auto"/>
                <w:sz w:val="18"/>
                <w:szCs w:val="18"/>
              </w:rPr>
            </w:pPr>
            <w:r>
              <w:rPr>
                <w:i/>
                <w:iCs/>
                <w:color w:val="auto"/>
                <w:sz w:val="18"/>
              </w:rPr>
              <w:t>Pipistrellus abramus</w:t>
            </w:r>
          </w:p>
        </w:tc>
        <w:tc>
          <w:tcPr>
            <w:tcW w:w="422"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190B5A05">
            <w:pPr>
              <w:pStyle w:val="94"/>
              <w:spacing w:before="74"/>
              <w:rPr>
                <w:color w:val="auto"/>
                <w:sz w:val="18"/>
                <w:szCs w:val="18"/>
              </w:rPr>
            </w:pPr>
            <w:r>
              <w:rPr>
                <w:color w:val="auto"/>
                <w:sz w:val="18"/>
              </w:rPr>
              <w:t>LC</w:t>
            </w:r>
          </w:p>
        </w:tc>
        <w:tc>
          <w:tcPr>
            <w:tcW w:w="529"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6389225E">
            <w:pPr>
              <w:pStyle w:val="94"/>
              <w:spacing w:before="74"/>
              <w:rPr>
                <w:color w:val="auto"/>
                <w:sz w:val="18"/>
              </w:rPr>
            </w:pPr>
          </w:p>
        </w:tc>
        <w:tc>
          <w:tcPr>
            <w:tcW w:w="831"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1EF864F7">
            <w:pPr>
              <w:pStyle w:val="94"/>
              <w:spacing w:before="74"/>
              <w:rPr>
                <w:color w:val="auto"/>
                <w:sz w:val="18"/>
              </w:rPr>
            </w:pPr>
          </w:p>
        </w:tc>
        <w:tc>
          <w:tcPr>
            <w:tcW w:w="99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3A461206">
            <w:pPr>
              <w:pStyle w:val="94"/>
              <w:spacing w:before="74"/>
              <w:rPr>
                <w:color w:val="auto"/>
                <w:sz w:val="18"/>
              </w:rPr>
            </w:pPr>
          </w:p>
        </w:tc>
      </w:tr>
      <w:tr w14:paraId="39B9D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65AC1E89">
            <w:pPr>
              <w:pStyle w:val="94"/>
              <w:spacing w:before="74"/>
              <w:rPr>
                <w:color w:val="auto"/>
                <w:sz w:val="18"/>
                <w:szCs w:val="18"/>
              </w:rPr>
            </w:pPr>
            <w:r>
              <w:rPr>
                <w:rFonts w:hint="eastAsia"/>
                <w:color w:val="auto"/>
                <w:sz w:val="18"/>
              </w:rPr>
              <w:t>食肉目</w:t>
            </w:r>
          </w:p>
        </w:tc>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171C5E17">
            <w:pPr>
              <w:pStyle w:val="94"/>
              <w:spacing w:before="74"/>
              <w:rPr>
                <w:color w:val="auto"/>
                <w:sz w:val="18"/>
                <w:szCs w:val="18"/>
              </w:rPr>
            </w:pPr>
            <w:r>
              <w:rPr>
                <w:rFonts w:hint="eastAsia"/>
                <w:color w:val="auto"/>
                <w:sz w:val="18"/>
              </w:rPr>
              <w:t>鼬科</w:t>
            </w:r>
          </w:p>
        </w:tc>
        <w:tc>
          <w:tcPr>
            <w:tcW w:w="45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3652568C">
            <w:pPr>
              <w:pStyle w:val="94"/>
              <w:spacing w:before="74"/>
              <w:rPr>
                <w:color w:val="auto"/>
                <w:sz w:val="18"/>
                <w:szCs w:val="18"/>
              </w:rPr>
            </w:pPr>
            <w:r>
              <w:rPr>
                <w:rFonts w:hint="eastAsia"/>
                <w:color w:val="auto"/>
                <w:sz w:val="18"/>
              </w:rPr>
              <w:t>狗獾</w:t>
            </w:r>
          </w:p>
        </w:tc>
        <w:tc>
          <w:tcPr>
            <w:tcW w:w="116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0FCF098F">
            <w:pPr>
              <w:pStyle w:val="94"/>
              <w:spacing w:before="74"/>
              <w:rPr>
                <w:i/>
                <w:iCs/>
                <w:color w:val="auto"/>
                <w:sz w:val="18"/>
                <w:szCs w:val="18"/>
              </w:rPr>
            </w:pPr>
            <w:r>
              <w:rPr>
                <w:i/>
                <w:iCs/>
                <w:color w:val="auto"/>
                <w:sz w:val="18"/>
              </w:rPr>
              <w:t>Meles meles</w:t>
            </w:r>
          </w:p>
        </w:tc>
        <w:tc>
          <w:tcPr>
            <w:tcW w:w="422"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14AE7E7B">
            <w:pPr>
              <w:pStyle w:val="94"/>
              <w:spacing w:before="74"/>
              <w:rPr>
                <w:color w:val="auto"/>
                <w:sz w:val="18"/>
              </w:rPr>
            </w:pPr>
          </w:p>
        </w:tc>
        <w:tc>
          <w:tcPr>
            <w:tcW w:w="529"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0536EBC3">
            <w:pPr>
              <w:pStyle w:val="94"/>
              <w:spacing w:before="74"/>
              <w:rPr>
                <w:color w:val="auto"/>
                <w:sz w:val="18"/>
              </w:rPr>
            </w:pPr>
          </w:p>
        </w:tc>
        <w:tc>
          <w:tcPr>
            <w:tcW w:w="831"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6FF385C">
            <w:pPr>
              <w:pStyle w:val="94"/>
              <w:spacing w:before="74"/>
              <w:rPr>
                <w:color w:val="auto"/>
                <w:sz w:val="18"/>
              </w:rPr>
            </w:pPr>
          </w:p>
        </w:tc>
        <w:tc>
          <w:tcPr>
            <w:tcW w:w="99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821F4D2">
            <w:pPr>
              <w:pStyle w:val="94"/>
              <w:spacing w:before="74"/>
              <w:rPr>
                <w:color w:val="auto"/>
                <w:sz w:val="18"/>
              </w:rPr>
            </w:pPr>
          </w:p>
        </w:tc>
      </w:tr>
      <w:tr w14:paraId="00E85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958B8E2">
            <w:pPr>
              <w:pStyle w:val="94"/>
              <w:spacing w:before="74"/>
              <w:rPr>
                <w:color w:val="auto"/>
                <w:sz w:val="18"/>
                <w:szCs w:val="18"/>
              </w:rPr>
            </w:pPr>
            <w:r>
              <w:rPr>
                <w:rFonts w:hint="eastAsia"/>
                <w:color w:val="auto"/>
                <w:sz w:val="18"/>
              </w:rPr>
              <w:t>食肉目</w:t>
            </w:r>
          </w:p>
        </w:tc>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4BB98A78">
            <w:pPr>
              <w:pStyle w:val="94"/>
              <w:spacing w:before="74"/>
              <w:rPr>
                <w:color w:val="auto"/>
                <w:sz w:val="18"/>
                <w:szCs w:val="18"/>
              </w:rPr>
            </w:pPr>
            <w:r>
              <w:rPr>
                <w:rFonts w:hint="eastAsia"/>
                <w:color w:val="auto"/>
                <w:sz w:val="18"/>
              </w:rPr>
              <w:t>灵猫科</w:t>
            </w:r>
          </w:p>
        </w:tc>
        <w:tc>
          <w:tcPr>
            <w:tcW w:w="45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8020BAA">
            <w:pPr>
              <w:pStyle w:val="94"/>
              <w:spacing w:before="74"/>
              <w:rPr>
                <w:color w:val="auto"/>
                <w:sz w:val="18"/>
                <w:szCs w:val="18"/>
              </w:rPr>
            </w:pPr>
            <w:r>
              <w:rPr>
                <w:rFonts w:hint="eastAsia"/>
                <w:color w:val="auto"/>
                <w:sz w:val="18"/>
              </w:rPr>
              <w:t>花面狸</w:t>
            </w:r>
          </w:p>
        </w:tc>
        <w:tc>
          <w:tcPr>
            <w:tcW w:w="116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71864C13">
            <w:pPr>
              <w:pStyle w:val="94"/>
              <w:spacing w:before="74"/>
              <w:rPr>
                <w:i/>
                <w:iCs/>
                <w:color w:val="auto"/>
                <w:sz w:val="18"/>
                <w:szCs w:val="18"/>
              </w:rPr>
            </w:pPr>
            <w:r>
              <w:rPr>
                <w:i/>
                <w:iCs/>
                <w:color w:val="auto"/>
                <w:sz w:val="18"/>
              </w:rPr>
              <w:t>Paguma larvata</w:t>
            </w:r>
          </w:p>
        </w:tc>
        <w:tc>
          <w:tcPr>
            <w:tcW w:w="422"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48217481">
            <w:pPr>
              <w:pStyle w:val="94"/>
              <w:spacing w:before="74"/>
              <w:rPr>
                <w:color w:val="auto"/>
                <w:sz w:val="18"/>
              </w:rPr>
            </w:pPr>
          </w:p>
        </w:tc>
        <w:tc>
          <w:tcPr>
            <w:tcW w:w="529"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467F5F97">
            <w:pPr>
              <w:pStyle w:val="94"/>
              <w:spacing w:before="74"/>
              <w:rPr>
                <w:color w:val="auto"/>
                <w:sz w:val="18"/>
              </w:rPr>
            </w:pPr>
          </w:p>
        </w:tc>
        <w:tc>
          <w:tcPr>
            <w:tcW w:w="831"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1F82FED2">
            <w:pPr>
              <w:pStyle w:val="94"/>
              <w:spacing w:before="74"/>
              <w:rPr>
                <w:color w:val="auto"/>
                <w:sz w:val="18"/>
              </w:rPr>
            </w:pPr>
          </w:p>
        </w:tc>
        <w:tc>
          <w:tcPr>
            <w:tcW w:w="99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7F768564">
            <w:pPr>
              <w:pStyle w:val="94"/>
              <w:spacing w:before="74"/>
              <w:rPr>
                <w:color w:val="auto"/>
                <w:sz w:val="18"/>
              </w:rPr>
            </w:pPr>
          </w:p>
        </w:tc>
      </w:tr>
      <w:tr w14:paraId="63A08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6D1DF31E">
            <w:pPr>
              <w:pStyle w:val="94"/>
              <w:spacing w:before="74"/>
              <w:rPr>
                <w:color w:val="auto"/>
                <w:sz w:val="18"/>
                <w:szCs w:val="18"/>
              </w:rPr>
            </w:pPr>
            <w:r>
              <w:rPr>
                <w:rFonts w:hint="eastAsia"/>
                <w:color w:val="auto"/>
                <w:sz w:val="18"/>
              </w:rPr>
              <w:t>偶蹄目</w:t>
            </w:r>
          </w:p>
        </w:tc>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3104A98E">
            <w:pPr>
              <w:pStyle w:val="94"/>
              <w:spacing w:before="74"/>
              <w:rPr>
                <w:color w:val="auto"/>
                <w:sz w:val="18"/>
                <w:szCs w:val="18"/>
              </w:rPr>
            </w:pPr>
            <w:r>
              <w:rPr>
                <w:rFonts w:hint="eastAsia"/>
                <w:color w:val="auto"/>
                <w:sz w:val="18"/>
              </w:rPr>
              <w:t>猪科</w:t>
            </w:r>
          </w:p>
        </w:tc>
        <w:tc>
          <w:tcPr>
            <w:tcW w:w="45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1AE981EF">
            <w:pPr>
              <w:pStyle w:val="94"/>
              <w:spacing w:before="74"/>
              <w:rPr>
                <w:color w:val="auto"/>
                <w:sz w:val="18"/>
                <w:szCs w:val="18"/>
              </w:rPr>
            </w:pPr>
            <w:r>
              <w:rPr>
                <w:rFonts w:hint="eastAsia"/>
                <w:color w:val="auto"/>
                <w:sz w:val="18"/>
              </w:rPr>
              <w:t>野猪</w:t>
            </w:r>
          </w:p>
        </w:tc>
        <w:tc>
          <w:tcPr>
            <w:tcW w:w="116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0B2A5D08">
            <w:pPr>
              <w:pStyle w:val="94"/>
              <w:spacing w:before="74"/>
              <w:rPr>
                <w:i/>
                <w:iCs/>
                <w:color w:val="auto"/>
                <w:sz w:val="18"/>
                <w:szCs w:val="18"/>
              </w:rPr>
            </w:pPr>
            <w:r>
              <w:rPr>
                <w:i/>
                <w:iCs/>
                <w:color w:val="auto"/>
                <w:sz w:val="18"/>
              </w:rPr>
              <w:t>Sus scrofa</w:t>
            </w:r>
          </w:p>
        </w:tc>
        <w:tc>
          <w:tcPr>
            <w:tcW w:w="422"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733FC003">
            <w:pPr>
              <w:pStyle w:val="94"/>
              <w:spacing w:before="74"/>
              <w:rPr>
                <w:color w:val="auto"/>
                <w:sz w:val="18"/>
                <w:szCs w:val="18"/>
              </w:rPr>
            </w:pPr>
            <w:r>
              <w:rPr>
                <w:color w:val="auto"/>
                <w:sz w:val="18"/>
              </w:rPr>
              <w:t>LC</w:t>
            </w:r>
          </w:p>
        </w:tc>
        <w:tc>
          <w:tcPr>
            <w:tcW w:w="529"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6FB6378F">
            <w:pPr>
              <w:pStyle w:val="94"/>
              <w:spacing w:before="74"/>
              <w:rPr>
                <w:color w:val="auto"/>
                <w:sz w:val="18"/>
              </w:rPr>
            </w:pPr>
          </w:p>
        </w:tc>
        <w:tc>
          <w:tcPr>
            <w:tcW w:w="831"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3C7E6E8C">
            <w:pPr>
              <w:pStyle w:val="94"/>
              <w:spacing w:before="74"/>
              <w:rPr>
                <w:color w:val="auto"/>
                <w:sz w:val="18"/>
              </w:rPr>
            </w:pPr>
          </w:p>
        </w:tc>
        <w:tc>
          <w:tcPr>
            <w:tcW w:w="99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5963C59A">
            <w:pPr>
              <w:pStyle w:val="94"/>
              <w:spacing w:before="74"/>
              <w:rPr>
                <w:color w:val="auto"/>
                <w:sz w:val="18"/>
              </w:rPr>
            </w:pPr>
          </w:p>
        </w:tc>
      </w:tr>
      <w:tr w14:paraId="32DF6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1ADB9DB">
            <w:pPr>
              <w:pStyle w:val="94"/>
              <w:spacing w:before="74"/>
              <w:rPr>
                <w:color w:val="auto"/>
                <w:sz w:val="18"/>
                <w:szCs w:val="18"/>
              </w:rPr>
            </w:pPr>
            <w:r>
              <w:rPr>
                <w:rFonts w:hint="eastAsia"/>
                <w:color w:val="auto"/>
                <w:sz w:val="18"/>
              </w:rPr>
              <w:t>偶蹄目</w:t>
            </w:r>
          </w:p>
        </w:tc>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0BFBB4F">
            <w:pPr>
              <w:pStyle w:val="94"/>
              <w:spacing w:before="74"/>
              <w:rPr>
                <w:color w:val="auto"/>
                <w:sz w:val="18"/>
                <w:szCs w:val="18"/>
              </w:rPr>
            </w:pPr>
            <w:r>
              <w:rPr>
                <w:rFonts w:hint="eastAsia"/>
                <w:color w:val="auto"/>
                <w:sz w:val="18"/>
              </w:rPr>
              <w:t>鹿科</w:t>
            </w:r>
          </w:p>
        </w:tc>
        <w:tc>
          <w:tcPr>
            <w:tcW w:w="45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76819ABD">
            <w:pPr>
              <w:pStyle w:val="94"/>
              <w:spacing w:before="74"/>
              <w:rPr>
                <w:color w:val="auto"/>
                <w:sz w:val="18"/>
                <w:szCs w:val="18"/>
              </w:rPr>
            </w:pPr>
            <w:r>
              <w:rPr>
                <w:rFonts w:hint="eastAsia"/>
                <w:color w:val="auto"/>
                <w:sz w:val="18"/>
              </w:rPr>
              <w:t>西伯利亚狍</w:t>
            </w:r>
          </w:p>
        </w:tc>
        <w:tc>
          <w:tcPr>
            <w:tcW w:w="116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651A4B14">
            <w:pPr>
              <w:pStyle w:val="94"/>
              <w:spacing w:before="74"/>
              <w:rPr>
                <w:i/>
                <w:iCs/>
                <w:color w:val="auto"/>
                <w:sz w:val="18"/>
                <w:szCs w:val="18"/>
              </w:rPr>
            </w:pPr>
            <w:r>
              <w:rPr>
                <w:i/>
                <w:iCs/>
                <w:color w:val="auto"/>
                <w:sz w:val="18"/>
              </w:rPr>
              <w:t>Capreolus capreolus</w:t>
            </w:r>
          </w:p>
        </w:tc>
        <w:tc>
          <w:tcPr>
            <w:tcW w:w="422"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3CBF3960">
            <w:pPr>
              <w:pStyle w:val="94"/>
              <w:spacing w:before="74"/>
              <w:rPr>
                <w:color w:val="auto"/>
                <w:sz w:val="18"/>
              </w:rPr>
            </w:pPr>
          </w:p>
        </w:tc>
        <w:tc>
          <w:tcPr>
            <w:tcW w:w="529"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0F08DC10">
            <w:pPr>
              <w:pStyle w:val="94"/>
              <w:spacing w:before="74"/>
              <w:rPr>
                <w:color w:val="auto"/>
                <w:sz w:val="18"/>
              </w:rPr>
            </w:pPr>
          </w:p>
        </w:tc>
        <w:tc>
          <w:tcPr>
            <w:tcW w:w="831"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61EF1087">
            <w:pPr>
              <w:pStyle w:val="94"/>
              <w:spacing w:before="74"/>
              <w:rPr>
                <w:color w:val="auto"/>
                <w:sz w:val="18"/>
              </w:rPr>
            </w:pPr>
          </w:p>
        </w:tc>
        <w:tc>
          <w:tcPr>
            <w:tcW w:w="99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B59E628">
            <w:pPr>
              <w:pStyle w:val="94"/>
              <w:spacing w:before="74"/>
              <w:rPr>
                <w:color w:val="auto"/>
                <w:sz w:val="18"/>
              </w:rPr>
            </w:pPr>
          </w:p>
        </w:tc>
      </w:tr>
      <w:tr w14:paraId="075D9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3EAF2476">
            <w:pPr>
              <w:pStyle w:val="94"/>
              <w:spacing w:before="74"/>
              <w:rPr>
                <w:color w:val="auto"/>
                <w:sz w:val="18"/>
                <w:szCs w:val="18"/>
              </w:rPr>
            </w:pPr>
            <w:r>
              <w:rPr>
                <w:rFonts w:hint="eastAsia"/>
                <w:color w:val="auto"/>
                <w:sz w:val="18"/>
              </w:rPr>
              <w:t>啮齿目</w:t>
            </w:r>
          </w:p>
        </w:tc>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60169776">
            <w:pPr>
              <w:pStyle w:val="94"/>
              <w:spacing w:before="74"/>
              <w:rPr>
                <w:color w:val="auto"/>
                <w:sz w:val="18"/>
                <w:szCs w:val="18"/>
              </w:rPr>
            </w:pPr>
            <w:r>
              <w:rPr>
                <w:rFonts w:hint="eastAsia"/>
                <w:color w:val="auto"/>
                <w:sz w:val="18"/>
              </w:rPr>
              <w:t>松鼠科</w:t>
            </w:r>
          </w:p>
        </w:tc>
        <w:tc>
          <w:tcPr>
            <w:tcW w:w="45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5DBD667A">
            <w:pPr>
              <w:pStyle w:val="94"/>
              <w:spacing w:before="74"/>
              <w:rPr>
                <w:color w:val="auto"/>
                <w:sz w:val="18"/>
                <w:szCs w:val="18"/>
              </w:rPr>
            </w:pPr>
            <w:r>
              <w:rPr>
                <w:rFonts w:hint="eastAsia"/>
                <w:color w:val="auto"/>
                <w:sz w:val="18"/>
              </w:rPr>
              <w:t>花鼠</w:t>
            </w:r>
          </w:p>
        </w:tc>
        <w:tc>
          <w:tcPr>
            <w:tcW w:w="116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461143A4">
            <w:pPr>
              <w:pStyle w:val="94"/>
              <w:spacing w:before="74"/>
              <w:rPr>
                <w:i/>
                <w:iCs/>
                <w:color w:val="auto"/>
                <w:sz w:val="18"/>
                <w:szCs w:val="18"/>
              </w:rPr>
            </w:pPr>
            <w:r>
              <w:rPr>
                <w:i/>
                <w:iCs/>
                <w:color w:val="auto"/>
                <w:sz w:val="18"/>
              </w:rPr>
              <w:t>Eutamias sibiricus</w:t>
            </w:r>
          </w:p>
        </w:tc>
        <w:tc>
          <w:tcPr>
            <w:tcW w:w="422"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1F5CC4F2">
            <w:pPr>
              <w:pStyle w:val="94"/>
              <w:spacing w:before="74"/>
              <w:rPr>
                <w:color w:val="auto"/>
                <w:sz w:val="18"/>
              </w:rPr>
            </w:pPr>
          </w:p>
        </w:tc>
        <w:tc>
          <w:tcPr>
            <w:tcW w:w="529"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44FC2DA3">
            <w:pPr>
              <w:pStyle w:val="94"/>
              <w:spacing w:before="74"/>
              <w:rPr>
                <w:color w:val="auto"/>
                <w:sz w:val="18"/>
              </w:rPr>
            </w:pPr>
          </w:p>
        </w:tc>
        <w:tc>
          <w:tcPr>
            <w:tcW w:w="831"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196FA91F">
            <w:pPr>
              <w:pStyle w:val="94"/>
              <w:spacing w:before="74"/>
              <w:rPr>
                <w:color w:val="auto"/>
                <w:sz w:val="18"/>
              </w:rPr>
            </w:pPr>
          </w:p>
        </w:tc>
        <w:tc>
          <w:tcPr>
            <w:tcW w:w="99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6BB7DB1B">
            <w:pPr>
              <w:pStyle w:val="94"/>
              <w:spacing w:before="74"/>
              <w:rPr>
                <w:color w:val="auto"/>
                <w:sz w:val="18"/>
              </w:rPr>
            </w:pPr>
          </w:p>
        </w:tc>
      </w:tr>
      <w:tr w14:paraId="6EAC9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D02348F">
            <w:pPr>
              <w:pStyle w:val="94"/>
              <w:spacing w:before="74"/>
              <w:rPr>
                <w:color w:val="auto"/>
                <w:sz w:val="18"/>
                <w:szCs w:val="18"/>
              </w:rPr>
            </w:pPr>
            <w:r>
              <w:rPr>
                <w:rFonts w:hint="eastAsia"/>
                <w:color w:val="auto"/>
                <w:sz w:val="18"/>
              </w:rPr>
              <w:t>啮齿目</w:t>
            </w:r>
          </w:p>
        </w:tc>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48A72784">
            <w:pPr>
              <w:pStyle w:val="94"/>
              <w:spacing w:before="74"/>
              <w:rPr>
                <w:color w:val="auto"/>
                <w:sz w:val="18"/>
                <w:szCs w:val="18"/>
              </w:rPr>
            </w:pPr>
            <w:r>
              <w:rPr>
                <w:rFonts w:hint="eastAsia"/>
                <w:color w:val="auto"/>
                <w:sz w:val="18"/>
              </w:rPr>
              <w:t>仓鼠科</w:t>
            </w:r>
          </w:p>
        </w:tc>
        <w:tc>
          <w:tcPr>
            <w:tcW w:w="45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4FA3DD6D">
            <w:pPr>
              <w:pStyle w:val="94"/>
              <w:spacing w:before="74"/>
              <w:rPr>
                <w:color w:val="auto"/>
                <w:sz w:val="18"/>
                <w:szCs w:val="18"/>
              </w:rPr>
            </w:pPr>
            <w:r>
              <w:rPr>
                <w:rFonts w:hint="eastAsia"/>
                <w:color w:val="auto"/>
                <w:sz w:val="18"/>
              </w:rPr>
              <w:t>大仓鼠</w:t>
            </w:r>
          </w:p>
        </w:tc>
        <w:tc>
          <w:tcPr>
            <w:tcW w:w="116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5C727CB5">
            <w:pPr>
              <w:pStyle w:val="94"/>
              <w:spacing w:before="74"/>
              <w:rPr>
                <w:i/>
                <w:iCs/>
                <w:color w:val="auto"/>
                <w:sz w:val="18"/>
                <w:szCs w:val="18"/>
              </w:rPr>
            </w:pPr>
            <w:r>
              <w:rPr>
                <w:i/>
                <w:iCs/>
                <w:color w:val="auto"/>
                <w:sz w:val="18"/>
              </w:rPr>
              <w:t>Cricetulus triton</w:t>
            </w:r>
          </w:p>
        </w:tc>
        <w:tc>
          <w:tcPr>
            <w:tcW w:w="422"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F270AFD">
            <w:pPr>
              <w:pStyle w:val="94"/>
              <w:spacing w:before="74"/>
              <w:rPr>
                <w:color w:val="auto"/>
                <w:sz w:val="18"/>
                <w:szCs w:val="18"/>
              </w:rPr>
            </w:pPr>
            <w:r>
              <w:rPr>
                <w:color w:val="auto"/>
                <w:sz w:val="18"/>
              </w:rPr>
              <w:t>LC</w:t>
            </w:r>
          </w:p>
        </w:tc>
        <w:tc>
          <w:tcPr>
            <w:tcW w:w="529"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07DD6095">
            <w:pPr>
              <w:pStyle w:val="94"/>
              <w:spacing w:before="74"/>
              <w:rPr>
                <w:color w:val="auto"/>
                <w:sz w:val="18"/>
              </w:rPr>
            </w:pPr>
          </w:p>
        </w:tc>
        <w:tc>
          <w:tcPr>
            <w:tcW w:w="831"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52CEF158">
            <w:pPr>
              <w:pStyle w:val="94"/>
              <w:spacing w:before="74"/>
              <w:rPr>
                <w:color w:val="auto"/>
                <w:sz w:val="18"/>
              </w:rPr>
            </w:pPr>
          </w:p>
        </w:tc>
        <w:tc>
          <w:tcPr>
            <w:tcW w:w="99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680DA62A">
            <w:pPr>
              <w:pStyle w:val="94"/>
              <w:spacing w:before="74"/>
              <w:rPr>
                <w:color w:val="auto"/>
                <w:sz w:val="18"/>
              </w:rPr>
            </w:pPr>
          </w:p>
        </w:tc>
      </w:tr>
      <w:tr w14:paraId="5E1B3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6EAA93FC">
            <w:pPr>
              <w:pStyle w:val="94"/>
              <w:spacing w:before="74"/>
              <w:rPr>
                <w:color w:val="auto"/>
                <w:sz w:val="18"/>
                <w:szCs w:val="18"/>
              </w:rPr>
            </w:pPr>
            <w:r>
              <w:rPr>
                <w:rFonts w:hint="eastAsia"/>
                <w:color w:val="auto"/>
                <w:sz w:val="18"/>
              </w:rPr>
              <w:t>啮齿目</w:t>
            </w:r>
          </w:p>
        </w:tc>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0FC1F5D">
            <w:pPr>
              <w:pStyle w:val="94"/>
              <w:spacing w:before="74"/>
              <w:rPr>
                <w:color w:val="auto"/>
                <w:sz w:val="18"/>
                <w:szCs w:val="18"/>
              </w:rPr>
            </w:pPr>
            <w:r>
              <w:rPr>
                <w:rFonts w:hint="eastAsia"/>
                <w:color w:val="auto"/>
                <w:sz w:val="18"/>
              </w:rPr>
              <w:t>仓鼠科</w:t>
            </w:r>
          </w:p>
        </w:tc>
        <w:tc>
          <w:tcPr>
            <w:tcW w:w="45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034BED29">
            <w:pPr>
              <w:pStyle w:val="94"/>
              <w:spacing w:before="74"/>
              <w:rPr>
                <w:color w:val="auto"/>
                <w:sz w:val="18"/>
                <w:szCs w:val="18"/>
              </w:rPr>
            </w:pPr>
            <w:r>
              <w:rPr>
                <w:rFonts w:hint="eastAsia"/>
                <w:color w:val="auto"/>
                <w:sz w:val="18"/>
              </w:rPr>
              <w:t>黑线仓鼠</w:t>
            </w:r>
          </w:p>
        </w:tc>
        <w:tc>
          <w:tcPr>
            <w:tcW w:w="116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12D5DE1E">
            <w:pPr>
              <w:pStyle w:val="94"/>
              <w:spacing w:before="74"/>
              <w:rPr>
                <w:i/>
                <w:iCs/>
                <w:color w:val="auto"/>
                <w:sz w:val="18"/>
                <w:szCs w:val="18"/>
              </w:rPr>
            </w:pPr>
            <w:r>
              <w:rPr>
                <w:i/>
                <w:iCs/>
                <w:color w:val="auto"/>
                <w:sz w:val="18"/>
              </w:rPr>
              <w:t>Cricetulus barabensis</w:t>
            </w:r>
          </w:p>
        </w:tc>
        <w:tc>
          <w:tcPr>
            <w:tcW w:w="422"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31B6DC6D">
            <w:pPr>
              <w:pStyle w:val="94"/>
              <w:spacing w:before="74"/>
              <w:rPr>
                <w:color w:val="auto"/>
                <w:sz w:val="18"/>
                <w:szCs w:val="18"/>
              </w:rPr>
            </w:pPr>
            <w:r>
              <w:rPr>
                <w:color w:val="auto"/>
                <w:sz w:val="18"/>
              </w:rPr>
              <w:t>LC</w:t>
            </w:r>
          </w:p>
        </w:tc>
        <w:tc>
          <w:tcPr>
            <w:tcW w:w="529"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4F32FC91">
            <w:pPr>
              <w:pStyle w:val="94"/>
              <w:spacing w:before="74"/>
              <w:rPr>
                <w:color w:val="auto"/>
                <w:sz w:val="18"/>
              </w:rPr>
            </w:pPr>
          </w:p>
        </w:tc>
        <w:tc>
          <w:tcPr>
            <w:tcW w:w="831"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72101EA4">
            <w:pPr>
              <w:pStyle w:val="94"/>
              <w:spacing w:before="74"/>
              <w:rPr>
                <w:color w:val="auto"/>
                <w:sz w:val="18"/>
              </w:rPr>
            </w:pPr>
          </w:p>
        </w:tc>
        <w:tc>
          <w:tcPr>
            <w:tcW w:w="99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6F745CDB">
            <w:pPr>
              <w:pStyle w:val="94"/>
              <w:spacing w:before="74"/>
              <w:rPr>
                <w:color w:val="auto"/>
                <w:sz w:val="18"/>
              </w:rPr>
            </w:pPr>
          </w:p>
        </w:tc>
      </w:tr>
      <w:tr w14:paraId="49054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5440090E">
            <w:pPr>
              <w:pStyle w:val="94"/>
              <w:spacing w:before="74"/>
              <w:rPr>
                <w:color w:val="auto"/>
                <w:sz w:val="18"/>
                <w:szCs w:val="18"/>
              </w:rPr>
            </w:pPr>
            <w:r>
              <w:rPr>
                <w:rFonts w:hint="eastAsia"/>
                <w:color w:val="auto"/>
                <w:sz w:val="18"/>
              </w:rPr>
              <w:t>啮齿目</w:t>
            </w:r>
          </w:p>
        </w:tc>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37A83800">
            <w:pPr>
              <w:pStyle w:val="94"/>
              <w:spacing w:before="74"/>
              <w:rPr>
                <w:color w:val="auto"/>
                <w:sz w:val="18"/>
                <w:szCs w:val="18"/>
              </w:rPr>
            </w:pPr>
            <w:r>
              <w:rPr>
                <w:rFonts w:hint="eastAsia"/>
                <w:color w:val="auto"/>
                <w:sz w:val="18"/>
              </w:rPr>
              <w:t>仓鼠科</w:t>
            </w:r>
          </w:p>
        </w:tc>
        <w:tc>
          <w:tcPr>
            <w:tcW w:w="45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4B7930A4">
            <w:pPr>
              <w:pStyle w:val="94"/>
              <w:spacing w:before="74"/>
              <w:rPr>
                <w:color w:val="auto"/>
                <w:sz w:val="18"/>
                <w:szCs w:val="18"/>
              </w:rPr>
            </w:pPr>
            <w:r>
              <w:rPr>
                <w:rFonts w:hint="eastAsia"/>
                <w:color w:val="auto"/>
                <w:sz w:val="18"/>
              </w:rPr>
              <w:t>长尾仓鼠</w:t>
            </w:r>
          </w:p>
        </w:tc>
        <w:tc>
          <w:tcPr>
            <w:tcW w:w="116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034BD8DA">
            <w:pPr>
              <w:pStyle w:val="94"/>
              <w:spacing w:before="74"/>
              <w:rPr>
                <w:i/>
                <w:iCs/>
                <w:color w:val="auto"/>
                <w:sz w:val="18"/>
                <w:szCs w:val="18"/>
              </w:rPr>
            </w:pPr>
            <w:r>
              <w:rPr>
                <w:i/>
                <w:iCs/>
                <w:color w:val="auto"/>
                <w:sz w:val="18"/>
              </w:rPr>
              <w:t>Cricetulus longicaudatus</w:t>
            </w:r>
          </w:p>
        </w:tc>
        <w:tc>
          <w:tcPr>
            <w:tcW w:w="422"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0FCACB6F">
            <w:pPr>
              <w:pStyle w:val="94"/>
              <w:spacing w:before="74"/>
              <w:rPr>
                <w:color w:val="auto"/>
                <w:sz w:val="18"/>
                <w:szCs w:val="18"/>
              </w:rPr>
            </w:pPr>
            <w:r>
              <w:rPr>
                <w:color w:val="auto"/>
                <w:sz w:val="18"/>
              </w:rPr>
              <w:t>LC</w:t>
            </w:r>
          </w:p>
        </w:tc>
        <w:tc>
          <w:tcPr>
            <w:tcW w:w="529"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71EB298E">
            <w:pPr>
              <w:pStyle w:val="94"/>
              <w:spacing w:before="74"/>
              <w:rPr>
                <w:color w:val="auto"/>
                <w:sz w:val="18"/>
              </w:rPr>
            </w:pPr>
          </w:p>
        </w:tc>
        <w:tc>
          <w:tcPr>
            <w:tcW w:w="831"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65A62152">
            <w:pPr>
              <w:pStyle w:val="94"/>
              <w:spacing w:before="74"/>
              <w:rPr>
                <w:color w:val="auto"/>
                <w:sz w:val="18"/>
              </w:rPr>
            </w:pPr>
          </w:p>
        </w:tc>
        <w:tc>
          <w:tcPr>
            <w:tcW w:w="99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315946FE">
            <w:pPr>
              <w:pStyle w:val="94"/>
              <w:spacing w:before="74"/>
              <w:rPr>
                <w:color w:val="auto"/>
                <w:sz w:val="18"/>
              </w:rPr>
            </w:pPr>
          </w:p>
        </w:tc>
      </w:tr>
      <w:tr w14:paraId="59DAC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6BD8D04D">
            <w:pPr>
              <w:pStyle w:val="94"/>
              <w:spacing w:before="74"/>
              <w:rPr>
                <w:color w:val="auto"/>
                <w:sz w:val="18"/>
                <w:szCs w:val="18"/>
              </w:rPr>
            </w:pPr>
            <w:r>
              <w:rPr>
                <w:rFonts w:hint="eastAsia"/>
                <w:color w:val="auto"/>
                <w:sz w:val="18"/>
              </w:rPr>
              <w:t>啮齿目</w:t>
            </w:r>
          </w:p>
        </w:tc>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77BC0E8F">
            <w:pPr>
              <w:pStyle w:val="94"/>
              <w:spacing w:before="74"/>
              <w:rPr>
                <w:color w:val="auto"/>
                <w:sz w:val="18"/>
                <w:szCs w:val="18"/>
              </w:rPr>
            </w:pPr>
            <w:r>
              <w:rPr>
                <w:rFonts w:hint="eastAsia"/>
                <w:color w:val="auto"/>
                <w:sz w:val="18"/>
              </w:rPr>
              <w:t>仓鼠科</w:t>
            </w:r>
          </w:p>
        </w:tc>
        <w:tc>
          <w:tcPr>
            <w:tcW w:w="45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04877612">
            <w:pPr>
              <w:pStyle w:val="94"/>
              <w:spacing w:before="74"/>
              <w:rPr>
                <w:color w:val="auto"/>
                <w:sz w:val="18"/>
                <w:szCs w:val="18"/>
              </w:rPr>
            </w:pPr>
            <w:r>
              <w:rPr>
                <w:rFonts w:hint="eastAsia"/>
                <w:color w:val="auto"/>
                <w:sz w:val="18"/>
              </w:rPr>
              <w:t>中华酚鼠</w:t>
            </w:r>
          </w:p>
        </w:tc>
        <w:tc>
          <w:tcPr>
            <w:tcW w:w="116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5BC9363A">
            <w:pPr>
              <w:pStyle w:val="94"/>
              <w:spacing w:before="74"/>
              <w:rPr>
                <w:i/>
                <w:iCs/>
                <w:color w:val="auto"/>
                <w:sz w:val="18"/>
                <w:szCs w:val="18"/>
              </w:rPr>
            </w:pPr>
            <w:r>
              <w:rPr>
                <w:i/>
                <w:iCs/>
                <w:color w:val="auto"/>
                <w:sz w:val="18"/>
              </w:rPr>
              <w:t>Myospalax fontanieri</w:t>
            </w:r>
          </w:p>
        </w:tc>
        <w:tc>
          <w:tcPr>
            <w:tcW w:w="422"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513236EC">
            <w:pPr>
              <w:pStyle w:val="94"/>
              <w:spacing w:before="74"/>
              <w:rPr>
                <w:color w:val="auto"/>
                <w:sz w:val="18"/>
              </w:rPr>
            </w:pPr>
          </w:p>
        </w:tc>
        <w:tc>
          <w:tcPr>
            <w:tcW w:w="529"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0E71CC23">
            <w:pPr>
              <w:pStyle w:val="94"/>
              <w:spacing w:before="74"/>
              <w:rPr>
                <w:color w:val="auto"/>
                <w:sz w:val="18"/>
              </w:rPr>
            </w:pPr>
          </w:p>
        </w:tc>
        <w:tc>
          <w:tcPr>
            <w:tcW w:w="831"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3EB10A5F">
            <w:pPr>
              <w:pStyle w:val="94"/>
              <w:spacing w:before="74"/>
              <w:rPr>
                <w:color w:val="auto"/>
                <w:sz w:val="18"/>
              </w:rPr>
            </w:pPr>
          </w:p>
        </w:tc>
        <w:tc>
          <w:tcPr>
            <w:tcW w:w="99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8E7A612">
            <w:pPr>
              <w:pStyle w:val="94"/>
              <w:spacing w:before="74"/>
              <w:rPr>
                <w:color w:val="auto"/>
                <w:sz w:val="18"/>
              </w:rPr>
            </w:pPr>
          </w:p>
        </w:tc>
      </w:tr>
      <w:tr w14:paraId="062A8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38E7D038">
            <w:pPr>
              <w:pStyle w:val="94"/>
              <w:spacing w:before="74"/>
              <w:rPr>
                <w:color w:val="auto"/>
                <w:sz w:val="18"/>
                <w:szCs w:val="18"/>
              </w:rPr>
            </w:pPr>
            <w:r>
              <w:rPr>
                <w:rFonts w:hint="eastAsia"/>
                <w:color w:val="auto"/>
                <w:sz w:val="18"/>
              </w:rPr>
              <w:t>啮齿目</w:t>
            </w:r>
          </w:p>
        </w:tc>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302BB3E2">
            <w:pPr>
              <w:pStyle w:val="94"/>
              <w:spacing w:before="74"/>
              <w:rPr>
                <w:color w:val="auto"/>
                <w:sz w:val="18"/>
                <w:szCs w:val="18"/>
              </w:rPr>
            </w:pPr>
            <w:r>
              <w:rPr>
                <w:rFonts w:hint="eastAsia"/>
                <w:color w:val="auto"/>
                <w:sz w:val="18"/>
              </w:rPr>
              <w:t>仓鼠科</w:t>
            </w:r>
          </w:p>
        </w:tc>
        <w:tc>
          <w:tcPr>
            <w:tcW w:w="45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17A0C024">
            <w:pPr>
              <w:pStyle w:val="94"/>
              <w:spacing w:before="74"/>
              <w:rPr>
                <w:color w:val="auto"/>
                <w:sz w:val="18"/>
                <w:szCs w:val="18"/>
              </w:rPr>
            </w:pPr>
            <w:r>
              <w:rPr>
                <w:rFonts w:hint="eastAsia"/>
                <w:color w:val="auto"/>
                <w:sz w:val="18"/>
              </w:rPr>
              <w:t>棕背平</w:t>
            </w:r>
          </w:p>
        </w:tc>
        <w:tc>
          <w:tcPr>
            <w:tcW w:w="116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0CF7F328">
            <w:pPr>
              <w:pStyle w:val="94"/>
              <w:spacing w:before="74"/>
              <w:rPr>
                <w:i/>
                <w:iCs/>
                <w:color w:val="auto"/>
                <w:sz w:val="18"/>
                <w:szCs w:val="18"/>
              </w:rPr>
            </w:pPr>
            <w:r>
              <w:rPr>
                <w:i/>
                <w:iCs/>
                <w:color w:val="auto"/>
                <w:sz w:val="18"/>
              </w:rPr>
              <w:t>Clethrionomys rufocanus</w:t>
            </w:r>
          </w:p>
        </w:tc>
        <w:tc>
          <w:tcPr>
            <w:tcW w:w="422"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1F380359">
            <w:pPr>
              <w:pStyle w:val="94"/>
              <w:spacing w:before="74"/>
              <w:rPr>
                <w:color w:val="auto"/>
                <w:sz w:val="18"/>
              </w:rPr>
            </w:pPr>
          </w:p>
        </w:tc>
        <w:tc>
          <w:tcPr>
            <w:tcW w:w="529"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42E5418D">
            <w:pPr>
              <w:pStyle w:val="94"/>
              <w:spacing w:before="74"/>
              <w:rPr>
                <w:color w:val="auto"/>
                <w:sz w:val="18"/>
              </w:rPr>
            </w:pPr>
          </w:p>
        </w:tc>
        <w:tc>
          <w:tcPr>
            <w:tcW w:w="831"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70109E5A">
            <w:pPr>
              <w:pStyle w:val="94"/>
              <w:spacing w:before="74"/>
              <w:rPr>
                <w:color w:val="auto"/>
                <w:sz w:val="18"/>
              </w:rPr>
            </w:pPr>
          </w:p>
        </w:tc>
        <w:tc>
          <w:tcPr>
            <w:tcW w:w="99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4897E49F">
            <w:pPr>
              <w:pStyle w:val="94"/>
              <w:spacing w:before="74"/>
              <w:rPr>
                <w:color w:val="auto"/>
                <w:sz w:val="18"/>
              </w:rPr>
            </w:pPr>
          </w:p>
        </w:tc>
      </w:tr>
      <w:tr w14:paraId="2261F0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78CC4B0">
            <w:pPr>
              <w:pStyle w:val="94"/>
              <w:spacing w:before="74"/>
              <w:rPr>
                <w:color w:val="auto"/>
                <w:sz w:val="18"/>
                <w:szCs w:val="18"/>
              </w:rPr>
            </w:pPr>
            <w:r>
              <w:rPr>
                <w:rFonts w:hint="eastAsia"/>
                <w:color w:val="auto"/>
                <w:sz w:val="18"/>
              </w:rPr>
              <w:t>啮齿目</w:t>
            </w:r>
          </w:p>
        </w:tc>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5E626289">
            <w:pPr>
              <w:pStyle w:val="94"/>
              <w:spacing w:before="74"/>
              <w:rPr>
                <w:color w:val="auto"/>
                <w:sz w:val="18"/>
                <w:szCs w:val="18"/>
              </w:rPr>
            </w:pPr>
            <w:r>
              <w:rPr>
                <w:rFonts w:hint="eastAsia"/>
                <w:color w:val="auto"/>
                <w:sz w:val="18"/>
              </w:rPr>
              <w:t>鼠科</w:t>
            </w:r>
          </w:p>
        </w:tc>
        <w:tc>
          <w:tcPr>
            <w:tcW w:w="45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7F6B105C">
            <w:pPr>
              <w:pStyle w:val="94"/>
              <w:spacing w:before="74"/>
              <w:rPr>
                <w:color w:val="auto"/>
                <w:sz w:val="18"/>
                <w:szCs w:val="18"/>
              </w:rPr>
            </w:pPr>
            <w:r>
              <w:rPr>
                <w:rFonts w:hint="eastAsia"/>
                <w:color w:val="auto"/>
                <w:sz w:val="18"/>
              </w:rPr>
              <w:t>大林姬鼠</w:t>
            </w:r>
          </w:p>
        </w:tc>
        <w:tc>
          <w:tcPr>
            <w:tcW w:w="116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495F9D85">
            <w:pPr>
              <w:pStyle w:val="94"/>
              <w:spacing w:before="74"/>
              <w:rPr>
                <w:i/>
                <w:iCs/>
                <w:color w:val="auto"/>
                <w:sz w:val="18"/>
                <w:szCs w:val="18"/>
              </w:rPr>
            </w:pPr>
            <w:r>
              <w:rPr>
                <w:i/>
                <w:iCs/>
                <w:color w:val="auto"/>
                <w:sz w:val="18"/>
              </w:rPr>
              <w:t>Apodemus peninsulae</w:t>
            </w:r>
          </w:p>
        </w:tc>
        <w:tc>
          <w:tcPr>
            <w:tcW w:w="422"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742ADA25">
            <w:pPr>
              <w:pStyle w:val="94"/>
              <w:spacing w:before="74"/>
              <w:rPr>
                <w:color w:val="auto"/>
                <w:sz w:val="18"/>
                <w:szCs w:val="18"/>
              </w:rPr>
            </w:pPr>
            <w:r>
              <w:rPr>
                <w:color w:val="auto"/>
                <w:sz w:val="18"/>
              </w:rPr>
              <w:t>LC</w:t>
            </w:r>
          </w:p>
        </w:tc>
        <w:tc>
          <w:tcPr>
            <w:tcW w:w="529"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AFFADB0">
            <w:pPr>
              <w:pStyle w:val="94"/>
              <w:spacing w:before="74"/>
              <w:rPr>
                <w:color w:val="auto"/>
                <w:sz w:val="18"/>
              </w:rPr>
            </w:pPr>
          </w:p>
        </w:tc>
        <w:tc>
          <w:tcPr>
            <w:tcW w:w="831"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DB6F050">
            <w:pPr>
              <w:pStyle w:val="94"/>
              <w:spacing w:before="74"/>
              <w:rPr>
                <w:color w:val="auto"/>
                <w:sz w:val="18"/>
              </w:rPr>
            </w:pPr>
          </w:p>
        </w:tc>
        <w:tc>
          <w:tcPr>
            <w:tcW w:w="99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5E2DE974">
            <w:pPr>
              <w:pStyle w:val="94"/>
              <w:spacing w:before="74"/>
              <w:rPr>
                <w:color w:val="auto"/>
                <w:sz w:val="18"/>
              </w:rPr>
            </w:pPr>
          </w:p>
        </w:tc>
      </w:tr>
      <w:tr w14:paraId="28AF0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250F437">
            <w:pPr>
              <w:pStyle w:val="94"/>
              <w:spacing w:before="74"/>
              <w:rPr>
                <w:color w:val="auto"/>
                <w:sz w:val="18"/>
                <w:szCs w:val="18"/>
              </w:rPr>
            </w:pPr>
            <w:r>
              <w:rPr>
                <w:rFonts w:hint="eastAsia"/>
                <w:color w:val="auto"/>
                <w:sz w:val="18"/>
              </w:rPr>
              <w:t>啮齿目</w:t>
            </w:r>
          </w:p>
        </w:tc>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16B5B66D">
            <w:pPr>
              <w:pStyle w:val="94"/>
              <w:spacing w:before="74"/>
              <w:rPr>
                <w:color w:val="auto"/>
                <w:sz w:val="18"/>
                <w:szCs w:val="18"/>
              </w:rPr>
            </w:pPr>
            <w:r>
              <w:rPr>
                <w:rFonts w:hint="eastAsia"/>
                <w:color w:val="auto"/>
                <w:sz w:val="18"/>
              </w:rPr>
              <w:t>鼠科</w:t>
            </w:r>
          </w:p>
        </w:tc>
        <w:tc>
          <w:tcPr>
            <w:tcW w:w="45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54244245">
            <w:pPr>
              <w:pStyle w:val="94"/>
              <w:spacing w:before="74"/>
              <w:rPr>
                <w:color w:val="auto"/>
                <w:sz w:val="18"/>
                <w:szCs w:val="18"/>
              </w:rPr>
            </w:pPr>
            <w:r>
              <w:rPr>
                <w:rFonts w:hint="eastAsia"/>
                <w:color w:val="auto"/>
                <w:sz w:val="18"/>
              </w:rPr>
              <w:t>黑线姬鼠</w:t>
            </w:r>
          </w:p>
        </w:tc>
        <w:tc>
          <w:tcPr>
            <w:tcW w:w="116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0E0F46A2">
            <w:pPr>
              <w:pStyle w:val="94"/>
              <w:spacing w:before="74"/>
              <w:rPr>
                <w:i/>
                <w:iCs/>
                <w:color w:val="auto"/>
                <w:sz w:val="18"/>
                <w:szCs w:val="18"/>
              </w:rPr>
            </w:pPr>
            <w:r>
              <w:rPr>
                <w:i/>
                <w:iCs/>
                <w:color w:val="auto"/>
                <w:sz w:val="18"/>
              </w:rPr>
              <w:t>Apodemus agrarius</w:t>
            </w:r>
          </w:p>
        </w:tc>
        <w:tc>
          <w:tcPr>
            <w:tcW w:w="422"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7B156819">
            <w:pPr>
              <w:pStyle w:val="94"/>
              <w:spacing w:before="74"/>
              <w:rPr>
                <w:color w:val="auto"/>
                <w:sz w:val="18"/>
                <w:szCs w:val="18"/>
              </w:rPr>
            </w:pPr>
            <w:r>
              <w:rPr>
                <w:color w:val="auto"/>
                <w:sz w:val="18"/>
              </w:rPr>
              <w:t>LC</w:t>
            </w:r>
          </w:p>
        </w:tc>
        <w:tc>
          <w:tcPr>
            <w:tcW w:w="529"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7F479092">
            <w:pPr>
              <w:pStyle w:val="94"/>
              <w:spacing w:before="74"/>
              <w:rPr>
                <w:color w:val="auto"/>
                <w:sz w:val="18"/>
              </w:rPr>
            </w:pPr>
          </w:p>
        </w:tc>
        <w:tc>
          <w:tcPr>
            <w:tcW w:w="831"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77823D3A">
            <w:pPr>
              <w:pStyle w:val="94"/>
              <w:spacing w:before="74"/>
              <w:rPr>
                <w:color w:val="auto"/>
                <w:sz w:val="18"/>
              </w:rPr>
            </w:pPr>
          </w:p>
        </w:tc>
        <w:tc>
          <w:tcPr>
            <w:tcW w:w="99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5A73D494">
            <w:pPr>
              <w:pStyle w:val="94"/>
              <w:spacing w:before="74"/>
              <w:rPr>
                <w:color w:val="auto"/>
                <w:sz w:val="18"/>
              </w:rPr>
            </w:pPr>
          </w:p>
        </w:tc>
      </w:tr>
      <w:tr w14:paraId="1285A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5E460C03">
            <w:pPr>
              <w:pStyle w:val="94"/>
              <w:spacing w:before="74"/>
              <w:rPr>
                <w:color w:val="auto"/>
                <w:sz w:val="18"/>
                <w:szCs w:val="18"/>
              </w:rPr>
            </w:pPr>
            <w:r>
              <w:rPr>
                <w:rFonts w:hint="eastAsia"/>
                <w:color w:val="auto"/>
                <w:sz w:val="18"/>
              </w:rPr>
              <w:t>啮齿目</w:t>
            </w:r>
          </w:p>
        </w:tc>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4047C973">
            <w:pPr>
              <w:pStyle w:val="94"/>
              <w:spacing w:before="74"/>
              <w:rPr>
                <w:color w:val="auto"/>
                <w:sz w:val="18"/>
                <w:szCs w:val="18"/>
              </w:rPr>
            </w:pPr>
            <w:r>
              <w:rPr>
                <w:rFonts w:hint="eastAsia"/>
                <w:color w:val="auto"/>
                <w:sz w:val="18"/>
              </w:rPr>
              <w:t>鼠科</w:t>
            </w:r>
          </w:p>
        </w:tc>
        <w:tc>
          <w:tcPr>
            <w:tcW w:w="45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1D080C02">
            <w:pPr>
              <w:pStyle w:val="94"/>
              <w:spacing w:before="74"/>
              <w:rPr>
                <w:color w:val="auto"/>
                <w:sz w:val="18"/>
                <w:szCs w:val="18"/>
              </w:rPr>
            </w:pPr>
            <w:r>
              <w:rPr>
                <w:rFonts w:hint="eastAsia"/>
                <w:color w:val="auto"/>
                <w:sz w:val="18"/>
              </w:rPr>
              <w:t>褐家鼠</w:t>
            </w:r>
          </w:p>
        </w:tc>
        <w:tc>
          <w:tcPr>
            <w:tcW w:w="116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58C16A4A">
            <w:pPr>
              <w:pStyle w:val="94"/>
              <w:spacing w:before="74"/>
              <w:rPr>
                <w:i/>
                <w:iCs/>
                <w:color w:val="auto"/>
                <w:sz w:val="18"/>
                <w:szCs w:val="18"/>
              </w:rPr>
            </w:pPr>
            <w:r>
              <w:rPr>
                <w:i/>
                <w:iCs/>
                <w:color w:val="auto"/>
                <w:sz w:val="18"/>
              </w:rPr>
              <w:t>Rattus norvegicus</w:t>
            </w:r>
          </w:p>
        </w:tc>
        <w:tc>
          <w:tcPr>
            <w:tcW w:w="422"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0F177041">
            <w:pPr>
              <w:pStyle w:val="94"/>
              <w:spacing w:before="74"/>
              <w:rPr>
                <w:color w:val="auto"/>
                <w:sz w:val="18"/>
                <w:szCs w:val="18"/>
              </w:rPr>
            </w:pPr>
            <w:r>
              <w:rPr>
                <w:color w:val="auto"/>
                <w:sz w:val="18"/>
              </w:rPr>
              <w:t>LC</w:t>
            </w:r>
          </w:p>
        </w:tc>
        <w:tc>
          <w:tcPr>
            <w:tcW w:w="529"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113A1926">
            <w:pPr>
              <w:pStyle w:val="94"/>
              <w:spacing w:before="74"/>
              <w:rPr>
                <w:color w:val="auto"/>
                <w:sz w:val="18"/>
              </w:rPr>
            </w:pPr>
          </w:p>
        </w:tc>
        <w:tc>
          <w:tcPr>
            <w:tcW w:w="831"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7CE38EBC">
            <w:pPr>
              <w:pStyle w:val="94"/>
              <w:spacing w:before="74"/>
              <w:rPr>
                <w:color w:val="auto"/>
                <w:sz w:val="18"/>
              </w:rPr>
            </w:pPr>
          </w:p>
        </w:tc>
        <w:tc>
          <w:tcPr>
            <w:tcW w:w="99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40E7AA86">
            <w:pPr>
              <w:pStyle w:val="94"/>
              <w:spacing w:before="74"/>
              <w:rPr>
                <w:color w:val="auto"/>
                <w:sz w:val="18"/>
              </w:rPr>
            </w:pPr>
          </w:p>
        </w:tc>
      </w:tr>
      <w:tr w14:paraId="18FE1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BE3463C">
            <w:pPr>
              <w:pStyle w:val="94"/>
              <w:spacing w:before="74"/>
              <w:rPr>
                <w:color w:val="auto"/>
                <w:sz w:val="18"/>
                <w:szCs w:val="18"/>
              </w:rPr>
            </w:pPr>
            <w:r>
              <w:rPr>
                <w:rFonts w:hint="eastAsia"/>
                <w:color w:val="auto"/>
                <w:sz w:val="18"/>
              </w:rPr>
              <w:t>啮齿目</w:t>
            </w:r>
          </w:p>
        </w:tc>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490A311B">
            <w:pPr>
              <w:pStyle w:val="94"/>
              <w:spacing w:before="74"/>
              <w:rPr>
                <w:color w:val="auto"/>
                <w:sz w:val="18"/>
                <w:szCs w:val="18"/>
              </w:rPr>
            </w:pPr>
            <w:r>
              <w:rPr>
                <w:rFonts w:hint="eastAsia"/>
                <w:color w:val="auto"/>
                <w:sz w:val="18"/>
              </w:rPr>
              <w:t>鼠科</w:t>
            </w:r>
          </w:p>
        </w:tc>
        <w:tc>
          <w:tcPr>
            <w:tcW w:w="45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70AB353">
            <w:pPr>
              <w:pStyle w:val="94"/>
              <w:spacing w:before="74"/>
              <w:rPr>
                <w:color w:val="auto"/>
                <w:sz w:val="18"/>
                <w:szCs w:val="18"/>
              </w:rPr>
            </w:pPr>
            <w:r>
              <w:rPr>
                <w:rFonts w:hint="eastAsia"/>
                <w:color w:val="auto"/>
                <w:sz w:val="18"/>
              </w:rPr>
              <w:t>小家鼠</w:t>
            </w:r>
          </w:p>
        </w:tc>
        <w:tc>
          <w:tcPr>
            <w:tcW w:w="116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608E3AD0">
            <w:pPr>
              <w:pStyle w:val="94"/>
              <w:spacing w:before="74"/>
              <w:rPr>
                <w:i/>
                <w:iCs/>
                <w:color w:val="auto"/>
                <w:sz w:val="18"/>
                <w:szCs w:val="18"/>
              </w:rPr>
            </w:pPr>
            <w:r>
              <w:rPr>
                <w:i/>
                <w:iCs/>
                <w:color w:val="auto"/>
                <w:sz w:val="18"/>
              </w:rPr>
              <w:t>Mus musculus</w:t>
            </w:r>
          </w:p>
        </w:tc>
        <w:tc>
          <w:tcPr>
            <w:tcW w:w="422"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4B73183A">
            <w:pPr>
              <w:pStyle w:val="94"/>
              <w:spacing w:before="74"/>
              <w:rPr>
                <w:color w:val="auto"/>
                <w:sz w:val="18"/>
                <w:szCs w:val="18"/>
              </w:rPr>
            </w:pPr>
            <w:r>
              <w:rPr>
                <w:color w:val="auto"/>
                <w:sz w:val="18"/>
              </w:rPr>
              <w:t>LC</w:t>
            </w:r>
          </w:p>
        </w:tc>
        <w:tc>
          <w:tcPr>
            <w:tcW w:w="529"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19753AAB">
            <w:pPr>
              <w:pStyle w:val="94"/>
              <w:spacing w:before="74"/>
              <w:rPr>
                <w:color w:val="auto"/>
                <w:sz w:val="18"/>
              </w:rPr>
            </w:pPr>
          </w:p>
        </w:tc>
        <w:tc>
          <w:tcPr>
            <w:tcW w:w="831"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4158848B">
            <w:pPr>
              <w:pStyle w:val="94"/>
              <w:spacing w:before="74"/>
              <w:rPr>
                <w:color w:val="auto"/>
                <w:sz w:val="18"/>
              </w:rPr>
            </w:pPr>
          </w:p>
        </w:tc>
        <w:tc>
          <w:tcPr>
            <w:tcW w:w="99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7BE19AD7">
            <w:pPr>
              <w:pStyle w:val="94"/>
              <w:spacing w:before="74"/>
              <w:rPr>
                <w:color w:val="auto"/>
                <w:sz w:val="18"/>
              </w:rPr>
            </w:pPr>
          </w:p>
        </w:tc>
      </w:tr>
      <w:tr w14:paraId="738E5C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677F237B">
            <w:pPr>
              <w:pStyle w:val="94"/>
              <w:spacing w:before="74"/>
              <w:rPr>
                <w:color w:val="auto"/>
                <w:sz w:val="18"/>
                <w:szCs w:val="18"/>
              </w:rPr>
            </w:pPr>
            <w:r>
              <w:rPr>
                <w:rFonts w:hint="eastAsia"/>
                <w:color w:val="auto"/>
                <w:sz w:val="18"/>
              </w:rPr>
              <w:t>兔形目</w:t>
            </w:r>
          </w:p>
        </w:tc>
        <w:tc>
          <w:tcPr>
            <w:tcW w:w="30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138102BF">
            <w:pPr>
              <w:pStyle w:val="94"/>
              <w:spacing w:before="74"/>
              <w:rPr>
                <w:color w:val="auto"/>
                <w:sz w:val="18"/>
                <w:szCs w:val="18"/>
              </w:rPr>
            </w:pPr>
            <w:r>
              <w:rPr>
                <w:rFonts w:hint="eastAsia"/>
                <w:color w:val="auto"/>
                <w:sz w:val="18"/>
              </w:rPr>
              <w:t>兔科</w:t>
            </w:r>
          </w:p>
        </w:tc>
        <w:tc>
          <w:tcPr>
            <w:tcW w:w="45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575323CA">
            <w:pPr>
              <w:pStyle w:val="94"/>
              <w:spacing w:before="74"/>
              <w:rPr>
                <w:color w:val="auto"/>
                <w:sz w:val="18"/>
                <w:szCs w:val="18"/>
              </w:rPr>
            </w:pPr>
            <w:r>
              <w:rPr>
                <w:rFonts w:hint="eastAsia"/>
                <w:color w:val="auto"/>
                <w:sz w:val="18"/>
              </w:rPr>
              <w:t>草兔</w:t>
            </w:r>
          </w:p>
        </w:tc>
        <w:tc>
          <w:tcPr>
            <w:tcW w:w="1163"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2B90E463">
            <w:pPr>
              <w:pStyle w:val="94"/>
              <w:spacing w:before="74"/>
              <w:rPr>
                <w:i/>
                <w:iCs/>
                <w:color w:val="auto"/>
                <w:sz w:val="18"/>
                <w:szCs w:val="18"/>
              </w:rPr>
            </w:pPr>
            <w:r>
              <w:rPr>
                <w:i/>
                <w:iCs/>
                <w:color w:val="auto"/>
                <w:sz w:val="18"/>
              </w:rPr>
              <w:t>Lepus capensis</w:t>
            </w:r>
          </w:p>
        </w:tc>
        <w:tc>
          <w:tcPr>
            <w:tcW w:w="422"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709661EF">
            <w:pPr>
              <w:pStyle w:val="94"/>
              <w:spacing w:before="74"/>
              <w:rPr>
                <w:color w:val="auto"/>
                <w:sz w:val="18"/>
              </w:rPr>
            </w:pPr>
          </w:p>
        </w:tc>
        <w:tc>
          <w:tcPr>
            <w:tcW w:w="529"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543801F6">
            <w:pPr>
              <w:pStyle w:val="94"/>
              <w:spacing w:before="74"/>
              <w:rPr>
                <w:color w:val="auto"/>
                <w:sz w:val="18"/>
              </w:rPr>
            </w:pPr>
          </w:p>
        </w:tc>
        <w:tc>
          <w:tcPr>
            <w:tcW w:w="831"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03B02931">
            <w:pPr>
              <w:pStyle w:val="94"/>
              <w:spacing w:before="74"/>
              <w:rPr>
                <w:color w:val="auto"/>
                <w:sz w:val="18"/>
              </w:rPr>
            </w:pPr>
          </w:p>
        </w:tc>
        <w:tc>
          <w:tcPr>
            <w:tcW w:w="994" w:type="pct"/>
            <w:tcBorders>
              <w:top w:val="single" w:color="auto" w:sz="4" w:space="0"/>
              <w:left w:val="single" w:color="auto" w:sz="4" w:space="0"/>
              <w:bottom w:val="single" w:color="auto" w:sz="4" w:space="0"/>
              <w:right w:val="single" w:color="auto" w:sz="4" w:space="0"/>
            </w:tcBorders>
            <w:shd w:val="clear" w:color="auto" w:fill="FFFFFF"/>
            <w:noWrap/>
            <w:vAlign w:val="center"/>
          </w:tcPr>
          <w:p w14:paraId="1828E2B8">
            <w:pPr>
              <w:pStyle w:val="94"/>
              <w:spacing w:before="74"/>
              <w:rPr>
                <w:color w:val="auto"/>
                <w:sz w:val="18"/>
              </w:rPr>
            </w:pPr>
          </w:p>
        </w:tc>
      </w:tr>
    </w:tbl>
    <w:p w14:paraId="378DC169">
      <w:pPr>
        <w:pStyle w:val="96"/>
        <w:ind w:firstLine="480"/>
        <w:rPr>
          <w:rFonts w:cs="Arial"/>
        </w:rPr>
      </w:pPr>
      <w:r>
        <w:rPr>
          <w:rFonts w:hint="eastAsia"/>
        </w:rPr>
        <w:t>2、鸟类</w:t>
      </w:r>
    </w:p>
    <w:p w14:paraId="5441B049">
      <w:pPr>
        <w:pStyle w:val="96"/>
        <w:ind w:firstLine="480"/>
      </w:pPr>
      <w:r>
        <w:rPr>
          <w:rFonts w:hint="eastAsia"/>
        </w:rPr>
        <w:t>经查阅相关资料，访问当地居民，调查共有</w:t>
      </w:r>
      <w:r>
        <w:t>8</w:t>
      </w:r>
      <w:r>
        <w:rPr>
          <w:rFonts w:hint="eastAsia"/>
        </w:rPr>
        <w:t>目</w:t>
      </w:r>
      <w:r>
        <w:t>17</w:t>
      </w:r>
      <w:r>
        <w:rPr>
          <w:rFonts w:hint="eastAsia"/>
        </w:rPr>
        <w:t>科</w:t>
      </w:r>
      <w:r>
        <w:t>32</w:t>
      </w:r>
      <w:r>
        <w:rPr>
          <w:rFonts w:hint="eastAsia"/>
        </w:rPr>
        <w:t>种鸟类野生动物，其中无山西省重点野生动物，无“三危物种”无国家重点保护野生动物，具体见下表。</w:t>
      </w:r>
    </w:p>
    <w:p w14:paraId="7714C3DF">
      <w:pPr>
        <w:pStyle w:val="19"/>
        <w:keepNext/>
      </w:pPr>
      <w:r>
        <w:t xml:space="preserve">表 </w:t>
      </w:r>
      <w:r>
        <w:fldChar w:fldCharType="begin"/>
      </w:r>
      <w:r>
        <w:instrText xml:space="preserve"> SEQ 表 \* ARABIC </w:instrText>
      </w:r>
      <w:r>
        <w:fldChar w:fldCharType="separate"/>
      </w:r>
      <w:r>
        <w:t>71</w:t>
      </w:r>
      <w:r>
        <w:fldChar w:fldCharType="end"/>
      </w:r>
      <w:r>
        <w:rPr>
          <w:rFonts w:hint="eastAsia"/>
        </w:rPr>
        <w:t>调查区鸟类名录</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45"/>
        <w:gridCol w:w="1346"/>
        <w:gridCol w:w="1346"/>
        <w:gridCol w:w="3507"/>
        <w:gridCol w:w="1643"/>
        <w:gridCol w:w="1508"/>
        <w:gridCol w:w="2355"/>
        <w:gridCol w:w="2564"/>
      </w:tblGrid>
      <w:tr w14:paraId="5D1C1A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15" w:hRule="atLeast"/>
        </w:trPr>
        <w:tc>
          <w:tcPr>
            <w:tcW w:w="431" w:type="pct"/>
            <w:noWrap/>
            <w:vAlign w:val="center"/>
          </w:tcPr>
          <w:p w14:paraId="72AB3CAB">
            <w:pPr>
              <w:pStyle w:val="94"/>
              <w:rPr>
                <w:color w:val="auto"/>
              </w:rPr>
            </w:pPr>
            <w:r>
              <w:rPr>
                <w:color w:val="auto"/>
              </w:rPr>
              <w:t>目</w:t>
            </w:r>
          </w:p>
        </w:tc>
        <w:tc>
          <w:tcPr>
            <w:tcW w:w="431" w:type="pct"/>
            <w:noWrap/>
            <w:vAlign w:val="center"/>
          </w:tcPr>
          <w:p w14:paraId="2E43534C">
            <w:pPr>
              <w:pStyle w:val="94"/>
              <w:rPr>
                <w:color w:val="auto"/>
              </w:rPr>
            </w:pPr>
            <w:r>
              <w:rPr>
                <w:color w:val="auto"/>
              </w:rPr>
              <w:t>科</w:t>
            </w:r>
          </w:p>
        </w:tc>
        <w:tc>
          <w:tcPr>
            <w:tcW w:w="431" w:type="pct"/>
            <w:noWrap/>
            <w:vAlign w:val="center"/>
          </w:tcPr>
          <w:p w14:paraId="67DF6918">
            <w:pPr>
              <w:pStyle w:val="94"/>
              <w:rPr>
                <w:color w:val="auto"/>
              </w:rPr>
            </w:pPr>
            <w:r>
              <w:rPr>
                <w:color w:val="auto"/>
              </w:rPr>
              <w:t>种</w:t>
            </w:r>
          </w:p>
        </w:tc>
        <w:tc>
          <w:tcPr>
            <w:tcW w:w="1123" w:type="pct"/>
            <w:noWrap/>
            <w:vAlign w:val="center"/>
          </w:tcPr>
          <w:p w14:paraId="00CF996F">
            <w:pPr>
              <w:pStyle w:val="94"/>
              <w:rPr>
                <w:color w:val="auto"/>
              </w:rPr>
            </w:pPr>
            <w:r>
              <w:rPr>
                <w:color w:val="auto"/>
              </w:rPr>
              <w:t>拉丁学名</w:t>
            </w:r>
          </w:p>
        </w:tc>
        <w:tc>
          <w:tcPr>
            <w:tcW w:w="526" w:type="pct"/>
            <w:vAlign w:val="center"/>
          </w:tcPr>
          <w:p w14:paraId="373DF764">
            <w:pPr>
              <w:pStyle w:val="94"/>
              <w:rPr>
                <w:color w:val="auto"/>
              </w:rPr>
            </w:pPr>
            <w:r>
              <w:rPr>
                <w:color w:val="auto"/>
              </w:rPr>
              <w:t>中国生物多样性红色名录濒危物种</w:t>
            </w:r>
          </w:p>
        </w:tc>
        <w:tc>
          <w:tcPr>
            <w:tcW w:w="483" w:type="pct"/>
            <w:noWrap/>
            <w:vAlign w:val="center"/>
          </w:tcPr>
          <w:p w14:paraId="5F48766B">
            <w:pPr>
              <w:pStyle w:val="94"/>
              <w:rPr>
                <w:color w:val="auto"/>
              </w:rPr>
            </w:pPr>
            <w:r>
              <w:rPr>
                <w:color w:val="auto"/>
              </w:rPr>
              <w:t>是否为特有种</w:t>
            </w:r>
          </w:p>
        </w:tc>
        <w:tc>
          <w:tcPr>
            <w:tcW w:w="754" w:type="pct"/>
            <w:noWrap/>
            <w:vAlign w:val="center"/>
          </w:tcPr>
          <w:p w14:paraId="79F3C9EC">
            <w:pPr>
              <w:pStyle w:val="94"/>
              <w:rPr>
                <w:color w:val="auto"/>
              </w:rPr>
            </w:pPr>
            <w:r>
              <w:rPr>
                <w:color w:val="auto"/>
              </w:rPr>
              <w:t>省级重点保护野生动物</w:t>
            </w:r>
          </w:p>
        </w:tc>
        <w:tc>
          <w:tcPr>
            <w:tcW w:w="822" w:type="pct"/>
            <w:noWrap/>
            <w:vAlign w:val="center"/>
          </w:tcPr>
          <w:p w14:paraId="189667E2">
            <w:pPr>
              <w:pStyle w:val="94"/>
              <w:rPr>
                <w:color w:val="auto"/>
              </w:rPr>
            </w:pPr>
            <w:r>
              <w:rPr>
                <w:color w:val="auto"/>
              </w:rPr>
              <w:t>国家级重点保护野生动物</w:t>
            </w:r>
          </w:p>
        </w:tc>
      </w:tr>
      <w:tr w14:paraId="2E1AD8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431" w:type="pct"/>
            <w:noWrap/>
            <w:vAlign w:val="center"/>
          </w:tcPr>
          <w:p w14:paraId="1A2D97F8">
            <w:pPr>
              <w:pStyle w:val="94"/>
              <w:rPr>
                <w:color w:val="auto"/>
              </w:rPr>
            </w:pPr>
            <w:r>
              <w:rPr>
                <w:color w:val="auto"/>
              </w:rPr>
              <w:t>鸽形目</w:t>
            </w:r>
          </w:p>
        </w:tc>
        <w:tc>
          <w:tcPr>
            <w:tcW w:w="431" w:type="pct"/>
            <w:noWrap/>
            <w:vAlign w:val="center"/>
          </w:tcPr>
          <w:p w14:paraId="622BC18F">
            <w:pPr>
              <w:pStyle w:val="94"/>
              <w:rPr>
                <w:color w:val="auto"/>
              </w:rPr>
            </w:pPr>
            <w:r>
              <w:rPr>
                <w:color w:val="auto"/>
              </w:rPr>
              <w:t>鸠鸽科</w:t>
            </w:r>
          </w:p>
        </w:tc>
        <w:tc>
          <w:tcPr>
            <w:tcW w:w="431" w:type="pct"/>
            <w:noWrap/>
            <w:vAlign w:val="center"/>
          </w:tcPr>
          <w:p w14:paraId="43AD7B31">
            <w:pPr>
              <w:pStyle w:val="94"/>
              <w:rPr>
                <w:color w:val="auto"/>
              </w:rPr>
            </w:pPr>
            <w:r>
              <w:rPr>
                <w:color w:val="auto"/>
              </w:rPr>
              <w:t>珠颈斑鸠</w:t>
            </w:r>
          </w:p>
        </w:tc>
        <w:tc>
          <w:tcPr>
            <w:tcW w:w="1123" w:type="pct"/>
            <w:noWrap/>
            <w:vAlign w:val="center"/>
          </w:tcPr>
          <w:p w14:paraId="715BE462">
            <w:pPr>
              <w:pStyle w:val="94"/>
              <w:rPr>
                <w:i/>
                <w:iCs/>
                <w:color w:val="auto"/>
              </w:rPr>
            </w:pPr>
            <w:r>
              <w:rPr>
                <w:i/>
                <w:iCs/>
                <w:color w:val="auto"/>
              </w:rPr>
              <w:t>Spilopelia chinensis</w:t>
            </w:r>
          </w:p>
        </w:tc>
        <w:tc>
          <w:tcPr>
            <w:tcW w:w="526" w:type="pct"/>
            <w:noWrap/>
            <w:vAlign w:val="center"/>
          </w:tcPr>
          <w:p w14:paraId="6D557EC8">
            <w:pPr>
              <w:pStyle w:val="94"/>
              <w:rPr>
                <w:color w:val="auto"/>
              </w:rPr>
            </w:pPr>
            <w:r>
              <w:rPr>
                <w:color w:val="auto"/>
              </w:rPr>
              <w:t>LC</w:t>
            </w:r>
          </w:p>
        </w:tc>
        <w:tc>
          <w:tcPr>
            <w:tcW w:w="483" w:type="pct"/>
            <w:noWrap/>
            <w:vAlign w:val="center"/>
          </w:tcPr>
          <w:p w14:paraId="03EDB02D">
            <w:pPr>
              <w:pStyle w:val="94"/>
              <w:rPr>
                <w:color w:val="auto"/>
              </w:rPr>
            </w:pPr>
          </w:p>
        </w:tc>
        <w:tc>
          <w:tcPr>
            <w:tcW w:w="754" w:type="pct"/>
            <w:noWrap/>
            <w:vAlign w:val="center"/>
          </w:tcPr>
          <w:p w14:paraId="508C6904">
            <w:pPr>
              <w:pStyle w:val="94"/>
              <w:rPr>
                <w:rFonts w:ascii="Times New Roman" w:hAnsi="Times New Roman" w:eastAsia="Times New Roman" w:cs="Times New Roman"/>
                <w:color w:val="auto"/>
                <w:sz w:val="20"/>
                <w:szCs w:val="20"/>
              </w:rPr>
            </w:pPr>
          </w:p>
        </w:tc>
        <w:tc>
          <w:tcPr>
            <w:tcW w:w="822" w:type="pct"/>
            <w:noWrap/>
            <w:vAlign w:val="center"/>
          </w:tcPr>
          <w:p w14:paraId="35A5A0E9">
            <w:pPr>
              <w:pStyle w:val="94"/>
              <w:rPr>
                <w:rFonts w:ascii="Times New Roman" w:hAnsi="Times New Roman" w:eastAsia="Times New Roman" w:cs="Times New Roman"/>
                <w:color w:val="auto"/>
                <w:sz w:val="20"/>
                <w:szCs w:val="20"/>
              </w:rPr>
            </w:pPr>
          </w:p>
        </w:tc>
      </w:tr>
      <w:tr w14:paraId="32B6EE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31" w:type="pct"/>
            <w:noWrap/>
            <w:vAlign w:val="center"/>
          </w:tcPr>
          <w:p w14:paraId="56DF1030">
            <w:pPr>
              <w:pStyle w:val="94"/>
              <w:rPr>
                <w:color w:val="auto"/>
              </w:rPr>
            </w:pPr>
            <w:r>
              <w:rPr>
                <w:color w:val="auto"/>
              </w:rPr>
              <w:t>鹳形目</w:t>
            </w:r>
          </w:p>
        </w:tc>
        <w:tc>
          <w:tcPr>
            <w:tcW w:w="431" w:type="pct"/>
            <w:noWrap/>
            <w:vAlign w:val="center"/>
          </w:tcPr>
          <w:p w14:paraId="467CD462">
            <w:pPr>
              <w:pStyle w:val="94"/>
              <w:rPr>
                <w:color w:val="auto"/>
              </w:rPr>
            </w:pPr>
            <w:r>
              <w:rPr>
                <w:color w:val="auto"/>
              </w:rPr>
              <w:t>鹭科</w:t>
            </w:r>
          </w:p>
        </w:tc>
        <w:tc>
          <w:tcPr>
            <w:tcW w:w="431" w:type="pct"/>
            <w:noWrap/>
            <w:vAlign w:val="center"/>
          </w:tcPr>
          <w:p w14:paraId="3DEC905D">
            <w:pPr>
              <w:pStyle w:val="94"/>
              <w:rPr>
                <w:color w:val="auto"/>
              </w:rPr>
            </w:pPr>
            <w:r>
              <w:rPr>
                <w:color w:val="auto"/>
              </w:rPr>
              <w:t>黄苇鳽</w:t>
            </w:r>
          </w:p>
        </w:tc>
        <w:tc>
          <w:tcPr>
            <w:tcW w:w="1123" w:type="pct"/>
            <w:noWrap/>
            <w:vAlign w:val="center"/>
          </w:tcPr>
          <w:p w14:paraId="376B14AE">
            <w:pPr>
              <w:pStyle w:val="94"/>
              <w:rPr>
                <w:i/>
                <w:iCs/>
                <w:color w:val="auto"/>
              </w:rPr>
            </w:pPr>
            <w:r>
              <w:rPr>
                <w:i/>
                <w:iCs/>
                <w:color w:val="auto"/>
              </w:rPr>
              <w:t>Ixobrychus sinensis</w:t>
            </w:r>
          </w:p>
        </w:tc>
        <w:tc>
          <w:tcPr>
            <w:tcW w:w="526" w:type="pct"/>
            <w:noWrap/>
            <w:vAlign w:val="center"/>
          </w:tcPr>
          <w:p w14:paraId="22052956">
            <w:pPr>
              <w:pStyle w:val="94"/>
              <w:rPr>
                <w:i/>
                <w:iCs/>
                <w:color w:val="auto"/>
              </w:rPr>
            </w:pPr>
          </w:p>
        </w:tc>
        <w:tc>
          <w:tcPr>
            <w:tcW w:w="483" w:type="pct"/>
            <w:noWrap/>
            <w:vAlign w:val="center"/>
          </w:tcPr>
          <w:p w14:paraId="3B0F7EB7">
            <w:pPr>
              <w:pStyle w:val="94"/>
              <w:rPr>
                <w:rFonts w:ascii="Times New Roman" w:hAnsi="Times New Roman" w:eastAsia="Times New Roman" w:cs="Times New Roman"/>
                <w:color w:val="auto"/>
                <w:sz w:val="20"/>
                <w:szCs w:val="20"/>
              </w:rPr>
            </w:pPr>
          </w:p>
        </w:tc>
        <w:tc>
          <w:tcPr>
            <w:tcW w:w="754" w:type="pct"/>
            <w:noWrap/>
            <w:vAlign w:val="center"/>
          </w:tcPr>
          <w:p w14:paraId="5C7D0E57">
            <w:pPr>
              <w:pStyle w:val="94"/>
              <w:rPr>
                <w:rFonts w:ascii="Times New Roman" w:hAnsi="Times New Roman" w:eastAsia="Times New Roman" w:cs="Times New Roman"/>
                <w:color w:val="auto"/>
                <w:sz w:val="20"/>
                <w:szCs w:val="20"/>
              </w:rPr>
            </w:pPr>
          </w:p>
        </w:tc>
        <w:tc>
          <w:tcPr>
            <w:tcW w:w="822" w:type="pct"/>
            <w:noWrap/>
            <w:vAlign w:val="center"/>
          </w:tcPr>
          <w:p w14:paraId="449C13F8">
            <w:pPr>
              <w:pStyle w:val="94"/>
              <w:rPr>
                <w:rFonts w:ascii="Times New Roman" w:hAnsi="Times New Roman" w:eastAsia="Times New Roman" w:cs="Times New Roman"/>
                <w:color w:val="auto"/>
                <w:sz w:val="20"/>
                <w:szCs w:val="20"/>
              </w:rPr>
            </w:pPr>
          </w:p>
        </w:tc>
      </w:tr>
      <w:tr w14:paraId="5D14E4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31" w:type="pct"/>
            <w:noWrap/>
            <w:vAlign w:val="center"/>
          </w:tcPr>
          <w:p w14:paraId="2EE0FEAE">
            <w:pPr>
              <w:pStyle w:val="94"/>
              <w:rPr>
                <w:color w:val="auto"/>
              </w:rPr>
            </w:pPr>
            <w:r>
              <w:rPr>
                <w:color w:val="auto"/>
              </w:rPr>
              <w:t>鹤形目</w:t>
            </w:r>
          </w:p>
        </w:tc>
        <w:tc>
          <w:tcPr>
            <w:tcW w:w="431" w:type="pct"/>
            <w:noWrap/>
            <w:vAlign w:val="center"/>
          </w:tcPr>
          <w:p w14:paraId="0897129C">
            <w:pPr>
              <w:pStyle w:val="94"/>
              <w:rPr>
                <w:color w:val="auto"/>
              </w:rPr>
            </w:pPr>
            <w:r>
              <w:rPr>
                <w:color w:val="auto"/>
              </w:rPr>
              <w:t>秧鸡科</w:t>
            </w:r>
          </w:p>
        </w:tc>
        <w:tc>
          <w:tcPr>
            <w:tcW w:w="431" w:type="pct"/>
            <w:noWrap/>
            <w:vAlign w:val="center"/>
          </w:tcPr>
          <w:p w14:paraId="26B1A365">
            <w:pPr>
              <w:pStyle w:val="94"/>
              <w:rPr>
                <w:color w:val="auto"/>
              </w:rPr>
            </w:pPr>
            <w:r>
              <w:rPr>
                <w:color w:val="auto"/>
              </w:rPr>
              <w:t>黑水鸡</w:t>
            </w:r>
          </w:p>
        </w:tc>
        <w:tc>
          <w:tcPr>
            <w:tcW w:w="1123" w:type="pct"/>
            <w:noWrap/>
            <w:vAlign w:val="center"/>
          </w:tcPr>
          <w:p w14:paraId="07D6206D">
            <w:pPr>
              <w:pStyle w:val="94"/>
              <w:rPr>
                <w:i/>
                <w:iCs/>
                <w:color w:val="auto"/>
              </w:rPr>
            </w:pPr>
            <w:r>
              <w:rPr>
                <w:i/>
                <w:iCs/>
                <w:color w:val="auto"/>
              </w:rPr>
              <w:t>Gallinula chloropus</w:t>
            </w:r>
          </w:p>
        </w:tc>
        <w:tc>
          <w:tcPr>
            <w:tcW w:w="526" w:type="pct"/>
            <w:noWrap/>
            <w:vAlign w:val="center"/>
          </w:tcPr>
          <w:p w14:paraId="3CA6BB0F">
            <w:pPr>
              <w:pStyle w:val="94"/>
              <w:rPr>
                <w:color w:val="auto"/>
              </w:rPr>
            </w:pPr>
            <w:r>
              <w:rPr>
                <w:color w:val="auto"/>
              </w:rPr>
              <w:t>LC</w:t>
            </w:r>
          </w:p>
        </w:tc>
        <w:tc>
          <w:tcPr>
            <w:tcW w:w="483" w:type="pct"/>
            <w:noWrap/>
            <w:vAlign w:val="center"/>
          </w:tcPr>
          <w:p w14:paraId="6362F089">
            <w:pPr>
              <w:pStyle w:val="94"/>
              <w:rPr>
                <w:color w:val="auto"/>
              </w:rPr>
            </w:pPr>
          </w:p>
        </w:tc>
        <w:tc>
          <w:tcPr>
            <w:tcW w:w="754" w:type="pct"/>
            <w:noWrap/>
            <w:vAlign w:val="center"/>
          </w:tcPr>
          <w:p w14:paraId="65B2998D">
            <w:pPr>
              <w:pStyle w:val="94"/>
              <w:rPr>
                <w:rFonts w:ascii="Times New Roman" w:hAnsi="Times New Roman" w:eastAsia="Times New Roman" w:cs="Times New Roman"/>
                <w:color w:val="auto"/>
                <w:sz w:val="20"/>
                <w:szCs w:val="20"/>
              </w:rPr>
            </w:pPr>
          </w:p>
        </w:tc>
        <w:tc>
          <w:tcPr>
            <w:tcW w:w="822" w:type="pct"/>
            <w:noWrap/>
            <w:vAlign w:val="center"/>
          </w:tcPr>
          <w:p w14:paraId="0FB991A3">
            <w:pPr>
              <w:pStyle w:val="94"/>
              <w:rPr>
                <w:rFonts w:ascii="Times New Roman" w:hAnsi="Times New Roman" w:eastAsia="Times New Roman" w:cs="Times New Roman"/>
                <w:color w:val="auto"/>
                <w:sz w:val="20"/>
                <w:szCs w:val="20"/>
              </w:rPr>
            </w:pPr>
          </w:p>
        </w:tc>
      </w:tr>
      <w:tr w14:paraId="2434DE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431" w:type="pct"/>
            <w:noWrap/>
            <w:vAlign w:val="center"/>
          </w:tcPr>
          <w:p w14:paraId="05992925">
            <w:pPr>
              <w:pStyle w:val="94"/>
              <w:rPr>
                <w:color w:val="auto"/>
              </w:rPr>
            </w:pPr>
            <w:r>
              <w:rPr>
                <w:color w:val="auto"/>
              </w:rPr>
              <w:t>鸻形目</w:t>
            </w:r>
          </w:p>
        </w:tc>
        <w:tc>
          <w:tcPr>
            <w:tcW w:w="431" w:type="pct"/>
            <w:noWrap/>
            <w:vAlign w:val="center"/>
          </w:tcPr>
          <w:p w14:paraId="5FCC202B">
            <w:pPr>
              <w:pStyle w:val="94"/>
              <w:rPr>
                <w:color w:val="auto"/>
              </w:rPr>
            </w:pPr>
            <w:r>
              <w:rPr>
                <w:color w:val="auto"/>
              </w:rPr>
              <w:t>鸻科</w:t>
            </w:r>
          </w:p>
        </w:tc>
        <w:tc>
          <w:tcPr>
            <w:tcW w:w="431" w:type="pct"/>
            <w:noWrap/>
            <w:vAlign w:val="center"/>
          </w:tcPr>
          <w:p w14:paraId="34FB0683">
            <w:pPr>
              <w:pStyle w:val="94"/>
              <w:rPr>
                <w:color w:val="auto"/>
              </w:rPr>
            </w:pPr>
            <w:r>
              <w:rPr>
                <w:color w:val="auto"/>
              </w:rPr>
              <w:t>灰斑鸻</w:t>
            </w:r>
          </w:p>
        </w:tc>
        <w:tc>
          <w:tcPr>
            <w:tcW w:w="1123" w:type="pct"/>
            <w:noWrap/>
            <w:vAlign w:val="center"/>
          </w:tcPr>
          <w:p w14:paraId="1D3590DB">
            <w:pPr>
              <w:pStyle w:val="94"/>
              <w:rPr>
                <w:i/>
                <w:iCs/>
                <w:color w:val="auto"/>
              </w:rPr>
            </w:pPr>
            <w:r>
              <w:rPr>
                <w:i/>
                <w:iCs/>
                <w:color w:val="auto"/>
              </w:rPr>
              <w:t>Pluvialis squatarola</w:t>
            </w:r>
          </w:p>
        </w:tc>
        <w:tc>
          <w:tcPr>
            <w:tcW w:w="526" w:type="pct"/>
            <w:noWrap/>
            <w:vAlign w:val="center"/>
          </w:tcPr>
          <w:p w14:paraId="2B02DD0E">
            <w:pPr>
              <w:pStyle w:val="94"/>
              <w:rPr>
                <w:i/>
                <w:iCs/>
                <w:color w:val="auto"/>
              </w:rPr>
            </w:pPr>
          </w:p>
        </w:tc>
        <w:tc>
          <w:tcPr>
            <w:tcW w:w="483" w:type="pct"/>
            <w:noWrap/>
            <w:vAlign w:val="center"/>
          </w:tcPr>
          <w:p w14:paraId="27E71E1B">
            <w:pPr>
              <w:pStyle w:val="94"/>
              <w:rPr>
                <w:rFonts w:ascii="Times New Roman" w:hAnsi="Times New Roman" w:eastAsia="Times New Roman" w:cs="Times New Roman"/>
                <w:color w:val="auto"/>
                <w:sz w:val="20"/>
                <w:szCs w:val="20"/>
              </w:rPr>
            </w:pPr>
          </w:p>
        </w:tc>
        <w:tc>
          <w:tcPr>
            <w:tcW w:w="754" w:type="pct"/>
            <w:noWrap/>
            <w:vAlign w:val="center"/>
          </w:tcPr>
          <w:p w14:paraId="687AB83D">
            <w:pPr>
              <w:pStyle w:val="94"/>
              <w:rPr>
                <w:rFonts w:ascii="Times New Roman" w:hAnsi="Times New Roman" w:eastAsia="Times New Roman" w:cs="Times New Roman"/>
                <w:color w:val="auto"/>
                <w:sz w:val="20"/>
                <w:szCs w:val="20"/>
              </w:rPr>
            </w:pPr>
          </w:p>
        </w:tc>
        <w:tc>
          <w:tcPr>
            <w:tcW w:w="822" w:type="pct"/>
            <w:noWrap/>
            <w:vAlign w:val="center"/>
          </w:tcPr>
          <w:p w14:paraId="46FAF279">
            <w:pPr>
              <w:pStyle w:val="94"/>
              <w:rPr>
                <w:rFonts w:ascii="Times New Roman" w:hAnsi="Times New Roman" w:eastAsia="Times New Roman" w:cs="Times New Roman"/>
                <w:color w:val="auto"/>
                <w:sz w:val="20"/>
                <w:szCs w:val="20"/>
              </w:rPr>
            </w:pPr>
          </w:p>
        </w:tc>
      </w:tr>
      <w:tr w14:paraId="1B4572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31" w:type="pct"/>
            <w:noWrap/>
            <w:vAlign w:val="center"/>
          </w:tcPr>
          <w:p w14:paraId="1B49C154">
            <w:pPr>
              <w:pStyle w:val="94"/>
              <w:rPr>
                <w:color w:val="auto"/>
              </w:rPr>
            </w:pPr>
            <w:r>
              <w:rPr>
                <w:color w:val="auto"/>
              </w:rPr>
              <w:t>鸻形目</w:t>
            </w:r>
          </w:p>
        </w:tc>
        <w:tc>
          <w:tcPr>
            <w:tcW w:w="431" w:type="pct"/>
            <w:noWrap/>
            <w:vAlign w:val="center"/>
          </w:tcPr>
          <w:p w14:paraId="778A76A6">
            <w:pPr>
              <w:pStyle w:val="94"/>
              <w:rPr>
                <w:color w:val="auto"/>
              </w:rPr>
            </w:pPr>
            <w:r>
              <w:rPr>
                <w:color w:val="auto"/>
              </w:rPr>
              <w:t>鸻科</w:t>
            </w:r>
          </w:p>
        </w:tc>
        <w:tc>
          <w:tcPr>
            <w:tcW w:w="431" w:type="pct"/>
            <w:noWrap/>
            <w:vAlign w:val="center"/>
          </w:tcPr>
          <w:p w14:paraId="15F6B4EB">
            <w:pPr>
              <w:pStyle w:val="94"/>
              <w:rPr>
                <w:color w:val="auto"/>
              </w:rPr>
            </w:pPr>
            <w:r>
              <w:rPr>
                <w:color w:val="auto"/>
              </w:rPr>
              <w:t>环颈鸻</w:t>
            </w:r>
          </w:p>
        </w:tc>
        <w:tc>
          <w:tcPr>
            <w:tcW w:w="1123" w:type="pct"/>
            <w:noWrap/>
            <w:vAlign w:val="center"/>
          </w:tcPr>
          <w:p w14:paraId="34876387">
            <w:pPr>
              <w:pStyle w:val="94"/>
              <w:rPr>
                <w:i/>
                <w:iCs/>
                <w:color w:val="auto"/>
              </w:rPr>
            </w:pPr>
            <w:r>
              <w:rPr>
                <w:i/>
                <w:iCs/>
                <w:color w:val="auto"/>
              </w:rPr>
              <w:t>Charadrius alexandrinus</w:t>
            </w:r>
          </w:p>
        </w:tc>
        <w:tc>
          <w:tcPr>
            <w:tcW w:w="526" w:type="pct"/>
            <w:noWrap/>
            <w:vAlign w:val="center"/>
          </w:tcPr>
          <w:p w14:paraId="490208CF">
            <w:pPr>
              <w:pStyle w:val="94"/>
              <w:rPr>
                <w:color w:val="auto"/>
              </w:rPr>
            </w:pPr>
            <w:r>
              <w:rPr>
                <w:color w:val="auto"/>
              </w:rPr>
              <w:t>LC</w:t>
            </w:r>
          </w:p>
        </w:tc>
        <w:tc>
          <w:tcPr>
            <w:tcW w:w="483" w:type="pct"/>
            <w:noWrap/>
            <w:vAlign w:val="center"/>
          </w:tcPr>
          <w:p w14:paraId="6E18D413">
            <w:pPr>
              <w:pStyle w:val="94"/>
              <w:rPr>
                <w:color w:val="auto"/>
              </w:rPr>
            </w:pPr>
          </w:p>
        </w:tc>
        <w:tc>
          <w:tcPr>
            <w:tcW w:w="754" w:type="pct"/>
            <w:noWrap/>
            <w:vAlign w:val="center"/>
          </w:tcPr>
          <w:p w14:paraId="498CC5CD">
            <w:pPr>
              <w:pStyle w:val="94"/>
              <w:rPr>
                <w:rFonts w:ascii="Times New Roman" w:hAnsi="Times New Roman" w:eastAsia="Times New Roman" w:cs="Times New Roman"/>
                <w:color w:val="auto"/>
                <w:sz w:val="20"/>
                <w:szCs w:val="20"/>
              </w:rPr>
            </w:pPr>
          </w:p>
        </w:tc>
        <w:tc>
          <w:tcPr>
            <w:tcW w:w="822" w:type="pct"/>
            <w:noWrap/>
            <w:vAlign w:val="center"/>
          </w:tcPr>
          <w:p w14:paraId="388D2EB4">
            <w:pPr>
              <w:pStyle w:val="94"/>
              <w:rPr>
                <w:rFonts w:ascii="Times New Roman" w:hAnsi="Times New Roman" w:eastAsia="Times New Roman" w:cs="Times New Roman"/>
                <w:color w:val="auto"/>
                <w:sz w:val="20"/>
                <w:szCs w:val="20"/>
              </w:rPr>
            </w:pPr>
          </w:p>
        </w:tc>
      </w:tr>
      <w:tr w14:paraId="75088F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431" w:type="pct"/>
            <w:noWrap/>
            <w:vAlign w:val="center"/>
          </w:tcPr>
          <w:p w14:paraId="52363611">
            <w:pPr>
              <w:pStyle w:val="94"/>
              <w:rPr>
                <w:color w:val="auto"/>
              </w:rPr>
            </w:pPr>
            <w:r>
              <w:rPr>
                <w:color w:val="auto"/>
              </w:rPr>
              <w:t>鸻形目</w:t>
            </w:r>
          </w:p>
        </w:tc>
        <w:tc>
          <w:tcPr>
            <w:tcW w:w="431" w:type="pct"/>
            <w:noWrap/>
            <w:vAlign w:val="center"/>
          </w:tcPr>
          <w:p w14:paraId="04C50AFD">
            <w:pPr>
              <w:pStyle w:val="94"/>
              <w:rPr>
                <w:color w:val="auto"/>
              </w:rPr>
            </w:pPr>
            <w:r>
              <w:rPr>
                <w:color w:val="auto"/>
              </w:rPr>
              <w:t>丘鹬科</w:t>
            </w:r>
          </w:p>
        </w:tc>
        <w:tc>
          <w:tcPr>
            <w:tcW w:w="431" w:type="pct"/>
            <w:noWrap/>
            <w:vAlign w:val="center"/>
          </w:tcPr>
          <w:p w14:paraId="1643331A">
            <w:pPr>
              <w:pStyle w:val="94"/>
              <w:rPr>
                <w:color w:val="auto"/>
              </w:rPr>
            </w:pPr>
            <w:r>
              <w:rPr>
                <w:color w:val="auto"/>
              </w:rPr>
              <w:t>白腰草鹬</w:t>
            </w:r>
          </w:p>
        </w:tc>
        <w:tc>
          <w:tcPr>
            <w:tcW w:w="1123" w:type="pct"/>
            <w:noWrap/>
            <w:vAlign w:val="center"/>
          </w:tcPr>
          <w:p w14:paraId="2B0C1FD9">
            <w:pPr>
              <w:pStyle w:val="94"/>
              <w:rPr>
                <w:i/>
                <w:iCs/>
                <w:color w:val="auto"/>
              </w:rPr>
            </w:pPr>
            <w:r>
              <w:rPr>
                <w:i/>
                <w:iCs/>
                <w:color w:val="auto"/>
              </w:rPr>
              <w:t>Tringa ochropus</w:t>
            </w:r>
          </w:p>
        </w:tc>
        <w:tc>
          <w:tcPr>
            <w:tcW w:w="526" w:type="pct"/>
            <w:noWrap/>
            <w:vAlign w:val="center"/>
          </w:tcPr>
          <w:p w14:paraId="0B2E928A">
            <w:pPr>
              <w:pStyle w:val="94"/>
              <w:rPr>
                <w:color w:val="auto"/>
              </w:rPr>
            </w:pPr>
            <w:r>
              <w:rPr>
                <w:color w:val="auto"/>
              </w:rPr>
              <w:t>LC</w:t>
            </w:r>
          </w:p>
        </w:tc>
        <w:tc>
          <w:tcPr>
            <w:tcW w:w="483" w:type="pct"/>
            <w:noWrap/>
            <w:vAlign w:val="center"/>
          </w:tcPr>
          <w:p w14:paraId="14B86F48">
            <w:pPr>
              <w:pStyle w:val="94"/>
              <w:rPr>
                <w:color w:val="auto"/>
              </w:rPr>
            </w:pPr>
          </w:p>
        </w:tc>
        <w:tc>
          <w:tcPr>
            <w:tcW w:w="754" w:type="pct"/>
            <w:noWrap/>
            <w:vAlign w:val="center"/>
          </w:tcPr>
          <w:p w14:paraId="0291EB03">
            <w:pPr>
              <w:pStyle w:val="94"/>
              <w:rPr>
                <w:rFonts w:ascii="Times New Roman" w:hAnsi="Times New Roman" w:eastAsia="Times New Roman" w:cs="Times New Roman"/>
                <w:color w:val="auto"/>
                <w:sz w:val="20"/>
                <w:szCs w:val="20"/>
              </w:rPr>
            </w:pPr>
          </w:p>
        </w:tc>
        <w:tc>
          <w:tcPr>
            <w:tcW w:w="822" w:type="pct"/>
            <w:noWrap/>
            <w:vAlign w:val="center"/>
          </w:tcPr>
          <w:p w14:paraId="32F17B00">
            <w:pPr>
              <w:pStyle w:val="94"/>
              <w:rPr>
                <w:rFonts w:ascii="Times New Roman" w:hAnsi="Times New Roman" w:eastAsia="Times New Roman" w:cs="Times New Roman"/>
                <w:color w:val="auto"/>
                <w:sz w:val="20"/>
                <w:szCs w:val="20"/>
              </w:rPr>
            </w:pPr>
          </w:p>
        </w:tc>
      </w:tr>
      <w:tr w14:paraId="28650E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431" w:type="pct"/>
            <w:noWrap/>
            <w:vAlign w:val="center"/>
          </w:tcPr>
          <w:p w14:paraId="64793D24">
            <w:pPr>
              <w:pStyle w:val="94"/>
              <w:rPr>
                <w:color w:val="auto"/>
              </w:rPr>
            </w:pPr>
            <w:r>
              <w:rPr>
                <w:color w:val="auto"/>
              </w:rPr>
              <w:t>鸻形目</w:t>
            </w:r>
          </w:p>
        </w:tc>
        <w:tc>
          <w:tcPr>
            <w:tcW w:w="431" w:type="pct"/>
            <w:noWrap/>
            <w:vAlign w:val="center"/>
          </w:tcPr>
          <w:p w14:paraId="1A2B6B37">
            <w:pPr>
              <w:pStyle w:val="94"/>
              <w:rPr>
                <w:color w:val="auto"/>
              </w:rPr>
            </w:pPr>
            <w:r>
              <w:rPr>
                <w:color w:val="auto"/>
              </w:rPr>
              <w:t>丘鹬科</w:t>
            </w:r>
          </w:p>
        </w:tc>
        <w:tc>
          <w:tcPr>
            <w:tcW w:w="431" w:type="pct"/>
            <w:noWrap/>
            <w:vAlign w:val="center"/>
          </w:tcPr>
          <w:p w14:paraId="0EBCEE5B">
            <w:pPr>
              <w:pStyle w:val="94"/>
              <w:rPr>
                <w:color w:val="auto"/>
              </w:rPr>
            </w:pPr>
            <w:r>
              <w:rPr>
                <w:color w:val="auto"/>
              </w:rPr>
              <w:t>矶鹬</w:t>
            </w:r>
          </w:p>
        </w:tc>
        <w:tc>
          <w:tcPr>
            <w:tcW w:w="1123" w:type="pct"/>
            <w:noWrap/>
            <w:vAlign w:val="center"/>
          </w:tcPr>
          <w:p w14:paraId="0110D694">
            <w:pPr>
              <w:pStyle w:val="94"/>
              <w:rPr>
                <w:i/>
                <w:iCs/>
                <w:color w:val="auto"/>
              </w:rPr>
            </w:pPr>
            <w:r>
              <w:rPr>
                <w:i/>
                <w:iCs/>
                <w:color w:val="auto"/>
              </w:rPr>
              <w:t>Actitis hypoleucos</w:t>
            </w:r>
          </w:p>
        </w:tc>
        <w:tc>
          <w:tcPr>
            <w:tcW w:w="526" w:type="pct"/>
            <w:noWrap/>
            <w:vAlign w:val="center"/>
          </w:tcPr>
          <w:p w14:paraId="7E04A41C">
            <w:pPr>
              <w:pStyle w:val="94"/>
              <w:rPr>
                <w:color w:val="auto"/>
              </w:rPr>
            </w:pPr>
            <w:r>
              <w:rPr>
                <w:color w:val="auto"/>
              </w:rPr>
              <w:t>LC</w:t>
            </w:r>
          </w:p>
        </w:tc>
        <w:tc>
          <w:tcPr>
            <w:tcW w:w="483" w:type="pct"/>
            <w:noWrap/>
            <w:vAlign w:val="center"/>
          </w:tcPr>
          <w:p w14:paraId="1318B6CB">
            <w:pPr>
              <w:pStyle w:val="94"/>
              <w:rPr>
                <w:color w:val="auto"/>
              </w:rPr>
            </w:pPr>
          </w:p>
        </w:tc>
        <w:tc>
          <w:tcPr>
            <w:tcW w:w="754" w:type="pct"/>
            <w:noWrap/>
            <w:vAlign w:val="center"/>
          </w:tcPr>
          <w:p w14:paraId="36294910">
            <w:pPr>
              <w:pStyle w:val="94"/>
              <w:rPr>
                <w:rFonts w:ascii="Times New Roman" w:hAnsi="Times New Roman" w:eastAsia="Times New Roman" w:cs="Times New Roman"/>
                <w:color w:val="auto"/>
                <w:sz w:val="20"/>
                <w:szCs w:val="20"/>
              </w:rPr>
            </w:pPr>
          </w:p>
        </w:tc>
        <w:tc>
          <w:tcPr>
            <w:tcW w:w="822" w:type="pct"/>
            <w:noWrap/>
            <w:vAlign w:val="center"/>
          </w:tcPr>
          <w:p w14:paraId="68E4B0F1">
            <w:pPr>
              <w:pStyle w:val="94"/>
              <w:rPr>
                <w:rFonts w:ascii="Times New Roman" w:hAnsi="Times New Roman" w:eastAsia="Times New Roman" w:cs="Times New Roman"/>
                <w:color w:val="auto"/>
                <w:sz w:val="20"/>
                <w:szCs w:val="20"/>
              </w:rPr>
            </w:pPr>
          </w:p>
        </w:tc>
      </w:tr>
      <w:tr w14:paraId="678A1E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431" w:type="pct"/>
            <w:noWrap/>
            <w:vAlign w:val="center"/>
          </w:tcPr>
          <w:p w14:paraId="47E475C0">
            <w:pPr>
              <w:pStyle w:val="94"/>
              <w:rPr>
                <w:color w:val="auto"/>
              </w:rPr>
            </w:pPr>
            <w:r>
              <w:rPr>
                <w:color w:val="auto"/>
              </w:rPr>
              <w:t>鸡形目</w:t>
            </w:r>
          </w:p>
        </w:tc>
        <w:tc>
          <w:tcPr>
            <w:tcW w:w="431" w:type="pct"/>
            <w:noWrap/>
            <w:vAlign w:val="center"/>
          </w:tcPr>
          <w:p w14:paraId="22862589">
            <w:pPr>
              <w:pStyle w:val="94"/>
              <w:rPr>
                <w:color w:val="auto"/>
              </w:rPr>
            </w:pPr>
            <w:r>
              <w:rPr>
                <w:color w:val="auto"/>
              </w:rPr>
              <w:t>雉科</w:t>
            </w:r>
          </w:p>
        </w:tc>
        <w:tc>
          <w:tcPr>
            <w:tcW w:w="431" w:type="pct"/>
            <w:noWrap/>
            <w:vAlign w:val="center"/>
          </w:tcPr>
          <w:p w14:paraId="0F5AC9FF">
            <w:pPr>
              <w:pStyle w:val="94"/>
              <w:rPr>
                <w:color w:val="auto"/>
              </w:rPr>
            </w:pPr>
            <w:r>
              <w:rPr>
                <w:color w:val="auto"/>
              </w:rPr>
              <w:t>雉鸡</w:t>
            </w:r>
          </w:p>
        </w:tc>
        <w:tc>
          <w:tcPr>
            <w:tcW w:w="1123" w:type="pct"/>
            <w:noWrap/>
            <w:vAlign w:val="center"/>
          </w:tcPr>
          <w:p w14:paraId="2903EB38">
            <w:pPr>
              <w:pStyle w:val="94"/>
              <w:rPr>
                <w:i/>
                <w:iCs/>
                <w:color w:val="auto"/>
              </w:rPr>
            </w:pPr>
            <w:r>
              <w:rPr>
                <w:i/>
                <w:iCs/>
                <w:color w:val="auto"/>
              </w:rPr>
              <w:t>Phasianus colchicus</w:t>
            </w:r>
          </w:p>
        </w:tc>
        <w:tc>
          <w:tcPr>
            <w:tcW w:w="526" w:type="pct"/>
            <w:noWrap/>
            <w:vAlign w:val="center"/>
          </w:tcPr>
          <w:p w14:paraId="166383EF">
            <w:pPr>
              <w:pStyle w:val="94"/>
              <w:rPr>
                <w:i/>
                <w:iCs/>
                <w:color w:val="auto"/>
              </w:rPr>
            </w:pPr>
          </w:p>
        </w:tc>
        <w:tc>
          <w:tcPr>
            <w:tcW w:w="483" w:type="pct"/>
            <w:noWrap/>
            <w:vAlign w:val="center"/>
          </w:tcPr>
          <w:p w14:paraId="02C93155">
            <w:pPr>
              <w:pStyle w:val="94"/>
              <w:rPr>
                <w:rFonts w:ascii="Times New Roman" w:hAnsi="Times New Roman" w:eastAsia="Times New Roman" w:cs="Times New Roman"/>
                <w:color w:val="auto"/>
                <w:sz w:val="20"/>
                <w:szCs w:val="20"/>
              </w:rPr>
            </w:pPr>
          </w:p>
        </w:tc>
        <w:tc>
          <w:tcPr>
            <w:tcW w:w="754" w:type="pct"/>
            <w:noWrap/>
            <w:vAlign w:val="center"/>
          </w:tcPr>
          <w:p w14:paraId="7B76449F">
            <w:pPr>
              <w:pStyle w:val="94"/>
              <w:rPr>
                <w:rFonts w:ascii="Times New Roman" w:hAnsi="Times New Roman" w:eastAsia="Times New Roman" w:cs="Times New Roman"/>
                <w:color w:val="auto"/>
                <w:sz w:val="20"/>
                <w:szCs w:val="20"/>
              </w:rPr>
            </w:pPr>
          </w:p>
        </w:tc>
        <w:tc>
          <w:tcPr>
            <w:tcW w:w="822" w:type="pct"/>
            <w:noWrap/>
            <w:vAlign w:val="center"/>
          </w:tcPr>
          <w:p w14:paraId="03337131">
            <w:pPr>
              <w:pStyle w:val="94"/>
              <w:rPr>
                <w:rFonts w:ascii="Times New Roman" w:hAnsi="Times New Roman" w:eastAsia="Times New Roman" w:cs="Times New Roman"/>
                <w:color w:val="auto"/>
                <w:sz w:val="20"/>
                <w:szCs w:val="20"/>
              </w:rPr>
            </w:pPr>
          </w:p>
        </w:tc>
      </w:tr>
      <w:tr w14:paraId="36761B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31" w:type="pct"/>
            <w:noWrap/>
            <w:vAlign w:val="center"/>
          </w:tcPr>
          <w:p w14:paraId="38C96259">
            <w:pPr>
              <w:pStyle w:val="94"/>
              <w:rPr>
                <w:color w:val="auto"/>
              </w:rPr>
            </w:pPr>
            <w:r>
              <w:rPr>
                <w:color w:val="auto"/>
              </w:rPr>
              <w:t>䴙䴘目</w:t>
            </w:r>
          </w:p>
        </w:tc>
        <w:tc>
          <w:tcPr>
            <w:tcW w:w="431" w:type="pct"/>
            <w:noWrap/>
            <w:vAlign w:val="center"/>
          </w:tcPr>
          <w:p w14:paraId="20CEB139">
            <w:pPr>
              <w:pStyle w:val="94"/>
              <w:rPr>
                <w:color w:val="auto"/>
              </w:rPr>
            </w:pPr>
            <w:r>
              <w:rPr>
                <w:color w:val="auto"/>
              </w:rPr>
              <w:t>䴙䴘科</w:t>
            </w:r>
          </w:p>
        </w:tc>
        <w:tc>
          <w:tcPr>
            <w:tcW w:w="431" w:type="pct"/>
            <w:noWrap/>
            <w:vAlign w:val="center"/>
          </w:tcPr>
          <w:p w14:paraId="347196B9">
            <w:pPr>
              <w:pStyle w:val="94"/>
              <w:rPr>
                <w:color w:val="auto"/>
              </w:rPr>
            </w:pPr>
            <w:r>
              <w:rPr>
                <w:color w:val="auto"/>
              </w:rPr>
              <w:t>小䴙䴘</w:t>
            </w:r>
          </w:p>
        </w:tc>
        <w:tc>
          <w:tcPr>
            <w:tcW w:w="1123" w:type="pct"/>
            <w:noWrap/>
            <w:vAlign w:val="center"/>
          </w:tcPr>
          <w:p w14:paraId="04B007D5">
            <w:pPr>
              <w:pStyle w:val="94"/>
              <w:rPr>
                <w:i/>
                <w:iCs/>
                <w:color w:val="auto"/>
              </w:rPr>
            </w:pPr>
            <w:r>
              <w:rPr>
                <w:i/>
                <w:iCs/>
                <w:color w:val="auto"/>
              </w:rPr>
              <w:t>Tachybaptus ruficollis</w:t>
            </w:r>
          </w:p>
        </w:tc>
        <w:tc>
          <w:tcPr>
            <w:tcW w:w="526" w:type="pct"/>
            <w:noWrap/>
            <w:vAlign w:val="center"/>
          </w:tcPr>
          <w:p w14:paraId="70293AF0">
            <w:pPr>
              <w:pStyle w:val="94"/>
              <w:rPr>
                <w:i/>
                <w:iCs/>
                <w:color w:val="auto"/>
              </w:rPr>
            </w:pPr>
          </w:p>
        </w:tc>
        <w:tc>
          <w:tcPr>
            <w:tcW w:w="483" w:type="pct"/>
            <w:noWrap/>
            <w:vAlign w:val="center"/>
          </w:tcPr>
          <w:p w14:paraId="78C6EABE">
            <w:pPr>
              <w:pStyle w:val="94"/>
              <w:rPr>
                <w:rFonts w:ascii="Times New Roman" w:hAnsi="Times New Roman" w:eastAsia="Times New Roman" w:cs="Times New Roman"/>
                <w:color w:val="auto"/>
                <w:sz w:val="20"/>
                <w:szCs w:val="20"/>
              </w:rPr>
            </w:pPr>
          </w:p>
        </w:tc>
        <w:tc>
          <w:tcPr>
            <w:tcW w:w="754" w:type="pct"/>
            <w:noWrap/>
            <w:vAlign w:val="center"/>
          </w:tcPr>
          <w:p w14:paraId="0228680C">
            <w:pPr>
              <w:pStyle w:val="94"/>
              <w:rPr>
                <w:rFonts w:ascii="Times New Roman" w:hAnsi="Times New Roman" w:eastAsia="Times New Roman" w:cs="Times New Roman"/>
                <w:color w:val="auto"/>
                <w:sz w:val="20"/>
                <w:szCs w:val="20"/>
              </w:rPr>
            </w:pPr>
          </w:p>
        </w:tc>
        <w:tc>
          <w:tcPr>
            <w:tcW w:w="822" w:type="pct"/>
            <w:noWrap/>
            <w:vAlign w:val="center"/>
          </w:tcPr>
          <w:p w14:paraId="632C52EC">
            <w:pPr>
              <w:pStyle w:val="94"/>
              <w:rPr>
                <w:rFonts w:ascii="Times New Roman" w:hAnsi="Times New Roman" w:eastAsia="Times New Roman" w:cs="Times New Roman"/>
                <w:color w:val="auto"/>
                <w:sz w:val="20"/>
                <w:szCs w:val="20"/>
              </w:rPr>
            </w:pPr>
          </w:p>
        </w:tc>
      </w:tr>
      <w:tr w14:paraId="1C7A5B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431" w:type="pct"/>
            <w:noWrap/>
            <w:vAlign w:val="center"/>
          </w:tcPr>
          <w:p w14:paraId="6C0140B7">
            <w:pPr>
              <w:pStyle w:val="94"/>
              <w:rPr>
                <w:color w:val="auto"/>
              </w:rPr>
            </w:pPr>
            <w:r>
              <w:rPr>
                <w:color w:val="auto"/>
              </w:rPr>
              <w:t>雀形目</w:t>
            </w:r>
          </w:p>
        </w:tc>
        <w:tc>
          <w:tcPr>
            <w:tcW w:w="431" w:type="pct"/>
            <w:noWrap/>
            <w:vAlign w:val="center"/>
          </w:tcPr>
          <w:p w14:paraId="071CA917">
            <w:pPr>
              <w:pStyle w:val="94"/>
              <w:rPr>
                <w:color w:val="auto"/>
              </w:rPr>
            </w:pPr>
            <w:r>
              <w:rPr>
                <w:color w:val="auto"/>
              </w:rPr>
              <w:t>鹡鸰科</w:t>
            </w:r>
          </w:p>
        </w:tc>
        <w:tc>
          <w:tcPr>
            <w:tcW w:w="431" w:type="pct"/>
            <w:noWrap/>
            <w:vAlign w:val="center"/>
          </w:tcPr>
          <w:p w14:paraId="718F8D87">
            <w:pPr>
              <w:pStyle w:val="94"/>
              <w:rPr>
                <w:color w:val="auto"/>
              </w:rPr>
            </w:pPr>
            <w:r>
              <w:rPr>
                <w:color w:val="auto"/>
              </w:rPr>
              <w:t>田鹨</w:t>
            </w:r>
          </w:p>
        </w:tc>
        <w:tc>
          <w:tcPr>
            <w:tcW w:w="1123" w:type="pct"/>
            <w:noWrap/>
            <w:vAlign w:val="center"/>
          </w:tcPr>
          <w:p w14:paraId="2B355A66">
            <w:pPr>
              <w:pStyle w:val="94"/>
              <w:rPr>
                <w:i/>
                <w:iCs/>
                <w:color w:val="auto"/>
              </w:rPr>
            </w:pPr>
            <w:r>
              <w:rPr>
                <w:i/>
                <w:iCs/>
                <w:color w:val="auto"/>
              </w:rPr>
              <w:t>Anthus rufulus</w:t>
            </w:r>
          </w:p>
        </w:tc>
        <w:tc>
          <w:tcPr>
            <w:tcW w:w="526" w:type="pct"/>
            <w:noWrap/>
            <w:vAlign w:val="center"/>
          </w:tcPr>
          <w:p w14:paraId="38D9B354">
            <w:pPr>
              <w:pStyle w:val="94"/>
              <w:rPr>
                <w:color w:val="auto"/>
              </w:rPr>
            </w:pPr>
            <w:r>
              <w:rPr>
                <w:color w:val="auto"/>
              </w:rPr>
              <w:t>LC</w:t>
            </w:r>
          </w:p>
        </w:tc>
        <w:tc>
          <w:tcPr>
            <w:tcW w:w="483" w:type="pct"/>
            <w:noWrap/>
            <w:vAlign w:val="center"/>
          </w:tcPr>
          <w:p w14:paraId="12C160CE">
            <w:pPr>
              <w:pStyle w:val="94"/>
              <w:rPr>
                <w:color w:val="auto"/>
              </w:rPr>
            </w:pPr>
          </w:p>
        </w:tc>
        <w:tc>
          <w:tcPr>
            <w:tcW w:w="754" w:type="pct"/>
            <w:noWrap/>
            <w:vAlign w:val="center"/>
          </w:tcPr>
          <w:p w14:paraId="1FAB76A9">
            <w:pPr>
              <w:pStyle w:val="94"/>
              <w:rPr>
                <w:rFonts w:ascii="Times New Roman" w:hAnsi="Times New Roman" w:eastAsia="Times New Roman" w:cs="Times New Roman"/>
                <w:color w:val="auto"/>
                <w:sz w:val="20"/>
                <w:szCs w:val="20"/>
              </w:rPr>
            </w:pPr>
          </w:p>
        </w:tc>
        <w:tc>
          <w:tcPr>
            <w:tcW w:w="822" w:type="pct"/>
            <w:noWrap/>
            <w:vAlign w:val="center"/>
          </w:tcPr>
          <w:p w14:paraId="0FF3F13D">
            <w:pPr>
              <w:pStyle w:val="94"/>
              <w:rPr>
                <w:rFonts w:ascii="Times New Roman" w:hAnsi="Times New Roman" w:eastAsia="Times New Roman" w:cs="Times New Roman"/>
                <w:color w:val="auto"/>
                <w:sz w:val="20"/>
                <w:szCs w:val="20"/>
              </w:rPr>
            </w:pPr>
          </w:p>
        </w:tc>
      </w:tr>
      <w:tr w14:paraId="6CD181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431" w:type="pct"/>
            <w:noWrap/>
            <w:vAlign w:val="center"/>
          </w:tcPr>
          <w:p w14:paraId="1D0F22ED">
            <w:pPr>
              <w:pStyle w:val="94"/>
              <w:rPr>
                <w:color w:val="auto"/>
              </w:rPr>
            </w:pPr>
            <w:r>
              <w:rPr>
                <w:color w:val="auto"/>
              </w:rPr>
              <w:t>雀形目</w:t>
            </w:r>
          </w:p>
        </w:tc>
        <w:tc>
          <w:tcPr>
            <w:tcW w:w="431" w:type="pct"/>
            <w:noWrap/>
            <w:vAlign w:val="center"/>
          </w:tcPr>
          <w:p w14:paraId="68BB9D69">
            <w:pPr>
              <w:pStyle w:val="94"/>
              <w:rPr>
                <w:color w:val="auto"/>
              </w:rPr>
            </w:pPr>
            <w:r>
              <w:rPr>
                <w:color w:val="auto"/>
              </w:rPr>
              <w:t>椋鸟科</w:t>
            </w:r>
          </w:p>
        </w:tc>
        <w:tc>
          <w:tcPr>
            <w:tcW w:w="431" w:type="pct"/>
            <w:noWrap/>
            <w:vAlign w:val="center"/>
          </w:tcPr>
          <w:p w14:paraId="0092B1A5">
            <w:pPr>
              <w:pStyle w:val="94"/>
              <w:rPr>
                <w:color w:val="auto"/>
              </w:rPr>
            </w:pPr>
            <w:r>
              <w:rPr>
                <w:color w:val="auto"/>
              </w:rPr>
              <w:t>灰椋鸟</w:t>
            </w:r>
          </w:p>
        </w:tc>
        <w:tc>
          <w:tcPr>
            <w:tcW w:w="1123" w:type="pct"/>
            <w:noWrap/>
            <w:vAlign w:val="center"/>
          </w:tcPr>
          <w:p w14:paraId="16B5BB05">
            <w:pPr>
              <w:pStyle w:val="94"/>
              <w:rPr>
                <w:i/>
                <w:iCs/>
                <w:color w:val="auto"/>
              </w:rPr>
            </w:pPr>
            <w:r>
              <w:rPr>
                <w:i/>
                <w:iCs/>
                <w:color w:val="auto"/>
              </w:rPr>
              <w:t>Spodiopsar cineraceus</w:t>
            </w:r>
          </w:p>
        </w:tc>
        <w:tc>
          <w:tcPr>
            <w:tcW w:w="526" w:type="pct"/>
            <w:noWrap/>
            <w:vAlign w:val="center"/>
          </w:tcPr>
          <w:p w14:paraId="54D46B82">
            <w:pPr>
              <w:pStyle w:val="94"/>
              <w:rPr>
                <w:color w:val="auto"/>
              </w:rPr>
            </w:pPr>
            <w:r>
              <w:rPr>
                <w:color w:val="auto"/>
              </w:rPr>
              <w:t>LC</w:t>
            </w:r>
          </w:p>
        </w:tc>
        <w:tc>
          <w:tcPr>
            <w:tcW w:w="483" w:type="pct"/>
            <w:noWrap/>
            <w:vAlign w:val="center"/>
          </w:tcPr>
          <w:p w14:paraId="742D4482">
            <w:pPr>
              <w:pStyle w:val="94"/>
              <w:rPr>
                <w:color w:val="auto"/>
              </w:rPr>
            </w:pPr>
          </w:p>
        </w:tc>
        <w:tc>
          <w:tcPr>
            <w:tcW w:w="754" w:type="pct"/>
            <w:noWrap/>
            <w:vAlign w:val="center"/>
          </w:tcPr>
          <w:p w14:paraId="07AA3580">
            <w:pPr>
              <w:pStyle w:val="94"/>
              <w:rPr>
                <w:rFonts w:ascii="Times New Roman" w:hAnsi="Times New Roman" w:eastAsia="Times New Roman" w:cs="Times New Roman"/>
                <w:color w:val="auto"/>
                <w:sz w:val="20"/>
                <w:szCs w:val="20"/>
              </w:rPr>
            </w:pPr>
          </w:p>
        </w:tc>
        <w:tc>
          <w:tcPr>
            <w:tcW w:w="822" w:type="pct"/>
            <w:noWrap/>
            <w:vAlign w:val="center"/>
          </w:tcPr>
          <w:p w14:paraId="27D33629">
            <w:pPr>
              <w:pStyle w:val="94"/>
              <w:rPr>
                <w:rFonts w:ascii="Times New Roman" w:hAnsi="Times New Roman" w:eastAsia="Times New Roman" w:cs="Times New Roman"/>
                <w:color w:val="auto"/>
                <w:sz w:val="20"/>
                <w:szCs w:val="20"/>
              </w:rPr>
            </w:pPr>
          </w:p>
        </w:tc>
      </w:tr>
      <w:tr w14:paraId="15489F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431" w:type="pct"/>
            <w:noWrap/>
            <w:vAlign w:val="center"/>
          </w:tcPr>
          <w:p w14:paraId="3C5D792C">
            <w:pPr>
              <w:pStyle w:val="94"/>
              <w:rPr>
                <w:color w:val="auto"/>
              </w:rPr>
            </w:pPr>
            <w:r>
              <w:rPr>
                <w:color w:val="auto"/>
              </w:rPr>
              <w:t>雀形目</w:t>
            </w:r>
          </w:p>
        </w:tc>
        <w:tc>
          <w:tcPr>
            <w:tcW w:w="431" w:type="pct"/>
            <w:noWrap/>
            <w:vAlign w:val="center"/>
          </w:tcPr>
          <w:p w14:paraId="68FE6E77">
            <w:pPr>
              <w:pStyle w:val="94"/>
              <w:rPr>
                <w:color w:val="auto"/>
              </w:rPr>
            </w:pPr>
            <w:r>
              <w:rPr>
                <w:color w:val="auto"/>
              </w:rPr>
              <w:t>鸦科</w:t>
            </w:r>
          </w:p>
        </w:tc>
        <w:tc>
          <w:tcPr>
            <w:tcW w:w="431" w:type="pct"/>
            <w:noWrap/>
            <w:vAlign w:val="center"/>
          </w:tcPr>
          <w:p w14:paraId="03E0B123">
            <w:pPr>
              <w:pStyle w:val="94"/>
              <w:rPr>
                <w:color w:val="auto"/>
              </w:rPr>
            </w:pPr>
            <w:r>
              <w:rPr>
                <w:color w:val="auto"/>
              </w:rPr>
              <w:t>红嘴蓝鹊</w:t>
            </w:r>
          </w:p>
        </w:tc>
        <w:tc>
          <w:tcPr>
            <w:tcW w:w="1123" w:type="pct"/>
            <w:noWrap/>
            <w:vAlign w:val="center"/>
          </w:tcPr>
          <w:p w14:paraId="5DF84063">
            <w:pPr>
              <w:pStyle w:val="94"/>
              <w:rPr>
                <w:i/>
                <w:iCs/>
                <w:color w:val="auto"/>
              </w:rPr>
            </w:pPr>
            <w:r>
              <w:rPr>
                <w:i/>
                <w:iCs/>
                <w:color w:val="auto"/>
              </w:rPr>
              <w:t>Urocissa erythroryncha</w:t>
            </w:r>
          </w:p>
        </w:tc>
        <w:tc>
          <w:tcPr>
            <w:tcW w:w="526" w:type="pct"/>
            <w:noWrap/>
            <w:vAlign w:val="center"/>
          </w:tcPr>
          <w:p w14:paraId="17CB0A68">
            <w:pPr>
              <w:pStyle w:val="94"/>
              <w:rPr>
                <w:color w:val="auto"/>
              </w:rPr>
            </w:pPr>
            <w:r>
              <w:rPr>
                <w:color w:val="auto"/>
              </w:rPr>
              <w:t>LC</w:t>
            </w:r>
          </w:p>
        </w:tc>
        <w:tc>
          <w:tcPr>
            <w:tcW w:w="483" w:type="pct"/>
            <w:noWrap/>
            <w:vAlign w:val="center"/>
          </w:tcPr>
          <w:p w14:paraId="635AF598">
            <w:pPr>
              <w:pStyle w:val="94"/>
              <w:rPr>
                <w:color w:val="auto"/>
              </w:rPr>
            </w:pPr>
          </w:p>
        </w:tc>
        <w:tc>
          <w:tcPr>
            <w:tcW w:w="754" w:type="pct"/>
            <w:noWrap/>
            <w:vAlign w:val="center"/>
          </w:tcPr>
          <w:p w14:paraId="338CC2CD">
            <w:pPr>
              <w:pStyle w:val="94"/>
              <w:rPr>
                <w:rFonts w:ascii="Times New Roman" w:hAnsi="Times New Roman" w:eastAsia="Times New Roman" w:cs="Times New Roman"/>
                <w:color w:val="auto"/>
                <w:sz w:val="20"/>
                <w:szCs w:val="20"/>
              </w:rPr>
            </w:pPr>
          </w:p>
        </w:tc>
        <w:tc>
          <w:tcPr>
            <w:tcW w:w="822" w:type="pct"/>
            <w:noWrap/>
            <w:vAlign w:val="center"/>
          </w:tcPr>
          <w:p w14:paraId="3A1A129B">
            <w:pPr>
              <w:pStyle w:val="94"/>
              <w:rPr>
                <w:rFonts w:ascii="Times New Roman" w:hAnsi="Times New Roman" w:eastAsia="Times New Roman" w:cs="Times New Roman"/>
                <w:color w:val="auto"/>
                <w:sz w:val="20"/>
                <w:szCs w:val="20"/>
              </w:rPr>
            </w:pPr>
          </w:p>
        </w:tc>
      </w:tr>
      <w:tr w14:paraId="475B7C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31" w:type="pct"/>
            <w:noWrap/>
            <w:vAlign w:val="center"/>
          </w:tcPr>
          <w:p w14:paraId="1E2A0681">
            <w:pPr>
              <w:pStyle w:val="94"/>
              <w:rPr>
                <w:color w:val="auto"/>
              </w:rPr>
            </w:pPr>
            <w:r>
              <w:rPr>
                <w:color w:val="auto"/>
              </w:rPr>
              <w:t>雀形目</w:t>
            </w:r>
          </w:p>
        </w:tc>
        <w:tc>
          <w:tcPr>
            <w:tcW w:w="431" w:type="pct"/>
            <w:noWrap/>
            <w:vAlign w:val="center"/>
          </w:tcPr>
          <w:p w14:paraId="4D484A32">
            <w:pPr>
              <w:pStyle w:val="94"/>
              <w:rPr>
                <w:color w:val="auto"/>
              </w:rPr>
            </w:pPr>
            <w:r>
              <w:rPr>
                <w:color w:val="auto"/>
              </w:rPr>
              <w:t>鸦科</w:t>
            </w:r>
          </w:p>
        </w:tc>
        <w:tc>
          <w:tcPr>
            <w:tcW w:w="431" w:type="pct"/>
            <w:noWrap/>
            <w:vAlign w:val="center"/>
          </w:tcPr>
          <w:p w14:paraId="69533701">
            <w:pPr>
              <w:pStyle w:val="94"/>
              <w:rPr>
                <w:color w:val="auto"/>
              </w:rPr>
            </w:pPr>
            <w:r>
              <w:rPr>
                <w:color w:val="auto"/>
              </w:rPr>
              <w:t>寒鸦</w:t>
            </w:r>
          </w:p>
        </w:tc>
        <w:tc>
          <w:tcPr>
            <w:tcW w:w="1123" w:type="pct"/>
            <w:noWrap/>
            <w:vAlign w:val="center"/>
          </w:tcPr>
          <w:p w14:paraId="38720F35">
            <w:pPr>
              <w:pStyle w:val="94"/>
              <w:rPr>
                <w:i/>
                <w:iCs/>
                <w:color w:val="auto"/>
              </w:rPr>
            </w:pPr>
            <w:r>
              <w:rPr>
                <w:i/>
                <w:iCs/>
                <w:color w:val="auto"/>
              </w:rPr>
              <w:t>Coloeus monedula</w:t>
            </w:r>
          </w:p>
        </w:tc>
        <w:tc>
          <w:tcPr>
            <w:tcW w:w="526" w:type="pct"/>
            <w:noWrap/>
            <w:vAlign w:val="center"/>
          </w:tcPr>
          <w:p w14:paraId="0ABE4909">
            <w:pPr>
              <w:pStyle w:val="94"/>
              <w:rPr>
                <w:color w:val="auto"/>
              </w:rPr>
            </w:pPr>
            <w:r>
              <w:rPr>
                <w:color w:val="auto"/>
              </w:rPr>
              <w:t>LC</w:t>
            </w:r>
          </w:p>
        </w:tc>
        <w:tc>
          <w:tcPr>
            <w:tcW w:w="483" w:type="pct"/>
            <w:noWrap/>
            <w:vAlign w:val="center"/>
          </w:tcPr>
          <w:p w14:paraId="41049D82">
            <w:pPr>
              <w:pStyle w:val="94"/>
              <w:rPr>
                <w:color w:val="auto"/>
              </w:rPr>
            </w:pPr>
          </w:p>
        </w:tc>
        <w:tc>
          <w:tcPr>
            <w:tcW w:w="754" w:type="pct"/>
            <w:noWrap/>
            <w:vAlign w:val="center"/>
          </w:tcPr>
          <w:p w14:paraId="691B69C1">
            <w:pPr>
              <w:pStyle w:val="94"/>
              <w:rPr>
                <w:rFonts w:ascii="Times New Roman" w:hAnsi="Times New Roman" w:eastAsia="Times New Roman" w:cs="Times New Roman"/>
                <w:color w:val="auto"/>
                <w:sz w:val="20"/>
                <w:szCs w:val="20"/>
              </w:rPr>
            </w:pPr>
          </w:p>
        </w:tc>
        <w:tc>
          <w:tcPr>
            <w:tcW w:w="822" w:type="pct"/>
            <w:noWrap/>
            <w:vAlign w:val="center"/>
          </w:tcPr>
          <w:p w14:paraId="5BB4EFAC">
            <w:pPr>
              <w:pStyle w:val="94"/>
              <w:rPr>
                <w:rFonts w:ascii="Times New Roman" w:hAnsi="Times New Roman" w:eastAsia="Times New Roman" w:cs="Times New Roman"/>
                <w:color w:val="auto"/>
                <w:sz w:val="20"/>
                <w:szCs w:val="20"/>
              </w:rPr>
            </w:pPr>
          </w:p>
        </w:tc>
      </w:tr>
      <w:tr w14:paraId="47602C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431" w:type="pct"/>
            <w:noWrap/>
            <w:vAlign w:val="center"/>
          </w:tcPr>
          <w:p w14:paraId="1BB73991">
            <w:pPr>
              <w:pStyle w:val="94"/>
              <w:rPr>
                <w:color w:val="auto"/>
              </w:rPr>
            </w:pPr>
            <w:r>
              <w:rPr>
                <w:color w:val="auto"/>
              </w:rPr>
              <w:t>雀形目</w:t>
            </w:r>
          </w:p>
        </w:tc>
        <w:tc>
          <w:tcPr>
            <w:tcW w:w="431" w:type="pct"/>
            <w:noWrap/>
            <w:vAlign w:val="center"/>
          </w:tcPr>
          <w:p w14:paraId="5F282F23">
            <w:pPr>
              <w:pStyle w:val="94"/>
              <w:rPr>
                <w:color w:val="auto"/>
              </w:rPr>
            </w:pPr>
            <w:r>
              <w:rPr>
                <w:color w:val="auto"/>
              </w:rPr>
              <w:t>鸦科</w:t>
            </w:r>
          </w:p>
        </w:tc>
        <w:tc>
          <w:tcPr>
            <w:tcW w:w="431" w:type="pct"/>
            <w:noWrap/>
            <w:vAlign w:val="center"/>
          </w:tcPr>
          <w:p w14:paraId="23A54C26">
            <w:pPr>
              <w:pStyle w:val="94"/>
              <w:rPr>
                <w:color w:val="auto"/>
              </w:rPr>
            </w:pPr>
            <w:r>
              <w:rPr>
                <w:color w:val="auto"/>
              </w:rPr>
              <w:t>大嘴乌鸦</w:t>
            </w:r>
          </w:p>
        </w:tc>
        <w:tc>
          <w:tcPr>
            <w:tcW w:w="1123" w:type="pct"/>
            <w:noWrap/>
            <w:vAlign w:val="center"/>
          </w:tcPr>
          <w:p w14:paraId="17672001">
            <w:pPr>
              <w:pStyle w:val="94"/>
              <w:rPr>
                <w:i/>
                <w:iCs/>
                <w:color w:val="auto"/>
              </w:rPr>
            </w:pPr>
            <w:r>
              <w:rPr>
                <w:i/>
                <w:iCs/>
                <w:color w:val="auto"/>
              </w:rPr>
              <w:t>Corvus macrorhynchos</w:t>
            </w:r>
          </w:p>
        </w:tc>
        <w:tc>
          <w:tcPr>
            <w:tcW w:w="526" w:type="pct"/>
            <w:noWrap/>
            <w:vAlign w:val="center"/>
          </w:tcPr>
          <w:p w14:paraId="6A4383CD">
            <w:pPr>
              <w:pStyle w:val="94"/>
              <w:rPr>
                <w:color w:val="auto"/>
              </w:rPr>
            </w:pPr>
            <w:r>
              <w:rPr>
                <w:color w:val="auto"/>
              </w:rPr>
              <w:t>LC</w:t>
            </w:r>
          </w:p>
        </w:tc>
        <w:tc>
          <w:tcPr>
            <w:tcW w:w="483" w:type="pct"/>
            <w:noWrap/>
            <w:vAlign w:val="center"/>
          </w:tcPr>
          <w:p w14:paraId="3B244D94">
            <w:pPr>
              <w:pStyle w:val="94"/>
              <w:rPr>
                <w:color w:val="auto"/>
              </w:rPr>
            </w:pPr>
          </w:p>
        </w:tc>
        <w:tc>
          <w:tcPr>
            <w:tcW w:w="754" w:type="pct"/>
            <w:noWrap/>
            <w:vAlign w:val="center"/>
          </w:tcPr>
          <w:p w14:paraId="7AC0F523">
            <w:pPr>
              <w:pStyle w:val="94"/>
              <w:rPr>
                <w:rFonts w:ascii="Times New Roman" w:hAnsi="Times New Roman" w:eastAsia="Times New Roman" w:cs="Times New Roman"/>
                <w:color w:val="auto"/>
                <w:sz w:val="20"/>
                <w:szCs w:val="20"/>
              </w:rPr>
            </w:pPr>
          </w:p>
        </w:tc>
        <w:tc>
          <w:tcPr>
            <w:tcW w:w="822" w:type="pct"/>
            <w:noWrap/>
            <w:vAlign w:val="center"/>
          </w:tcPr>
          <w:p w14:paraId="57893FC4">
            <w:pPr>
              <w:pStyle w:val="94"/>
              <w:rPr>
                <w:rFonts w:ascii="Times New Roman" w:hAnsi="Times New Roman" w:eastAsia="Times New Roman" w:cs="Times New Roman"/>
                <w:color w:val="auto"/>
                <w:sz w:val="20"/>
                <w:szCs w:val="20"/>
              </w:rPr>
            </w:pPr>
          </w:p>
        </w:tc>
      </w:tr>
      <w:tr w14:paraId="5197AD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31" w:type="pct"/>
            <w:noWrap/>
            <w:vAlign w:val="center"/>
          </w:tcPr>
          <w:p w14:paraId="4F934779">
            <w:pPr>
              <w:pStyle w:val="94"/>
              <w:rPr>
                <w:color w:val="auto"/>
              </w:rPr>
            </w:pPr>
            <w:r>
              <w:rPr>
                <w:color w:val="auto"/>
              </w:rPr>
              <w:t>雀形目</w:t>
            </w:r>
          </w:p>
        </w:tc>
        <w:tc>
          <w:tcPr>
            <w:tcW w:w="431" w:type="pct"/>
            <w:noWrap/>
            <w:vAlign w:val="center"/>
          </w:tcPr>
          <w:p w14:paraId="6029DCAC">
            <w:pPr>
              <w:pStyle w:val="94"/>
              <w:rPr>
                <w:color w:val="auto"/>
              </w:rPr>
            </w:pPr>
            <w:r>
              <w:rPr>
                <w:color w:val="auto"/>
              </w:rPr>
              <w:t>鹟科</w:t>
            </w:r>
          </w:p>
        </w:tc>
        <w:tc>
          <w:tcPr>
            <w:tcW w:w="431" w:type="pct"/>
            <w:noWrap/>
            <w:vAlign w:val="center"/>
          </w:tcPr>
          <w:p w14:paraId="4103AC05">
            <w:pPr>
              <w:pStyle w:val="94"/>
              <w:rPr>
                <w:color w:val="auto"/>
              </w:rPr>
            </w:pPr>
            <w:r>
              <w:rPr>
                <w:color w:val="auto"/>
              </w:rPr>
              <w:t>白顶䳭</w:t>
            </w:r>
          </w:p>
        </w:tc>
        <w:tc>
          <w:tcPr>
            <w:tcW w:w="1123" w:type="pct"/>
            <w:noWrap/>
            <w:vAlign w:val="center"/>
          </w:tcPr>
          <w:p w14:paraId="44EB071F">
            <w:pPr>
              <w:pStyle w:val="94"/>
              <w:rPr>
                <w:i/>
                <w:iCs/>
                <w:color w:val="auto"/>
              </w:rPr>
            </w:pPr>
            <w:r>
              <w:rPr>
                <w:i/>
                <w:iCs/>
                <w:color w:val="auto"/>
              </w:rPr>
              <w:t>Oenanthe pleschanka</w:t>
            </w:r>
          </w:p>
        </w:tc>
        <w:tc>
          <w:tcPr>
            <w:tcW w:w="526" w:type="pct"/>
            <w:noWrap/>
            <w:vAlign w:val="center"/>
          </w:tcPr>
          <w:p w14:paraId="077CF8CC">
            <w:pPr>
              <w:pStyle w:val="94"/>
              <w:rPr>
                <w:i/>
                <w:iCs/>
                <w:color w:val="auto"/>
              </w:rPr>
            </w:pPr>
          </w:p>
        </w:tc>
        <w:tc>
          <w:tcPr>
            <w:tcW w:w="483" w:type="pct"/>
            <w:noWrap/>
            <w:vAlign w:val="center"/>
          </w:tcPr>
          <w:p w14:paraId="606156FD">
            <w:pPr>
              <w:pStyle w:val="94"/>
              <w:rPr>
                <w:rFonts w:ascii="Times New Roman" w:hAnsi="Times New Roman" w:eastAsia="Times New Roman" w:cs="Times New Roman"/>
                <w:color w:val="auto"/>
                <w:sz w:val="20"/>
                <w:szCs w:val="20"/>
              </w:rPr>
            </w:pPr>
          </w:p>
        </w:tc>
        <w:tc>
          <w:tcPr>
            <w:tcW w:w="754" w:type="pct"/>
            <w:noWrap/>
            <w:vAlign w:val="center"/>
          </w:tcPr>
          <w:p w14:paraId="1153208C">
            <w:pPr>
              <w:pStyle w:val="94"/>
              <w:rPr>
                <w:rFonts w:ascii="Times New Roman" w:hAnsi="Times New Roman" w:eastAsia="Times New Roman" w:cs="Times New Roman"/>
                <w:color w:val="auto"/>
                <w:sz w:val="20"/>
                <w:szCs w:val="20"/>
              </w:rPr>
            </w:pPr>
          </w:p>
        </w:tc>
        <w:tc>
          <w:tcPr>
            <w:tcW w:w="822" w:type="pct"/>
            <w:noWrap/>
            <w:vAlign w:val="center"/>
          </w:tcPr>
          <w:p w14:paraId="3D145F45">
            <w:pPr>
              <w:pStyle w:val="94"/>
              <w:rPr>
                <w:rFonts w:ascii="Times New Roman" w:hAnsi="Times New Roman" w:eastAsia="Times New Roman" w:cs="Times New Roman"/>
                <w:color w:val="auto"/>
                <w:sz w:val="20"/>
                <w:szCs w:val="20"/>
              </w:rPr>
            </w:pPr>
          </w:p>
        </w:tc>
      </w:tr>
      <w:tr w14:paraId="48B7A1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31" w:type="pct"/>
            <w:noWrap/>
            <w:vAlign w:val="center"/>
          </w:tcPr>
          <w:p w14:paraId="42EF07B0">
            <w:pPr>
              <w:pStyle w:val="94"/>
              <w:rPr>
                <w:color w:val="auto"/>
              </w:rPr>
            </w:pPr>
            <w:r>
              <w:rPr>
                <w:color w:val="auto"/>
              </w:rPr>
              <w:t>雀形目</w:t>
            </w:r>
          </w:p>
        </w:tc>
        <w:tc>
          <w:tcPr>
            <w:tcW w:w="431" w:type="pct"/>
            <w:noWrap/>
            <w:vAlign w:val="center"/>
          </w:tcPr>
          <w:p w14:paraId="6706C11A">
            <w:pPr>
              <w:pStyle w:val="94"/>
              <w:rPr>
                <w:color w:val="auto"/>
              </w:rPr>
            </w:pPr>
            <w:r>
              <w:rPr>
                <w:color w:val="auto"/>
              </w:rPr>
              <w:t>柳莺科</w:t>
            </w:r>
          </w:p>
        </w:tc>
        <w:tc>
          <w:tcPr>
            <w:tcW w:w="431" w:type="pct"/>
            <w:noWrap/>
            <w:vAlign w:val="center"/>
          </w:tcPr>
          <w:p w14:paraId="092AFE4E">
            <w:pPr>
              <w:pStyle w:val="94"/>
              <w:rPr>
                <w:color w:val="auto"/>
              </w:rPr>
            </w:pPr>
            <w:r>
              <w:rPr>
                <w:color w:val="auto"/>
              </w:rPr>
              <w:t>极北柳莺</w:t>
            </w:r>
          </w:p>
        </w:tc>
        <w:tc>
          <w:tcPr>
            <w:tcW w:w="1123" w:type="pct"/>
            <w:noWrap/>
            <w:vAlign w:val="center"/>
          </w:tcPr>
          <w:p w14:paraId="516AB37A">
            <w:pPr>
              <w:pStyle w:val="94"/>
              <w:rPr>
                <w:i/>
                <w:iCs/>
                <w:color w:val="auto"/>
              </w:rPr>
            </w:pPr>
            <w:r>
              <w:rPr>
                <w:i/>
                <w:iCs/>
                <w:color w:val="auto"/>
              </w:rPr>
              <w:t>Phylloscopus borealis</w:t>
            </w:r>
          </w:p>
        </w:tc>
        <w:tc>
          <w:tcPr>
            <w:tcW w:w="526" w:type="pct"/>
            <w:noWrap/>
            <w:vAlign w:val="center"/>
          </w:tcPr>
          <w:p w14:paraId="0574318E">
            <w:pPr>
              <w:pStyle w:val="94"/>
              <w:rPr>
                <w:color w:val="auto"/>
              </w:rPr>
            </w:pPr>
            <w:r>
              <w:rPr>
                <w:color w:val="auto"/>
              </w:rPr>
              <w:t>LC</w:t>
            </w:r>
          </w:p>
        </w:tc>
        <w:tc>
          <w:tcPr>
            <w:tcW w:w="483" w:type="pct"/>
            <w:noWrap/>
            <w:vAlign w:val="center"/>
          </w:tcPr>
          <w:p w14:paraId="559DCD15">
            <w:pPr>
              <w:pStyle w:val="94"/>
              <w:rPr>
                <w:color w:val="auto"/>
              </w:rPr>
            </w:pPr>
          </w:p>
        </w:tc>
        <w:tc>
          <w:tcPr>
            <w:tcW w:w="754" w:type="pct"/>
            <w:noWrap/>
            <w:vAlign w:val="center"/>
          </w:tcPr>
          <w:p w14:paraId="21D176D2">
            <w:pPr>
              <w:pStyle w:val="94"/>
              <w:rPr>
                <w:rFonts w:ascii="Times New Roman" w:hAnsi="Times New Roman" w:eastAsia="Times New Roman" w:cs="Times New Roman"/>
                <w:color w:val="auto"/>
                <w:sz w:val="20"/>
                <w:szCs w:val="20"/>
              </w:rPr>
            </w:pPr>
          </w:p>
        </w:tc>
        <w:tc>
          <w:tcPr>
            <w:tcW w:w="822" w:type="pct"/>
            <w:noWrap/>
            <w:vAlign w:val="center"/>
          </w:tcPr>
          <w:p w14:paraId="7BC8281C">
            <w:pPr>
              <w:pStyle w:val="94"/>
              <w:rPr>
                <w:rFonts w:ascii="Times New Roman" w:hAnsi="Times New Roman" w:eastAsia="Times New Roman" w:cs="Times New Roman"/>
                <w:color w:val="auto"/>
                <w:sz w:val="20"/>
                <w:szCs w:val="20"/>
              </w:rPr>
            </w:pPr>
          </w:p>
        </w:tc>
      </w:tr>
      <w:tr w14:paraId="505910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31" w:type="pct"/>
            <w:noWrap/>
            <w:vAlign w:val="center"/>
          </w:tcPr>
          <w:p w14:paraId="47BB718F">
            <w:pPr>
              <w:pStyle w:val="94"/>
              <w:rPr>
                <w:color w:val="auto"/>
              </w:rPr>
            </w:pPr>
            <w:r>
              <w:rPr>
                <w:color w:val="auto"/>
              </w:rPr>
              <w:t>雀形目</w:t>
            </w:r>
          </w:p>
        </w:tc>
        <w:tc>
          <w:tcPr>
            <w:tcW w:w="431" w:type="pct"/>
            <w:noWrap/>
            <w:vAlign w:val="center"/>
          </w:tcPr>
          <w:p w14:paraId="7D004E6A">
            <w:pPr>
              <w:pStyle w:val="94"/>
              <w:rPr>
                <w:color w:val="auto"/>
              </w:rPr>
            </w:pPr>
            <w:r>
              <w:rPr>
                <w:color w:val="auto"/>
              </w:rPr>
              <w:t>鹟科</w:t>
            </w:r>
          </w:p>
        </w:tc>
        <w:tc>
          <w:tcPr>
            <w:tcW w:w="431" w:type="pct"/>
            <w:noWrap/>
            <w:vAlign w:val="center"/>
          </w:tcPr>
          <w:p w14:paraId="0FCD460D">
            <w:pPr>
              <w:pStyle w:val="94"/>
              <w:rPr>
                <w:color w:val="auto"/>
              </w:rPr>
            </w:pPr>
            <w:r>
              <w:rPr>
                <w:color w:val="auto"/>
              </w:rPr>
              <w:t>乌鹟</w:t>
            </w:r>
          </w:p>
        </w:tc>
        <w:tc>
          <w:tcPr>
            <w:tcW w:w="1123" w:type="pct"/>
            <w:noWrap/>
            <w:vAlign w:val="center"/>
          </w:tcPr>
          <w:p w14:paraId="510518D8">
            <w:pPr>
              <w:pStyle w:val="94"/>
              <w:rPr>
                <w:i/>
                <w:iCs/>
                <w:color w:val="auto"/>
              </w:rPr>
            </w:pPr>
            <w:r>
              <w:rPr>
                <w:i/>
                <w:iCs/>
                <w:color w:val="auto"/>
              </w:rPr>
              <w:t>Muscicapa sibirica</w:t>
            </w:r>
          </w:p>
        </w:tc>
        <w:tc>
          <w:tcPr>
            <w:tcW w:w="526" w:type="pct"/>
            <w:noWrap/>
            <w:vAlign w:val="center"/>
          </w:tcPr>
          <w:p w14:paraId="4B96F22E">
            <w:pPr>
              <w:pStyle w:val="94"/>
              <w:rPr>
                <w:color w:val="auto"/>
              </w:rPr>
            </w:pPr>
            <w:r>
              <w:rPr>
                <w:color w:val="auto"/>
              </w:rPr>
              <w:t>LC</w:t>
            </w:r>
          </w:p>
        </w:tc>
        <w:tc>
          <w:tcPr>
            <w:tcW w:w="483" w:type="pct"/>
            <w:noWrap/>
            <w:vAlign w:val="center"/>
          </w:tcPr>
          <w:p w14:paraId="78D5B523">
            <w:pPr>
              <w:pStyle w:val="94"/>
              <w:rPr>
                <w:color w:val="auto"/>
              </w:rPr>
            </w:pPr>
          </w:p>
        </w:tc>
        <w:tc>
          <w:tcPr>
            <w:tcW w:w="754" w:type="pct"/>
            <w:noWrap/>
            <w:vAlign w:val="center"/>
          </w:tcPr>
          <w:p w14:paraId="3992E52B">
            <w:pPr>
              <w:pStyle w:val="94"/>
              <w:rPr>
                <w:rFonts w:ascii="Times New Roman" w:hAnsi="Times New Roman" w:eastAsia="Times New Roman" w:cs="Times New Roman"/>
                <w:color w:val="auto"/>
                <w:sz w:val="20"/>
                <w:szCs w:val="20"/>
              </w:rPr>
            </w:pPr>
          </w:p>
        </w:tc>
        <w:tc>
          <w:tcPr>
            <w:tcW w:w="822" w:type="pct"/>
            <w:noWrap/>
            <w:vAlign w:val="center"/>
          </w:tcPr>
          <w:p w14:paraId="536E7A5C">
            <w:pPr>
              <w:pStyle w:val="94"/>
              <w:rPr>
                <w:rFonts w:ascii="Times New Roman" w:hAnsi="Times New Roman" w:eastAsia="Times New Roman" w:cs="Times New Roman"/>
                <w:color w:val="auto"/>
                <w:sz w:val="20"/>
                <w:szCs w:val="20"/>
              </w:rPr>
            </w:pPr>
          </w:p>
        </w:tc>
      </w:tr>
      <w:tr w14:paraId="6B8A9D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431" w:type="pct"/>
            <w:noWrap/>
            <w:vAlign w:val="center"/>
          </w:tcPr>
          <w:p w14:paraId="03CDCE96">
            <w:pPr>
              <w:pStyle w:val="94"/>
              <w:rPr>
                <w:color w:val="auto"/>
              </w:rPr>
            </w:pPr>
            <w:r>
              <w:rPr>
                <w:color w:val="auto"/>
              </w:rPr>
              <w:t>雀形目</w:t>
            </w:r>
          </w:p>
        </w:tc>
        <w:tc>
          <w:tcPr>
            <w:tcW w:w="431" w:type="pct"/>
            <w:noWrap/>
            <w:vAlign w:val="center"/>
          </w:tcPr>
          <w:p w14:paraId="097B143B">
            <w:pPr>
              <w:pStyle w:val="94"/>
              <w:rPr>
                <w:color w:val="auto"/>
              </w:rPr>
            </w:pPr>
            <w:r>
              <w:rPr>
                <w:color w:val="auto"/>
              </w:rPr>
              <w:t>鹟科</w:t>
            </w:r>
          </w:p>
        </w:tc>
        <w:tc>
          <w:tcPr>
            <w:tcW w:w="431" w:type="pct"/>
            <w:noWrap/>
            <w:vAlign w:val="center"/>
          </w:tcPr>
          <w:p w14:paraId="51C3D6B3">
            <w:pPr>
              <w:pStyle w:val="94"/>
              <w:rPr>
                <w:color w:val="auto"/>
              </w:rPr>
            </w:pPr>
            <w:r>
              <w:rPr>
                <w:color w:val="auto"/>
              </w:rPr>
              <w:t>北灰鹟</w:t>
            </w:r>
          </w:p>
        </w:tc>
        <w:tc>
          <w:tcPr>
            <w:tcW w:w="1123" w:type="pct"/>
            <w:noWrap/>
            <w:vAlign w:val="center"/>
          </w:tcPr>
          <w:p w14:paraId="611084DD">
            <w:pPr>
              <w:pStyle w:val="94"/>
              <w:rPr>
                <w:i/>
                <w:iCs/>
                <w:color w:val="auto"/>
              </w:rPr>
            </w:pPr>
            <w:r>
              <w:rPr>
                <w:i/>
                <w:iCs/>
                <w:color w:val="auto"/>
              </w:rPr>
              <w:t>Muscicapa dauurica</w:t>
            </w:r>
          </w:p>
        </w:tc>
        <w:tc>
          <w:tcPr>
            <w:tcW w:w="526" w:type="pct"/>
            <w:noWrap/>
            <w:vAlign w:val="center"/>
          </w:tcPr>
          <w:p w14:paraId="51C60B72">
            <w:pPr>
              <w:pStyle w:val="94"/>
              <w:rPr>
                <w:color w:val="auto"/>
              </w:rPr>
            </w:pPr>
            <w:r>
              <w:rPr>
                <w:color w:val="auto"/>
              </w:rPr>
              <w:t>LC</w:t>
            </w:r>
          </w:p>
        </w:tc>
        <w:tc>
          <w:tcPr>
            <w:tcW w:w="483" w:type="pct"/>
            <w:noWrap/>
            <w:vAlign w:val="center"/>
          </w:tcPr>
          <w:p w14:paraId="35B1E33D">
            <w:pPr>
              <w:pStyle w:val="94"/>
              <w:rPr>
                <w:color w:val="auto"/>
              </w:rPr>
            </w:pPr>
          </w:p>
        </w:tc>
        <w:tc>
          <w:tcPr>
            <w:tcW w:w="754" w:type="pct"/>
            <w:noWrap/>
            <w:vAlign w:val="center"/>
          </w:tcPr>
          <w:p w14:paraId="0467784D">
            <w:pPr>
              <w:pStyle w:val="94"/>
              <w:rPr>
                <w:rFonts w:ascii="Times New Roman" w:hAnsi="Times New Roman" w:eastAsia="Times New Roman" w:cs="Times New Roman"/>
                <w:color w:val="auto"/>
                <w:sz w:val="20"/>
                <w:szCs w:val="20"/>
              </w:rPr>
            </w:pPr>
          </w:p>
        </w:tc>
        <w:tc>
          <w:tcPr>
            <w:tcW w:w="822" w:type="pct"/>
            <w:noWrap/>
            <w:vAlign w:val="center"/>
          </w:tcPr>
          <w:p w14:paraId="107ECCFC">
            <w:pPr>
              <w:pStyle w:val="94"/>
              <w:rPr>
                <w:rFonts w:ascii="Times New Roman" w:hAnsi="Times New Roman" w:eastAsia="Times New Roman" w:cs="Times New Roman"/>
                <w:color w:val="auto"/>
                <w:sz w:val="20"/>
                <w:szCs w:val="20"/>
              </w:rPr>
            </w:pPr>
          </w:p>
        </w:tc>
      </w:tr>
      <w:tr w14:paraId="28E2B6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31" w:type="pct"/>
            <w:noWrap/>
            <w:vAlign w:val="center"/>
          </w:tcPr>
          <w:p w14:paraId="3FB84D86">
            <w:pPr>
              <w:pStyle w:val="94"/>
              <w:rPr>
                <w:color w:val="auto"/>
              </w:rPr>
            </w:pPr>
            <w:r>
              <w:rPr>
                <w:color w:val="auto"/>
              </w:rPr>
              <w:t>雀形目</w:t>
            </w:r>
          </w:p>
        </w:tc>
        <w:tc>
          <w:tcPr>
            <w:tcW w:w="431" w:type="pct"/>
            <w:noWrap/>
            <w:vAlign w:val="center"/>
          </w:tcPr>
          <w:p w14:paraId="1C82D7F0">
            <w:pPr>
              <w:pStyle w:val="94"/>
              <w:rPr>
                <w:color w:val="auto"/>
              </w:rPr>
            </w:pPr>
            <w:r>
              <w:rPr>
                <w:color w:val="auto"/>
              </w:rPr>
              <w:t>燕雀科</w:t>
            </w:r>
          </w:p>
        </w:tc>
        <w:tc>
          <w:tcPr>
            <w:tcW w:w="431" w:type="pct"/>
            <w:noWrap/>
            <w:vAlign w:val="center"/>
          </w:tcPr>
          <w:p w14:paraId="62A2C5E3">
            <w:pPr>
              <w:pStyle w:val="94"/>
              <w:rPr>
                <w:color w:val="auto"/>
              </w:rPr>
            </w:pPr>
            <w:r>
              <w:rPr>
                <w:color w:val="auto"/>
              </w:rPr>
              <w:t>金翅雀</w:t>
            </w:r>
          </w:p>
        </w:tc>
        <w:tc>
          <w:tcPr>
            <w:tcW w:w="1123" w:type="pct"/>
            <w:noWrap/>
            <w:vAlign w:val="center"/>
          </w:tcPr>
          <w:p w14:paraId="198E7C0B">
            <w:pPr>
              <w:pStyle w:val="94"/>
              <w:rPr>
                <w:i/>
                <w:iCs/>
                <w:color w:val="auto"/>
              </w:rPr>
            </w:pPr>
            <w:r>
              <w:rPr>
                <w:i/>
                <w:iCs/>
                <w:color w:val="auto"/>
              </w:rPr>
              <w:t>Chloris sinica</w:t>
            </w:r>
          </w:p>
        </w:tc>
        <w:tc>
          <w:tcPr>
            <w:tcW w:w="526" w:type="pct"/>
            <w:noWrap/>
            <w:vAlign w:val="center"/>
          </w:tcPr>
          <w:p w14:paraId="0A397F07">
            <w:pPr>
              <w:pStyle w:val="94"/>
              <w:rPr>
                <w:color w:val="auto"/>
              </w:rPr>
            </w:pPr>
            <w:r>
              <w:rPr>
                <w:color w:val="auto"/>
              </w:rPr>
              <w:t>LC</w:t>
            </w:r>
          </w:p>
        </w:tc>
        <w:tc>
          <w:tcPr>
            <w:tcW w:w="483" w:type="pct"/>
            <w:noWrap/>
            <w:vAlign w:val="center"/>
          </w:tcPr>
          <w:p w14:paraId="5ACAD887">
            <w:pPr>
              <w:pStyle w:val="94"/>
              <w:rPr>
                <w:color w:val="auto"/>
              </w:rPr>
            </w:pPr>
          </w:p>
        </w:tc>
        <w:tc>
          <w:tcPr>
            <w:tcW w:w="754" w:type="pct"/>
            <w:noWrap/>
            <w:vAlign w:val="center"/>
          </w:tcPr>
          <w:p w14:paraId="32E19A98">
            <w:pPr>
              <w:pStyle w:val="94"/>
              <w:rPr>
                <w:rFonts w:ascii="Times New Roman" w:hAnsi="Times New Roman" w:eastAsia="Times New Roman" w:cs="Times New Roman"/>
                <w:color w:val="auto"/>
                <w:sz w:val="20"/>
                <w:szCs w:val="20"/>
              </w:rPr>
            </w:pPr>
          </w:p>
        </w:tc>
        <w:tc>
          <w:tcPr>
            <w:tcW w:w="822" w:type="pct"/>
            <w:noWrap/>
            <w:vAlign w:val="center"/>
          </w:tcPr>
          <w:p w14:paraId="13F4941C">
            <w:pPr>
              <w:pStyle w:val="94"/>
              <w:rPr>
                <w:rFonts w:ascii="Times New Roman" w:hAnsi="Times New Roman" w:eastAsia="Times New Roman" w:cs="Times New Roman"/>
                <w:color w:val="auto"/>
                <w:sz w:val="20"/>
                <w:szCs w:val="20"/>
              </w:rPr>
            </w:pPr>
          </w:p>
        </w:tc>
      </w:tr>
      <w:tr w14:paraId="380D91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31" w:type="pct"/>
            <w:noWrap/>
            <w:vAlign w:val="center"/>
          </w:tcPr>
          <w:p w14:paraId="1C78E11F">
            <w:pPr>
              <w:pStyle w:val="94"/>
              <w:rPr>
                <w:color w:val="auto"/>
              </w:rPr>
            </w:pPr>
            <w:r>
              <w:rPr>
                <w:color w:val="auto"/>
              </w:rPr>
              <w:t>雀形目</w:t>
            </w:r>
          </w:p>
        </w:tc>
        <w:tc>
          <w:tcPr>
            <w:tcW w:w="431" w:type="pct"/>
            <w:noWrap/>
            <w:vAlign w:val="center"/>
          </w:tcPr>
          <w:p w14:paraId="646135BB">
            <w:pPr>
              <w:pStyle w:val="94"/>
              <w:rPr>
                <w:color w:val="auto"/>
              </w:rPr>
            </w:pPr>
            <w:r>
              <w:rPr>
                <w:color w:val="auto"/>
              </w:rPr>
              <w:t>燕雀科</w:t>
            </w:r>
          </w:p>
        </w:tc>
        <w:tc>
          <w:tcPr>
            <w:tcW w:w="431" w:type="pct"/>
            <w:noWrap/>
            <w:vAlign w:val="center"/>
          </w:tcPr>
          <w:p w14:paraId="00572E1D">
            <w:pPr>
              <w:pStyle w:val="94"/>
              <w:rPr>
                <w:color w:val="auto"/>
              </w:rPr>
            </w:pPr>
            <w:r>
              <w:rPr>
                <w:color w:val="auto"/>
              </w:rPr>
              <w:t>黄雀</w:t>
            </w:r>
          </w:p>
        </w:tc>
        <w:tc>
          <w:tcPr>
            <w:tcW w:w="1123" w:type="pct"/>
            <w:noWrap/>
            <w:vAlign w:val="center"/>
          </w:tcPr>
          <w:p w14:paraId="2B90C695">
            <w:pPr>
              <w:pStyle w:val="94"/>
              <w:rPr>
                <w:i/>
                <w:iCs/>
                <w:color w:val="auto"/>
              </w:rPr>
            </w:pPr>
            <w:r>
              <w:rPr>
                <w:i/>
                <w:iCs/>
                <w:color w:val="auto"/>
              </w:rPr>
              <w:t>Spinus spinus</w:t>
            </w:r>
          </w:p>
        </w:tc>
        <w:tc>
          <w:tcPr>
            <w:tcW w:w="526" w:type="pct"/>
            <w:noWrap/>
            <w:vAlign w:val="center"/>
          </w:tcPr>
          <w:p w14:paraId="6C1F16DF">
            <w:pPr>
              <w:pStyle w:val="94"/>
              <w:rPr>
                <w:color w:val="auto"/>
              </w:rPr>
            </w:pPr>
            <w:r>
              <w:rPr>
                <w:color w:val="auto"/>
              </w:rPr>
              <w:t>LC</w:t>
            </w:r>
          </w:p>
        </w:tc>
        <w:tc>
          <w:tcPr>
            <w:tcW w:w="483" w:type="pct"/>
            <w:noWrap/>
            <w:vAlign w:val="center"/>
          </w:tcPr>
          <w:p w14:paraId="7FBD61F1">
            <w:pPr>
              <w:pStyle w:val="94"/>
              <w:rPr>
                <w:color w:val="auto"/>
              </w:rPr>
            </w:pPr>
          </w:p>
        </w:tc>
        <w:tc>
          <w:tcPr>
            <w:tcW w:w="754" w:type="pct"/>
            <w:noWrap/>
            <w:vAlign w:val="center"/>
          </w:tcPr>
          <w:p w14:paraId="1F636159">
            <w:pPr>
              <w:pStyle w:val="94"/>
              <w:rPr>
                <w:rFonts w:ascii="Times New Roman" w:hAnsi="Times New Roman" w:eastAsia="Times New Roman" w:cs="Times New Roman"/>
                <w:color w:val="auto"/>
                <w:sz w:val="20"/>
                <w:szCs w:val="20"/>
              </w:rPr>
            </w:pPr>
          </w:p>
        </w:tc>
        <w:tc>
          <w:tcPr>
            <w:tcW w:w="822" w:type="pct"/>
            <w:noWrap/>
            <w:vAlign w:val="center"/>
          </w:tcPr>
          <w:p w14:paraId="429A647B">
            <w:pPr>
              <w:pStyle w:val="94"/>
              <w:rPr>
                <w:rFonts w:ascii="Times New Roman" w:hAnsi="Times New Roman" w:eastAsia="Times New Roman" w:cs="Times New Roman"/>
                <w:color w:val="auto"/>
                <w:sz w:val="20"/>
                <w:szCs w:val="20"/>
              </w:rPr>
            </w:pPr>
          </w:p>
        </w:tc>
      </w:tr>
      <w:tr w14:paraId="39C778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31" w:type="pct"/>
            <w:noWrap/>
            <w:vAlign w:val="center"/>
          </w:tcPr>
          <w:p w14:paraId="7B99C51A">
            <w:pPr>
              <w:pStyle w:val="94"/>
              <w:rPr>
                <w:color w:val="auto"/>
              </w:rPr>
            </w:pPr>
            <w:r>
              <w:rPr>
                <w:color w:val="auto"/>
              </w:rPr>
              <w:t>雀形目</w:t>
            </w:r>
          </w:p>
        </w:tc>
        <w:tc>
          <w:tcPr>
            <w:tcW w:w="431" w:type="pct"/>
            <w:noWrap/>
            <w:vAlign w:val="center"/>
          </w:tcPr>
          <w:p w14:paraId="552B65F0">
            <w:pPr>
              <w:pStyle w:val="94"/>
              <w:rPr>
                <w:color w:val="auto"/>
              </w:rPr>
            </w:pPr>
            <w:r>
              <w:rPr>
                <w:color w:val="auto"/>
              </w:rPr>
              <w:t>鹀科</w:t>
            </w:r>
          </w:p>
        </w:tc>
        <w:tc>
          <w:tcPr>
            <w:tcW w:w="431" w:type="pct"/>
            <w:noWrap/>
            <w:vAlign w:val="center"/>
          </w:tcPr>
          <w:p w14:paraId="7CF28CD0">
            <w:pPr>
              <w:pStyle w:val="94"/>
              <w:rPr>
                <w:color w:val="auto"/>
              </w:rPr>
            </w:pPr>
            <w:r>
              <w:rPr>
                <w:color w:val="auto"/>
              </w:rPr>
              <w:t>灰眉岩鹀</w:t>
            </w:r>
          </w:p>
        </w:tc>
        <w:tc>
          <w:tcPr>
            <w:tcW w:w="1123" w:type="pct"/>
            <w:noWrap/>
            <w:vAlign w:val="center"/>
          </w:tcPr>
          <w:p w14:paraId="00110599">
            <w:pPr>
              <w:pStyle w:val="94"/>
              <w:rPr>
                <w:i/>
                <w:iCs/>
                <w:color w:val="auto"/>
              </w:rPr>
            </w:pPr>
            <w:r>
              <w:rPr>
                <w:i/>
                <w:iCs/>
                <w:color w:val="auto"/>
              </w:rPr>
              <w:t>Emberiza godlewskii</w:t>
            </w:r>
          </w:p>
        </w:tc>
        <w:tc>
          <w:tcPr>
            <w:tcW w:w="526" w:type="pct"/>
            <w:noWrap/>
            <w:vAlign w:val="center"/>
          </w:tcPr>
          <w:p w14:paraId="28105FC7">
            <w:pPr>
              <w:pStyle w:val="94"/>
              <w:rPr>
                <w:color w:val="auto"/>
              </w:rPr>
            </w:pPr>
            <w:r>
              <w:rPr>
                <w:color w:val="auto"/>
              </w:rPr>
              <w:t>LC</w:t>
            </w:r>
          </w:p>
        </w:tc>
        <w:tc>
          <w:tcPr>
            <w:tcW w:w="483" w:type="pct"/>
            <w:noWrap/>
            <w:vAlign w:val="center"/>
          </w:tcPr>
          <w:p w14:paraId="17371AAE">
            <w:pPr>
              <w:pStyle w:val="94"/>
              <w:rPr>
                <w:color w:val="auto"/>
              </w:rPr>
            </w:pPr>
          </w:p>
        </w:tc>
        <w:tc>
          <w:tcPr>
            <w:tcW w:w="754" w:type="pct"/>
            <w:noWrap/>
            <w:vAlign w:val="center"/>
          </w:tcPr>
          <w:p w14:paraId="38074DF8">
            <w:pPr>
              <w:pStyle w:val="94"/>
              <w:rPr>
                <w:rFonts w:ascii="Times New Roman" w:hAnsi="Times New Roman" w:eastAsia="Times New Roman" w:cs="Times New Roman"/>
                <w:color w:val="auto"/>
                <w:sz w:val="20"/>
                <w:szCs w:val="20"/>
              </w:rPr>
            </w:pPr>
          </w:p>
        </w:tc>
        <w:tc>
          <w:tcPr>
            <w:tcW w:w="822" w:type="pct"/>
            <w:noWrap/>
            <w:vAlign w:val="center"/>
          </w:tcPr>
          <w:p w14:paraId="0B46E4E2">
            <w:pPr>
              <w:pStyle w:val="94"/>
              <w:rPr>
                <w:rFonts w:ascii="Times New Roman" w:hAnsi="Times New Roman" w:eastAsia="Times New Roman" w:cs="Times New Roman"/>
                <w:color w:val="auto"/>
                <w:sz w:val="20"/>
                <w:szCs w:val="20"/>
              </w:rPr>
            </w:pPr>
          </w:p>
        </w:tc>
      </w:tr>
      <w:tr w14:paraId="2CA3B4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31" w:type="pct"/>
            <w:noWrap/>
            <w:vAlign w:val="center"/>
          </w:tcPr>
          <w:p w14:paraId="3453D0A0">
            <w:pPr>
              <w:pStyle w:val="94"/>
              <w:rPr>
                <w:color w:val="auto"/>
              </w:rPr>
            </w:pPr>
            <w:r>
              <w:rPr>
                <w:color w:val="auto"/>
              </w:rPr>
              <w:t>雀形目</w:t>
            </w:r>
          </w:p>
        </w:tc>
        <w:tc>
          <w:tcPr>
            <w:tcW w:w="431" w:type="pct"/>
            <w:noWrap/>
            <w:vAlign w:val="center"/>
          </w:tcPr>
          <w:p w14:paraId="0E77532F">
            <w:pPr>
              <w:pStyle w:val="94"/>
              <w:rPr>
                <w:color w:val="auto"/>
              </w:rPr>
            </w:pPr>
            <w:r>
              <w:rPr>
                <w:color w:val="auto"/>
              </w:rPr>
              <w:t>鹀科</w:t>
            </w:r>
          </w:p>
        </w:tc>
        <w:tc>
          <w:tcPr>
            <w:tcW w:w="431" w:type="pct"/>
            <w:noWrap/>
            <w:vAlign w:val="center"/>
          </w:tcPr>
          <w:p w14:paraId="12BEE960">
            <w:pPr>
              <w:pStyle w:val="94"/>
              <w:rPr>
                <w:color w:val="auto"/>
              </w:rPr>
            </w:pPr>
            <w:r>
              <w:rPr>
                <w:color w:val="auto"/>
              </w:rPr>
              <w:t>三道眉草鹀</w:t>
            </w:r>
          </w:p>
        </w:tc>
        <w:tc>
          <w:tcPr>
            <w:tcW w:w="1123" w:type="pct"/>
            <w:noWrap/>
            <w:vAlign w:val="center"/>
          </w:tcPr>
          <w:p w14:paraId="410BBD4D">
            <w:pPr>
              <w:pStyle w:val="94"/>
              <w:rPr>
                <w:i/>
                <w:iCs/>
                <w:color w:val="auto"/>
              </w:rPr>
            </w:pPr>
            <w:r>
              <w:rPr>
                <w:i/>
                <w:iCs/>
                <w:color w:val="auto"/>
              </w:rPr>
              <w:t>Emberiza cioides</w:t>
            </w:r>
          </w:p>
        </w:tc>
        <w:tc>
          <w:tcPr>
            <w:tcW w:w="526" w:type="pct"/>
            <w:noWrap/>
            <w:vAlign w:val="center"/>
          </w:tcPr>
          <w:p w14:paraId="7A69FA00">
            <w:pPr>
              <w:pStyle w:val="94"/>
              <w:rPr>
                <w:color w:val="auto"/>
              </w:rPr>
            </w:pPr>
            <w:r>
              <w:rPr>
                <w:color w:val="auto"/>
              </w:rPr>
              <w:t>LC</w:t>
            </w:r>
          </w:p>
        </w:tc>
        <w:tc>
          <w:tcPr>
            <w:tcW w:w="483" w:type="pct"/>
            <w:noWrap/>
            <w:vAlign w:val="center"/>
          </w:tcPr>
          <w:p w14:paraId="4EA8D9B2">
            <w:pPr>
              <w:pStyle w:val="94"/>
              <w:rPr>
                <w:color w:val="auto"/>
              </w:rPr>
            </w:pPr>
          </w:p>
        </w:tc>
        <w:tc>
          <w:tcPr>
            <w:tcW w:w="754" w:type="pct"/>
            <w:noWrap/>
            <w:vAlign w:val="center"/>
          </w:tcPr>
          <w:p w14:paraId="3EB459B5">
            <w:pPr>
              <w:pStyle w:val="94"/>
              <w:rPr>
                <w:rFonts w:ascii="Times New Roman" w:hAnsi="Times New Roman" w:eastAsia="Times New Roman" w:cs="Times New Roman"/>
                <w:color w:val="auto"/>
                <w:sz w:val="20"/>
                <w:szCs w:val="20"/>
              </w:rPr>
            </w:pPr>
          </w:p>
        </w:tc>
        <w:tc>
          <w:tcPr>
            <w:tcW w:w="822" w:type="pct"/>
            <w:noWrap/>
            <w:vAlign w:val="center"/>
          </w:tcPr>
          <w:p w14:paraId="27E238A4">
            <w:pPr>
              <w:pStyle w:val="94"/>
              <w:rPr>
                <w:rFonts w:ascii="Times New Roman" w:hAnsi="Times New Roman" w:eastAsia="Times New Roman" w:cs="Times New Roman"/>
                <w:color w:val="auto"/>
                <w:sz w:val="20"/>
                <w:szCs w:val="20"/>
              </w:rPr>
            </w:pPr>
          </w:p>
        </w:tc>
      </w:tr>
      <w:tr w14:paraId="7D8AF0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431" w:type="pct"/>
            <w:noWrap/>
            <w:vAlign w:val="center"/>
          </w:tcPr>
          <w:p w14:paraId="1F5B4841">
            <w:pPr>
              <w:pStyle w:val="94"/>
              <w:rPr>
                <w:color w:val="auto"/>
              </w:rPr>
            </w:pPr>
            <w:r>
              <w:rPr>
                <w:color w:val="auto"/>
              </w:rPr>
              <w:t>雀形目</w:t>
            </w:r>
          </w:p>
        </w:tc>
        <w:tc>
          <w:tcPr>
            <w:tcW w:w="431" w:type="pct"/>
            <w:noWrap/>
            <w:vAlign w:val="center"/>
          </w:tcPr>
          <w:p w14:paraId="0BEFB929">
            <w:pPr>
              <w:pStyle w:val="94"/>
              <w:rPr>
                <w:color w:val="auto"/>
              </w:rPr>
            </w:pPr>
            <w:r>
              <w:rPr>
                <w:color w:val="auto"/>
              </w:rPr>
              <w:t>鹀科</w:t>
            </w:r>
          </w:p>
        </w:tc>
        <w:tc>
          <w:tcPr>
            <w:tcW w:w="431" w:type="pct"/>
            <w:noWrap/>
            <w:vAlign w:val="center"/>
          </w:tcPr>
          <w:p w14:paraId="069F21AE">
            <w:pPr>
              <w:pStyle w:val="94"/>
              <w:rPr>
                <w:color w:val="auto"/>
              </w:rPr>
            </w:pPr>
            <w:r>
              <w:rPr>
                <w:color w:val="auto"/>
              </w:rPr>
              <w:t>小鹀</w:t>
            </w:r>
          </w:p>
        </w:tc>
        <w:tc>
          <w:tcPr>
            <w:tcW w:w="1123" w:type="pct"/>
            <w:noWrap/>
            <w:vAlign w:val="center"/>
          </w:tcPr>
          <w:p w14:paraId="21DBC423">
            <w:pPr>
              <w:pStyle w:val="94"/>
              <w:rPr>
                <w:i/>
                <w:iCs/>
                <w:color w:val="auto"/>
              </w:rPr>
            </w:pPr>
            <w:r>
              <w:rPr>
                <w:i/>
                <w:iCs/>
                <w:color w:val="auto"/>
              </w:rPr>
              <w:t>Emberiza pusilla</w:t>
            </w:r>
          </w:p>
        </w:tc>
        <w:tc>
          <w:tcPr>
            <w:tcW w:w="526" w:type="pct"/>
            <w:noWrap/>
            <w:vAlign w:val="center"/>
          </w:tcPr>
          <w:p w14:paraId="070047D6">
            <w:pPr>
              <w:pStyle w:val="94"/>
              <w:rPr>
                <w:color w:val="auto"/>
              </w:rPr>
            </w:pPr>
            <w:r>
              <w:rPr>
                <w:color w:val="auto"/>
              </w:rPr>
              <w:t>LC</w:t>
            </w:r>
          </w:p>
        </w:tc>
        <w:tc>
          <w:tcPr>
            <w:tcW w:w="483" w:type="pct"/>
            <w:noWrap/>
            <w:vAlign w:val="center"/>
          </w:tcPr>
          <w:p w14:paraId="30D09D68">
            <w:pPr>
              <w:pStyle w:val="94"/>
              <w:rPr>
                <w:color w:val="auto"/>
              </w:rPr>
            </w:pPr>
          </w:p>
        </w:tc>
        <w:tc>
          <w:tcPr>
            <w:tcW w:w="754" w:type="pct"/>
            <w:noWrap/>
            <w:vAlign w:val="center"/>
          </w:tcPr>
          <w:p w14:paraId="4E336F41">
            <w:pPr>
              <w:pStyle w:val="94"/>
              <w:rPr>
                <w:rFonts w:ascii="Times New Roman" w:hAnsi="Times New Roman" w:eastAsia="Times New Roman" w:cs="Times New Roman"/>
                <w:color w:val="auto"/>
                <w:sz w:val="20"/>
                <w:szCs w:val="20"/>
              </w:rPr>
            </w:pPr>
          </w:p>
        </w:tc>
        <w:tc>
          <w:tcPr>
            <w:tcW w:w="822" w:type="pct"/>
            <w:noWrap/>
            <w:vAlign w:val="center"/>
          </w:tcPr>
          <w:p w14:paraId="263FED9A">
            <w:pPr>
              <w:pStyle w:val="94"/>
              <w:rPr>
                <w:rFonts w:ascii="Times New Roman" w:hAnsi="Times New Roman" w:eastAsia="Times New Roman" w:cs="Times New Roman"/>
                <w:color w:val="auto"/>
                <w:sz w:val="20"/>
                <w:szCs w:val="20"/>
              </w:rPr>
            </w:pPr>
          </w:p>
        </w:tc>
      </w:tr>
      <w:tr w14:paraId="12C2D7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31" w:type="pct"/>
            <w:noWrap/>
            <w:vAlign w:val="center"/>
          </w:tcPr>
          <w:p w14:paraId="5634A55C">
            <w:pPr>
              <w:pStyle w:val="94"/>
              <w:rPr>
                <w:color w:val="auto"/>
              </w:rPr>
            </w:pPr>
            <w:r>
              <w:rPr>
                <w:color w:val="auto"/>
              </w:rPr>
              <w:t>雀形目</w:t>
            </w:r>
          </w:p>
        </w:tc>
        <w:tc>
          <w:tcPr>
            <w:tcW w:w="431" w:type="pct"/>
            <w:noWrap/>
            <w:vAlign w:val="center"/>
          </w:tcPr>
          <w:p w14:paraId="3CB89875">
            <w:pPr>
              <w:pStyle w:val="94"/>
              <w:rPr>
                <w:color w:val="auto"/>
              </w:rPr>
            </w:pPr>
            <w:r>
              <w:rPr>
                <w:color w:val="auto"/>
              </w:rPr>
              <w:t>鹀科</w:t>
            </w:r>
          </w:p>
        </w:tc>
        <w:tc>
          <w:tcPr>
            <w:tcW w:w="431" w:type="pct"/>
            <w:noWrap/>
            <w:vAlign w:val="center"/>
          </w:tcPr>
          <w:p w14:paraId="10BD98C6">
            <w:pPr>
              <w:pStyle w:val="94"/>
              <w:rPr>
                <w:color w:val="auto"/>
              </w:rPr>
            </w:pPr>
            <w:r>
              <w:rPr>
                <w:color w:val="auto"/>
              </w:rPr>
              <w:t>苇鹀</w:t>
            </w:r>
          </w:p>
        </w:tc>
        <w:tc>
          <w:tcPr>
            <w:tcW w:w="1123" w:type="pct"/>
            <w:noWrap/>
            <w:vAlign w:val="center"/>
          </w:tcPr>
          <w:p w14:paraId="549A965B">
            <w:pPr>
              <w:pStyle w:val="94"/>
              <w:rPr>
                <w:i/>
                <w:iCs/>
                <w:color w:val="auto"/>
              </w:rPr>
            </w:pPr>
            <w:r>
              <w:rPr>
                <w:i/>
                <w:iCs/>
                <w:color w:val="auto"/>
              </w:rPr>
              <w:t>Emberiza pallasi</w:t>
            </w:r>
          </w:p>
        </w:tc>
        <w:tc>
          <w:tcPr>
            <w:tcW w:w="526" w:type="pct"/>
            <w:noWrap/>
            <w:vAlign w:val="center"/>
          </w:tcPr>
          <w:p w14:paraId="49870443">
            <w:pPr>
              <w:pStyle w:val="94"/>
              <w:rPr>
                <w:color w:val="auto"/>
              </w:rPr>
            </w:pPr>
            <w:r>
              <w:rPr>
                <w:color w:val="auto"/>
              </w:rPr>
              <w:t>LC</w:t>
            </w:r>
          </w:p>
        </w:tc>
        <w:tc>
          <w:tcPr>
            <w:tcW w:w="483" w:type="pct"/>
            <w:noWrap/>
            <w:vAlign w:val="center"/>
          </w:tcPr>
          <w:p w14:paraId="5BBB6B0F">
            <w:pPr>
              <w:pStyle w:val="94"/>
              <w:rPr>
                <w:color w:val="auto"/>
              </w:rPr>
            </w:pPr>
          </w:p>
        </w:tc>
        <w:tc>
          <w:tcPr>
            <w:tcW w:w="754" w:type="pct"/>
            <w:noWrap/>
            <w:vAlign w:val="center"/>
          </w:tcPr>
          <w:p w14:paraId="40070DCB">
            <w:pPr>
              <w:pStyle w:val="94"/>
              <w:rPr>
                <w:rFonts w:ascii="Times New Roman" w:hAnsi="Times New Roman" w:eastAsia="Times New Roman" w:cs="Times New Roman"/>
                <w:color w:val="auto"/>
                <w:sz w:val="20"/>
                <w:szCs w:val="20"/>
              </w:rPr>
            </w:pPr>
          </w:p>
        </w:tc>
        <w:tc>
          <w:tcPr>
            <w:tcW w:w="822" w:type="pct"/>
            <w:noWrap/>
            <w:vAlign w:val="center"/>
          </w:tcPr>
          <w:p w14:paraId="69A8FB70">
            <w:pPr>
              <w:pStyle w:val="94"/>
              <w:rPr>
                <w:rFonts w:ascii="Times New Roman" w:hAnsi="Times New Roman" w:eastAsia="Times New Roman" w:cs="Times New Roman"/>
                <w:color w:val="auto"/>
                <w:sz w:val="20"/>
                <w:szCs w:val="20"/>
              </w:rPr>
            </w:pPr>
          </w:p>
        </w:tc>
      </w:tr>
      <w:tr w14:paraId="113F7E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31" w:type="pct"/>
            <w:noWrap/>
            <w:vAlign w:val="center"/>
          </w:tcPr>
          <w:p w14:paraId="57D5CF3D">
            <w:pPr>
              <w:pStyle w:val="94"/>
              <w:rPr>
                <w:color w:val="auto"/>
              </w:rPr>
            </w:pPr>
            <w:r>
              <w:rPr>
                <w:color w:val="auto"/>
              </w:rPr>
              <w:t>雀形目</w:t>
            </w:r>
          </w:p>
        </w:tc>
        <w:tc>
          <w:tcPr>
            <w:tcW w:w="431" w:type="pct"/>
            <w:noWrap/>
            <w:vAlign w:val="center"/>
          </w:tcPr>
          <w:p w14:paraId="407C3C04">
            <w:pPr>
              <w:pStyle w:val="94"/>
              <w:rPr>
                <w:color w:val="auto"/>
              </w:rPr>
            </w:pPr>
            <w:r>
              <w:rPr>
                <w:color w:val="auto"/>
              </w:rPr>
              <w:t>鸦科</w:t>
            </w:r>
          </w:p>
        </w:tc>
        <w:tc>
          <w:tcPr>
            <w:tcW w:w="431" w:type="pct"/>
            <w:vAlign w:val="center"/>
          </w:tcPr>
          <w:p w14:paraId="79172BA8">
            <w:pPr>
              <w:pStyle w:val="94"/>
              <w:rPr>
                <w:color w:val="auto"/>
              </w:rPr>
            </w:pPr>
            <w:r>
              <w:rPr>
                <w:color w:val="auto"/>
              </w:rPr>
              <w:t>灰喜鹊</w:t>
            </w:r>
          </w:p>
        </w:tc>
        <w:tc>
          <w:tcPr>
            <w:tcW w:w="1123" w:type="pct"/>
            <w:noWrap/>
            <w:vAlign w:val="center"/>
          </w:tcPr>
          <w:p w14:paraId="08F2D3CE">
            <w:pPr>
              <w:pStyle w:val="94"/>
              <w:rPr>
                <w:i/>
                <w:iCs/>
                <w:color w:val="auto"/>
              </w:rPr>
            </w:pPr>
            <w:r>
              <w:rPr>
                <w:i/>
                <w:iCs/>
                <w:color w:val="auto"/>
              </w:rPr>
              <w:t>Cyanopica cyanus</w:t>
            </w:r>
          </w:p>
        </w:tc>
        <w:tc>
          <w:tcPr>
            <w:tcW w:w="526" w:type="pct"/>
            <w:noWrap/>
            <w:vAlign w:val="center"/>
          </w:tcPr>
          <w:p w14:paraId="66B43E68">
            <w:pPr>
              <w:pStyle w:val="94"/>
              <w:rPr>
                <w:color w:val="auto"/>
              </w:rPr>
            </w:pPr>
            <w:r>
              <w:rPr>
                <w:color w:val="auto"/>
              </w:rPr>
              <w:t>LC</w:t>
            </w:r>
          </w:p>
        </w:tc>
        <w:tc>
          <w:tcPr>
            <w:tcW w:w="483" w:type="pct"/>
            <w:noWrap/>
            <w:vAlign w:val="center"/>
          </w:tcPr>
          <w:p w14:paraId="2BCAFAF1">
            <w:pPr>
              <w:pStyle w:val="94"/>
              <w:rPr>
                <w:color w:val="auto"/>
              </w:rPr>
            </w:pPr>
          </w:p>
        </w:tc>
        <w:tc>
          <w:tcPr>
            <w:tcW w:w="754" w:type="pct"/>
            <w:noWrap/>
            <w:vAlign w:val="center"/>
          </w:tcPr>
          <w:p w14:paraId="2509BD41">
            <w:pPr>
              <w:pStyle w:val="94"/>
              <w:rPr>
                <w:rFonts w:ascii="Times New Roman" w:hAnsi="Times New Roman" w:eastAsia="Times New Roman" w:cs="Times New Roman"/>
                <w:color w:val="auto"/>
                <w:sz w:val="20"/>
                <w:szCs w:val="20"/>
              </w:rPr>
            </w:pPr>
          </w:p>
        </w:tc>
        <w:tc>
          <w:tcPr>
            <w:tcW w:w="822" w:type="pct"/>
            <w:noWrap/>
            <w:vAlign w:val="center"/>
          </w:tcPr>
          <w:p w14:paraId="01AE27F4">
            <w:pPr>
              <w:pStyle w:val="94"/>
              <w:rPr>
                <w:rFonts w:ascii="Times New Roman" w:hAnsi="Times New Roman" w:eastAsia="Times New Roman" w:cs="Times New Roman"/>
                <w:color w:val="auto"/>
                <w:sz w:val="20"/>
                <w:szCs w:val="20"/>
              </w:rPr>
            </w:pPr>
          </w:p>
        </w:tc>
      </w:tr>
      <w:tr w14:paraId="165F84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31" w:type="pct"/>
            <w:noWrap/>
            <w:vAlign w:val="center"/>
          </w:tcPr>
          <w:p w14:paraId="4BD589B5">
            <w:pPr>
              <w:pStyle w:val="94"/>
              <w:rPr>
                <w:color w:val="auto"/>
              </w:rPr>
            </w:pPr>
            <w:r>
              <w:rPr>
                <w:color w:val="auto"/>
              </w:rPr>
              <w:t>雀形目</w:t>
            </w:r>
          </w:p>
        </w:tc>
        <w:tc>
          <w:tcPr>
            <w:tcW w:w="431" w:type="pct"/>
            <w:noWrap/>
            <w:vAlign w:val="center"/>
          </w:tcPr>
          <w:p w14:paraId="5A10C290">
            <w:pPr>
              <w:pStyle w:val="94"/>
              <w:rPr>
                <w:color w:val="auto"/>
              </w:rPr>
            </w:pPr>
            <w:r>
              <w:rPr>
                <w:color w:val="auto"/>
              </w:rPr>
              <w:t>鸦科</w:t>
            </w:r>
          </w:p>
        </w:tc>
        <w:tc>
          <w:tcPr>
            <w:tcW w:w="431" w:type="pct"/>
            <w:vAlign w:val="center"/>
          </w:tcPr>
          <w:p w14:paraId="5004F809">
            <w:pPr>
              <w:pStyle w:val="94"/>
              <w:rPr>
                <w:color w:val="auto"/>
              </w:rPr>
            </w:pPr>
            <w:r>
              <w:rPr>
                <w:color w:val="auto"/>
              </w:rPr>
              <w:t>喜鹊</w:t>
            </w:r>
          </w:p>
        </w:tc>
        <w:tc>
          <w:tcPr>
            <w:tcW w:w="1123" w:type="pct"/>
            <w:noWrap/>
            <w:vAlign w:val="center"/>
          </w:tcPr>
          <w:p w14:paraId="69AC566C">
            <w:pPr>
              <w:pStyle w:val="94"/>
              <w:rPr>
                <w:i/>
                <w:iCs/>
                <w:color w:val="auto"/>
              </w:rPr>
            </w:pPr>
            <w:r>
              <w:rPr>
                <w:i/>
                <w:iCs/>
                <w:color w:val="auto"/>
              </w:rPr>
              <w:t>Pica serica</w:t>
            </w:r>
          </w:p>
        </w:tc>
        <w:tc>
          <w:tcPr>
            <w:tcW w:w="526" w:type="pct"/>
            <w:noWrap/>
            <w:vAlign w:val="center"/>
          </w:tcPr>
          <w:p w14:paraId="137C4F52">
            <w:pPr>
              <w:pStyle w:val="94"/>
              <w:rPr>
                <w:color w:val="auto"/>
              </w:rPr>
            </w:pPr>
            <w:r>
              <w:rPr>
                <w:color w:val="auto"/>
              </w:rPr>
              <w:t>LC</w:t>
            </w:r>
          </w:p>
        </w:tc>
        <w:tc>
          <w:tcPr>
            <w:tcW w:w="483" w:type="pct"/>
            <w:noWrap/>
            <w:vAlign w:val="center"/>
          </w:tcPr>
          <w:p w14:paraId="22FBA75A">
            <w:pPr>
              <w:pStyle w:val="94"/>
              <w:rPr>
                <w:color w:val="auto"/>
              </w:rPr>
            </w:pPr>
          </w:p>
        </w:tc>
        <w:tc>
          <w:tcPr>
            <w:tcW w:w="754" w:type="pct"/>
            <w:noWrap/>
            <w:vAlign w:val="center"/>
          </w:tcPr>
          <w:p w14:paraId="2B4FE1C4">
            <w:pPr>
              <w:pStyle w:val="94"/>
              <w:rPr>
                <w:rFonts w:ascii="Times New Roman" w:hAnsi="Times New Roman" w:eastAsia="Times New Roman" w:cs="Times New Roman"/>
                <w:color w:val="auto"/>
                <w:sz w:val="20"/>
                <w:szCs w:val="20"/>
              </w:rPr>
            </w:pPr>
          </w:p>
        </w:tc>
        <w:tc>
          <w:tcPr>
            <w:tcW w:w="822" w:type="pct"/>
            <w:noWrap/>
            <w:vAlign w:val="center"/>
          </w:tcPr>
          <w:p w14:paraId="3294ED47">
            <w:pPr>
              <w:pStyle w:val="94"/>
              <w:rPr>
                <w:rFonts w:ascii="Times New Roman" w:hAnsi="Times New Roman" w:eastAsia="Times New Roman" w:cs="Times New Roman"/>
                <w:color w:val="auto"/>
                <w:sz w:val="20"/>
                <w:szCs w:val="20"/>
              </w:rPr>
            </w:pPr>
          </w:p>
        </w:tc>
      </w:tr>
      <w:tr w14:paraId="29369A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31" w:type="pct"/>
            <w:noWrap/>
            <w:vAlign w:val="center"/>
          </w:tcPr>
          <w:p w14:paraId="6976754D">
            <w:pPr>
              <w:pStyle w:val="94"/>
              <w:rPr>
                <w:color w:val="auto"/>
              </w:rPr>
            </w:pPr>
            <w:r>
              <w:rPr>
                <w:color w:val="auto"/>
              </w:rPr>
              <w:t>雀形目</w:t>
            </w:r>
          </w:p>
        </w:tc>
        <w:tc>
          <w:tcPr>
            <w:tcW w:w="431" w:type="pct"/>
            <w:noWrap/>
            <w:vAlign w:val="center"/>
          </w:tcPr>
          <w:p w14:paraId="007EFA18">
            <w:pPr>
              <w:pStyle w:val="94"/>
              <w:rPr>
                <w:color w:val="auto"/>
              </w:rPr>
            </w:pPr>
            <w:r>
              <w:rPr>
                <w:color w:val="auto"/>
              </w:rPr>
              <w:t>卷尾科</w:t>
            </w:r>
          </w:p>
        </w:tc>
        <w:tc>
          <w:tcPr>
            <w:tcW w:w="431" w:type="pct"/>
            <w:vAlign w:val="center"/>
          </w:tcPr>
          <w:p w14:paraId="224D2C82">
            <w:pPr>
              <w:pStyle w:val="94"/>
              <w:rPr>
                <w:color w:val="auto"/>
              </w:rPr>
            </w:pPr>
            <w:r>
              <w:rPr>
                <w:color w:val="auto"/>
              </w:rPr>
              <w:t>黑卷尾</w:t>
            </w:r>
          </w:p>
        </w:tc>
        <w:tc>
          <w:tcPr>
            <w:tcW w:w="1123" w:type="pct"/>
            <w:noWrap/>
            <w:vAlign w:val="center"/>
          </w:tcPr>
          <w:p w14:paraId="05B13D24">
            <w:pPr>
              <w:pStyle w:val="94"/>
              <w:rPr>
                <w:i/>
                <w:iCs/>
                <w:color w:val="auto"/>
              </w:rPr>
            </w:pPr>
            <w:r>
              <w:rPr>
                <w:i/>
                <w:iCs/>
                <w:color w:val="auto"/>
              </w:rPr>
              <w:t>Dicrurus macrocercus</w:t>
            </w:r>
          </w:p>
        </w:tc>
        <w:tc>
          <w:tcPr>
            <w:tcW w:w="526" w:type="pct"/>
            <w:noWrap/>
            <w:vAlign w:val="center"/>
          </w:tcPr>
          <w:p w14:paraId="7B8338BF">
            <w:pPr>
              <w:pStyle w:val="94"/>
              <w:rPr>
                <w:color w:val="auto"/>
              </w:rPr>
            </w:pPr>
            <w:r>
              <w:rPr>
                <w:color w:val="auto"/>
              </w:rPr>
              <w:t>LC</w:t>
            </w:r>
          </w:p>
        </w:tc>
        <w:tc>
          <w:tcPr>
            <w:tcW w:w="483" w:type="pct"/>
            <w:noWrap/>
            <w:vAlign w:val="center"/>
          </w:tcPr>
          <w:p w14:paraId="7424F573">
            <w:pPr>
              <w:pStyle w:val="94"/>
              <w:rPr>
                <w:color w:val="auto"/>
              </w:rPr>
            </w:pPr>
          </w:p>
        </w:tc>
        <w:tc>
          <w:tcPr>
            <w:tcW w:w="754" w:type="pct"/>
            <w:noWrap/>
            <w:vAlign w:val="center"/>
          </w:tcPr>
          <w:p w14:paraId="48E94153">
            <w:pPr>
              <w:pStyle w:val="94"/>
              <w:rPr>
                <w:rFonts w:ascii="Times New Roman" w:hAnsi="Times New Roman" w:eastAsia="Times New Roman" w:cs="Times New Roman"/>
                <w:color w:val="auto"/>
                <w:sz w:val="20"/>
                <w:szCs w:val="20"/>
              </w:rPr>
            </w:pPr>
          </w:p>
        </w:tc>
        <w:tc>
          <w:tcPr>
            <w:tcW w:w="822" w:type="pct"/>
            <w:noWrap/>
            <w:vAlign w:val="center"/>
          </w:tcPr>
          <w:p w14:paraId="377BF36E">
            <w:pPr>
              <w:pStyle w:val="94"/>
              <w:rPr>
                <w:rFonts w:ascii="Times New Roman" w:hAnsi="Times New Roman" w:eastAsia="Times New Roman" w:cs="Times New Roman"/>
                <w:color w:val="auto"/>
                <w:sz w:val="20"/>
                <w:szCs w:val="20"/>
              </w:rPr>
            </w:pPr>
          </w:p>
        </w:tc>
      </w:tr>
      <w:tr w14:paraId="3B638D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431" w:type="pct"/>
            <w:noWrap/>
            <w:vAlign w:val="center"/>
          </w:tcPr>
          <w:p w14:paraId="2ED11A28">
            <w:pPr>
              <w:pStyle w:val="94"/>
              <w:rPr>
                <w:color w:val="auto"/>
              </w:rPr>
            </w:pPr>
            <w:r>
              <w:rPr>
                <w:color w:val="auto"/>
              </w:rPr>
              <w:t>雀形目</w:t>
            </w:r>
          </w:p>
        </w:tc>
        <w:tc>
          <w:tcPr>
            <w:tcW w:w="431" w:type="pct"/>
            <w:noWrap/>
            <w:vAlign w:val="center"/>
          </w:tcPr>
          <w:p w14:paraId="26E53039">
            <w:pPr>
              <w:pStyle w:val="94"/>
              <w:rPr>
                <w:color w:val="auto"/>
              </w:rPr>
            </w:pPr>
            <w:r>
              <w:rPr>
                <w:color w:val="auto"/>
              </w:rPr>
              <w:t>雀科</w:t>
            </w:r>
          </w:p>
        </w:tc>
        <w:tc>
          <w:tcPr>
            <w:tcW w:w="431" w:type="pct"/>
            <w:vAlign w:val="center"/>
          </w:tcPr>
          <w:p w14:paraId="4177BD52">
            <w:pPr>
              <w:pStyle w:val="94"/>
              <w:rPr>
                <w:color w:val="auto"/>
              </w:rPr>
            </w:pPr>
            <w:r>
              <w:rPr>
                <w:color w:val="auto"/>
              </w:rPr>
              <w:t>麻雀</w:t>
            </w:r>
          </w:p>
        </w:tc>
        <w:tc>
          <w:tcPr>
            <w:tcW w:w="1123" w:type="pct"/>
            <w:noWrap/>
            <w:vAlign w:val="center"/>
          </w:tcPr>
          <w:p w14:paraId="29A6B8A0">
            <w:pPr>
              <w:pStyle w:val="94"/>
              <w:rPr>
                <w:i/>
                <w:iCs/>
                <w:color w:val="auto"/>
              </w:rPr>
            </w:pPr>
            <w:r>
              <w:rPr>
                <w:i/>
                <w:iCs/>
                <w:color w:val="auto"/>
              </w:rPr>
              <w:t>Passer montanus</w:t>
            </w:r>
          </w:p>
        </w:tc>
        <w:tc>
          <w:tcPr>
            <w:tcW w:w="526" w:type="pct"/>
            <w:noWrap/>
            <w:vAlign w:val="center"/>
          </w:tcPr>
          <w:p w14:paraId="7C0590B0">
            <w:pPr>
              <w:pStyle w:val="94"/>
              <w:rPr>
                <w:color w:val="auto"/>
              </w:rPr>
            </w:pPr>
            <w:r>
              <w:rPr>
                <w:color w:val="auto"/>
              </w:rPr>
              <w:t>LC</w:t>
            </w:r>
          </w:p>
        </w:tc>
        <w:tc>
          <w:tcPr>
            <w:tcW w:w="483" w:type="pct"/>
            <w:noWrap/>
            <w:vAlign w:val="center"/>
          </w:tcPr>
          <w:p w14:paraId="7C8CA379">
            <w:pPr>
              <w:pStyle w:val="94"/>
              <w:rPr>
                <w:color w:val="auto"/>
              </w:rPr>
            </w:pPr>
          </w:p>
        </w:tc>
        <w:tc>
          <w:tcPr>
            <w:tcW w:w="754" w:type="pct"/>
            <w:noWrap/>
            <w:vAlign w:val="center"/>
          </w:tcPr>
          <w:p w14:paraId="3A685CC2">
            <w:pPr>
              <w:pStyle w:val="94"/>
              <w:rPr>
                <w:rFonts w:ascii="Times New Roman" w:hAnsi="Times New Roman" w:eastAsia="Times New Roman" w:cs="Times New Roman"/>
                <w:color w:val="auto"/>
                <w:sz w:val="20"/>
                <w:szCs w:val="20"/>
              </w:rPr>
            </w:pPr>
          </w:p>
        </w:tc>
        <w:tc>
          <w:tcPr>
            <w:tcW w:w="822" w:type="pct"/>
            <w:noWrap/>
            <w:vAlign w:val="center"/>
          </w:tcPr>
          <w:p w14:paraId="50BB456F">
            <w:pPr>
              <w:pStyle w:val="94"/>
              <w:rPr>
                <w:rFonts w:ascii="Times New Roman" w:hAnsi="Times New Roman" w:eastAsia="Times New Roman" w:cs="Times New Roman"/>
                <w:color w:val="auto"/>
                <w:sz w:val="20"/>
                <w:szCs w:val="20"/>
              </w:rPr>
            </w:pPr>
          </w:p>
        </w:tc>
      </w:tr>
      <w:tr w14:paraId="3F83F8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31" w:type="pct"/>
            <w:noWrap/>
            <w:vAlign w:val="center"/>
          </w:tcPr>
          <w:p w14:paraId="753F7505">
            <w:pPr>
              <w:pStyle w:val="94"/>
              <w:rPr>
                <w:color w:val="auto"/>
              </w:rPr>
            </w:pPr>
            <w:r>
              <w:rPr>
                <w:color w:val="auto"/>
              </w:rPr>
              <w:t>雀形目</w:t>
            </w:r>
          </w:p>
        </w:tc>
        <w:tc>
          <w:tcPr>
            <w:tcW w:w="431" w:type="pct"/>
            <w:noWrap/>
            <w:vAlign w:val="center"/>
          </w:tcPr>
          <w:p w14:paraId="1E794A16">
            <w:pPr>
              <w:pStyle w:val="94"/>
              <w:rPr>
                <w:color w:val="auto"/>
              </w:rPr>
            </w:pPr>
            <w:r>
              <w:rPr>
                <w:color w:val="auto"/>
              </w:rPr>
              <w:t>鹀科</w:t>
            </w:r>
          </w:p>
        </w:tc>
        <w:tc>
          <w:tcPr>
            <w:tcW w:w="431" w:type="pct"/>
            <w:vAlign w:val="center"/>
          </w:tcPr>
          <w:p w14:paraId="2E1BFED7">
            <w:pPr>
              <w:pStyle w:val="94"/>
              <w:rPr>
                <w:color w:val="auto"/>
              </w:rPr>
            </w:pPr>
            <w:r>
              <w:rPr>
                <w:color w:val="auto"/>
              </w:rPr>
              <w:t>灰头鹀</w:t>
            </w:r>
          </w:p>
        </w:tc>
        <w:tc>
          <w:tcPr>
            <w:tcW w:w="1123" w:type="pct"/>
            <w:noWrap/>
            <w:vAlign w:val="center"/>
          </w:tcPr>
          <w:p w14:paraId="030C5793">
            <w:pPr>
              <w:pStyle w:val="94"/>
              <w:rPr>
                <w:i/>
                <w:iCs/>
                <w:color w:val="auto"/>
              </w:rPr>
            </w:pPr>
            <w:r>
              <w:rPr>
                <w:i/>
                <w:iCs/>
                <w:color w:val="auto"/>
              </w:rPr>
              <w:t>Emberiza spodocephala</w:t>
            </w:r>
          </w:p>
        </w:tc>
        <w:tc>
          <w:tcPr>
            <w:tcW w:w="526" w:type="pct"/>
            <w:noWrap/>
            <w:vAlign w:val="center"/>
          </w:tcPr>
          <w:p w14:paraId="0B88513C">
            <w:pPr>
              <w:pStyle w:val="94"/>
              <w:rPr>
                <w:color w:val="auto"/>
              </w:rPr>
            </w:pPr>
            <w:r>
              <w:rPr>
                <w:color w:val="auto"/>
              </w:rPr>
              <w:t>LC</w:t>
            </w:r>
          </w:p>
        </w:tc>
        <w:tc>
          <w:tcPr>
            <w:tcW w:w="483" w:type="pct"/>
            <w:noWrap/>
            <w:vAlign w:val="center"/>
          </w:tcPr>
          <w:p w14:paraId="07A1326F">
            <w:pPr>
              <w:pStyle w:val="94"/>
              <w:rPr>
                <w:color w:val="auto"/>
              </w:rPr>
            </w:pPr>
          </w:p>
        </w:tc>
        <w:tc>
          <w:tcPr>
            <w:tcW w:w="754" w:type="pct"/>
            <w:noWrap/>
            <w:vAlign w:val="center"/>
          </w:tcPr>
          <w:p w14:paraId="4E18894E">
            <w:pPr>
              <w:pStyle w:val="94"/>
              <w:rPr>
                <w:rFonts w:ascii="Times New Roman" w:hAnsi="Times New Roman" w:eastAsia="Times New Roman" w:cs="Times New Roman"/>
                <w:color w:val="auto"/>
                <w:sz w:val="20"/>
                <w:szCs w:val="20"/>
              </w:rPr>
            </w:pPr>
          </w:p>
        </w:tc>
        <w:tc>
          <w:tcPr>
            <w:tcW w:w="822" w:type="pct"/>
            <w:noWrap/>
            <w:vAlign w:val="center"/>
          </w:tcPr>
          <w:p w14:paraId="1E5860BD">
            <w:pPr>
              <w:pStyle w:val="94"/>
              <w:rPr>
                <w:rFonts w:ascii="Times New Roman" w:hAnsi="Times New Roman" w:eastAsia="Times New Roman" w:cs="Times New Roman"/>
                <w:color w:val="auto"/>
                <w:sz w:val="20"/>
                <w:szCs w:val="20"/>
              </w:rPr>
            </w:pPr>
          </w:p>
        </w:tc>
      </w:tr>
      <w:tr w14:paraId="761FFB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431" w:type="pct"/>
            <w:noWrap/>
            <w:vAlign w:val="center"/>
          </w:tcPr>
          <w:p w14:paraId="44E97E50">
            <w:pPr>
              <w:pStyle w:val="94"/>
              <w:rPr>
                <w:color w:val="auto"/>
              </w:rPr>
            </w:pPr>
            <w:r>
              <w:rPr>
                <w:color w:val="auto"/>
              </w:rPr>
              <w:t>雀形目</w:t>
            </w:r>
          </w:p>
        </w:tc>
        <w:tc>
          <w:tcPr>
            <w:tcW w:w="431" w:type="pct"/>
            <w:noWrap/>
            <w:vAlign w:val="center"/>
          </w:tcPr>
          <w:p w14:paraId="4C9FAA3D">
            <w:pPr>
              <w:pStyle w:val="94"/>
              <w:rPr>
                <w:color w:val="auto"/>
              </w:rPr>
            </w:pPr>
            <w:r>
              <w:rPr>
                <w:color w:val="auto"/>
              </w:rPr>
              <w:t>鹀科</w:t>
            </w:r>
          </w:p>
        </w:tc>
        <w:tc>
          <w:tcPr>
            <w:tcW w:w="431" w:type="pct"/>
            <w:vAlign w:val="center"/>
          </w:tcPr>
          <w:p w14:paraId="2452C492">
            <w:pPr>
              <w:pStyle w:val="94"/>
              <w:rPr>
                <w:color w:val="auto"/>
              </w:rPr>
            </w:pPr>
            <w:r>
              <w:rPr>
                <w:color w:val="auto"/>
              </w:rPr>
              <w:t>田鹀</w:t>
            </w:r>
          </w:p>
        </w:tc>
        <w:tc>
          <w:tcPr>
            <w:tcW w:w="1123" w:type="pct"/>
            <w:noWrap/>
            <w:vAlign w:val="center"/>
          </w:tcPr>
          <w:p w14:paraId="164BE9C9">
            <w:pPr>
              <w:pStyle w:val="94"/>
              <w:rPr>
                <w:i/>
                <w:iCs/>
                <w:color w:val="auto"/>
              </w:rPr>
            </w:pPr>
            <w:r>
              <w:rPr>
                <w:i/>
                <w:iCs/>
                <w:color w:val="auto"/>
              </w:rPr>
              <w:t>Emberiza rustica</w:t>
            </w:r>
          </w:p>
        </w:tc>
        <w:tc>
          <w:tcPr>
            <w:tcW w:w="526" w:type="pct"/>
            <w:noWrap/>
            <w:vAlign w:val="center"/>
          </w:tcPr>
          <w:p w14:paraId="79548833">
            <w:pPr>
              <w:pStyle w:val="94"/>
              <w:rPr>
                <w:color w:val="auto"/>
              </w:rPr>
            </w:pPr>
            <w:r>
              <w:rPr>
                <w:color w:val="auto"/>
              </w:rPr>
              <w:t>LC</w:t>
            </w:r>
          </w:p>
        </w:tc>
        <w:tc>
          <w:tcPr>
            <w:tcW w:w="483" w:type="pct"/>
            <w:noWrap/>
            <w:vAlign w:val="center"/>
          </w:tcPr>
          <w:p w14:paraId="3AFA17F8">
            <w:pPr>
              <w:pStyle w:val="94"/>
              <w:rPr>
                <w:color w:val="auto"/>
              </w:rPr>
            </w:pPr>
          </w:p>
        </w:tc>
        <w:tc>
          <w:tcPr>
            <w:tcW w:w="754" w:type="pct"/>
            <w:noWrap/>
            <w:vAlign w:val="center"/>
          </w:tcPr>
          <w:p w14:paraId="27766049">
            <w:pPr>
              <w:pStyle w:val="94"/>
              <w:rPr>
                <w:rFonts w:ascii="Times New Roman" w:hAnsi="Times New Roman" w:eastAsia="Times New Roman" w:cs="Times New Roman"/>
                <w:color w:val="auto"/>
                <w:sz w:val="20"/>
                <w:szCs w:val="20"/>
              </w:rPr>
            </w:pPr>
          </w:p>
        </w:tc>
        <w:tc>
          <w:tcPr>
            <w:tcW w:w="822" w:type="pct"/>
            <w:noWrap/>
            <w:vAlign w:val="center"/>
          </w:tcPr>
          <w:p w14:paraId="0358862C">
            <w:pPr>
              <w:pStyle w:val="94"/>
              <w:rPr>
                <w:rFonts w:ascii="Times New Roman" w:hAnsi="Times New Roman" w:eastAsia="Times New Roman" w:cs="Times New Roman"/>
                <w:color w:val="auto"/>
                <w:sz w:val="20"/>
                <w:szCs w:val="20"/>
              </w:rPr>
            </w:pPr>
          </w:p>
        </w:tc>
      </w:tr>
      <w:tr w14:paraId="7094EA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431" w:type="pct"/>
            <w:noWrap/>
            <w:vAlign w:val="center"/>
          </w:tcPr>
          <w:p w14:paraId="440271EB">
            <w:pPr>
              <w:pStyle w:val="94"/>
              <w:rPr>
                <w:color w:val="auto"/>
              </w:rPr>
            </w:pPr>
            <w:r>
              <w:rPr>
                <w:color w:val="auto"/>
              </w:rPr>
              <w:t>雀形目</w:t>
            </w:r>
          </w:p>
        </w:tc>
        <w:tc>
          <w:tcPr>
            <w:tcW w:w="431" w:type="pct"/>
            <w:noWrap/>
            <w:vAlign w:val="center"/>
          </w:tcPr>
          <w:p w14:paraId="2CD91D9D">
            <w:pPr>
              <w:pStyle w:val="94"/>
              <w:rPr>
                <w:color w:val="auto"/>
              </w:rPr>
            </w:pPr>
            <w:r>
              <w:rPr>
                <w:color w:val="auto"/>
              </w:rPr>
              <w:t>鹟科</w:t>
            </w:r>
          </w:p>
        </w:tc>
        <w:tc>
          <w:tcPr>
            <w:tcW w:w="431" w:type="pct"/>
            <w:noWrap/>
            <w:vAlign w:val="center"/>
          </w:tcPr>
          <w:p w14:paraId="2051D053">
            <w:pPr>
              <w:pStyle w:val="94"/>
              <w:rPr>
                <w:color w:val="auto"/>
              </w:rPr>
            </w:pPr>
            <w:r>
              <w:rPr>
                <w:color w:val="auto"/>
              </w:rPr>
              <w:t>赭红尾鸲</w:t>
            </w:r>
          </w:p>
        </w:tc>
        <w:tc>
          <w:tcPr>
            <w:tcW w:w="1123" w:type="pct"/>
            <w:noWrap/>
            <w:vAlign w:val="center"/>
          </w:tcPr>
          <w:p w14:paraId="7DB1D425">
            <w:pPr>
              <w:pStyle w:val="94"/>
              <w:rPr>
                <w:i/>
                <w:iCs/>
                <w:color w:val="auto"/>
              </w:rPr>
            </w:pPr>
            <w:r>
              <w:rPr>
                <w:i/>
                <w:iCs/>
                <w:color w:val="auto"/>
              </w:rPr>
              <w:t>Phoenicurus ochruros</w:t>
            </w:r>
          </w:p>
        </w:tc>
        <w:tc>
          <w:tcPr>
            <w:tcW w:w="526" w:type="pct"/>
            <w:noWrap/>
            <w:vAlign w:val="center"/>
          </w:tcPr>
          <w:p w14:paraId="2A248109">
            <w:pPr>
              <w:pStyle w:val="94"/>
              <w:rPr>
                <w:color w:val="auto"/>
              </w:rPr>
            </w:pPr>
            <w:r>
              <w:rPr>
                <w:color w:val="auto"/>
              </w:rPr>
              <w:t>LC</w:t>
            </w:r>
          </w:p>
        </w:tc>
        <w:tc>
          <w:tcPr>
            <w:tcW w:w="483" w:type="pct"/>
            <w:noWrap/>
            <w:vAlign w:val="center"/>
          </w:tcPr>
          <w:p w14:paraId="5576F7D5">
            <w:pPr>
              <w:pStyle w:val="94"/>
              <w:rPr>
                <w:color w:val="auto"/>
              </w:rPr>
            </w:pPr>
          </w:p>
        </w:tc>
        <w:tc>
          <w:tcPr>
            <w:tcW w:w="754" w:type="pct"/>
            <w:noWrap/>
            <w:vAlign w:val="center"/>
          </w:tcPr>
          <w:p w14:paraId="500E7DBF">
            <w:pPr>
              <w:pStyle w:val="94"/>
              <w:rPr>
                <w:rFonts w:ascii="Times New Roman" w:hAnsi="Times New Roman" w:eastAsia="Times New Roman" w:cs="Times New Roman"/>
                <w:color w:val="auto"/>
                <w:sz w:val="20"/>
                <w:szCs w:val="20"/>
              </w:rPr>
            </w:pPr>
          </w:p>
        </w:tc>
        <w:tc>
          <w:tcPr>
            <w:tcW w:w="822" w:type="pct"/>
            <w:noWrap/>
            <w:vAlign w:val="center"/>
          </w:tcPr>
          <w:p w14:paraId="56FADA48">
            <w:pPr>
              <w:pStyle w:val="94"/>
              <w:rPr>
                <w:rFonts w:ascii="Times New Roman" w:hAnsi="Times New Roman" w:eastAsia="Times New Roman" w:cs="Times New Roman"/>
                <w:color w:val="auto"/>
                <w:sz w:val="20"/>
                <w:szCs w:val="20"/>
              </w:rPr>
            </w:pPr>
          </w:p>
        </w:tc>
      </w:tr>
      <w:tr w14:paraId="0683F4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431" w:type="pct"/>
            <w:noWrap/>
            <w:vAlign w:val="center"/>
          </w:tcPr>
          <w:p w14:paraId="1BF32601">
            <w:pPr>
              <w:pStyle w:val="94"/>
              <w:rPr>
                <w:color w:val="auto"/>
              </w:rPr>
            </w:pPr>
            <w:r>
              <w:rPr>
                <w:color w:val="auto"/>
              </w:rPr>
              <w:t>雨燕目</w:t>
            </w:r>
          </w:p>
        </w:tc>
        <w:tc>
          <w:tcPr>
            <w:tcW w:w="431" w:type="pct"/>
            <w:noWrap/>
            <w:vAlign w:val="center"/>
          </w:tcPr>
          <w:p w14:paraId="5A05C150">
            <w:pPr>
              <w:pStyle w:val="94"/>
              <w:rPr>
                <w:color w:val="auto"/>
              </w:rPr>
            </w:pPr>
            <w:r>
              <w:rPr>
                <w:color w:val="auto"/>
              </w:rPr>
              <w:t>雨燕科</w:t>
            </w:r>
          </w:p>
        </w:tc>
        <w:tc>
          <w:tcPr>
            <w:tcW w:w="431" w:type="pct"/>
            <w:noWrap/>
            <w:vAlign w:val="center"/>
          </w:tcPr>
          <w:p w14:paraId="29D608CF">
            <w:pPr>
              <w:pStyle w:val="94"/>
              <w:rPr>
                <w:color w:val="auto"/>
              </w:rPr>
            </w:pPr>
            <w:r>
              <w:rPr>
                <w:color w:val="auto"/>
              </w:rPr>
              <w:t>普通雨燕</w:t>
            </w:r>
          </w:p>
        </w:tc>
        <w:tc>
          <w:tcPr>
            <w:tcW w:w="1123" w:type="pct"/>
            <w:noWrap/>
            <w:vAlign w:val="center"/>
          </w:tcPr>
          <w:p w14:paraId="131CB283">
            <w:pPr>
              <w:pStyle w:val="94"/>
              <w:rPr>
                <w:i/>
                <w:iCs/>
                <w:color w:val="auto"/>
              </w:rPr>
            </w:pPr>
            <w:r>
              <w:rPr>
                <w:i/>
                <w:iCs/>
                <w:color w:val="auto"/>
              </w:rPr>
              <w:t>Apus apus</w:t>
            </w:r>
          </w:p>
        </w:tc>
        <w:tc>
          <w:tcPr>
            <w:tcW w:w="526" w:type="pct"/>
            <w:noWrap/>
            <w:vAlign w:val="center"/>
          </w:tcPr>
          <w:p w14:paraId="4EF8FFBD">
            <w:pPr>
              <w:pStyle w:val="94"/>
              <w:rPr>
                <w:color w:val="auto"/>
              </w:rPr>
            </w:pPr>
            <w:r>
              <w:rPr>
                <w:color w:val="auto"/>
              </w:rPr>
              <w:t>LC</w:t>
            </w:r>
          </w:p>
        </w:tc>
        <w:tc>
          <w:tcPr>
            <w:tcW w:w="483" w:type="pct"/>
            <w:noWrap/>
            <w:vAlign w:val="center"/>
          </w:tcPr>
          <w:p w14:paraId="4177DFAF">
            <w:pPr>
              <w:pStyle w:val="94"/>
              <w:rPr>
                <w:color w:val="auto"/>
              </w:rPr>
            </w:pPr>
          </w:p>
        </w:tc>
        <w:tc>
          <w:tcPr>
            <w:tcW w:w="754" w:type="pct"/>
            <w:noWrap/>
            <w:vAlign w:val="center"/>
          </w:tcPr>
          <w:p w14:paraId="2ECD173D">
            <w:pPr>
              <w:pStyle w:val="94"/>
              <w:rPr>
                <w:rFonts w:ascii="Times New Roman" w:hAnsi="Times New Roman" w:eastAsia="Times New Roman" w:cs="Times New Roman"/>
                <w:color w:val="auto"/>
                <w:sz w:val="20"/>
                <w:szCs w:val="20"/>
              </w:rPr>
            </w:pPr>
          </w:p>
        </w:tc>
        <w:tc>
          <w:tcPr>
            <w:tcW w:w="822" w:type="pct"/>
            <w:noWrap/>
            <w:vAlign w:val="center"/>
          </w:tcPr>
          <w:p w14:paraId="0D0150C3">
            <w:pPr>
              <w:pStyle w:val="94"/>
              <w:rPr>
                <w:rFonts w:ascii="Times New Roman" w:hAnsi="Times New Roman" w:eastAsia="Times New Roman" w:cs="Times New Roman"/>
                <w:color w:val="auto"/>
                <w:sz w:val="20"/>
                <w:szCs w:val="20"/>
              </w:rPr>
            </w:pPr>
          </w:p>
        </w:tc>
      </w:tr>
    </w:tbl>
    <w:p w14:paraId="0F56EDE7">
      <w:pPr>
        <w:pStyle w:val="96"/>
        <w:ind w:firstLine="480"/>
        <w:rPr>
          <w:rFonts w:cs="Arial"/>
        </w:rPr>
      </w:pPr>
      <w:r>
        <w:rPr>
          <w:rFonts w:hint="eastAsia"/>
        </w:rPr>
        <w:t>3、两栖爬行动物</w:t>
      </w:r>
    </w:p>
    <w:p w14:paraId="14F1824C">
      <w:pPr>
        <w:pStyle w:val="96"/>
        <w:ind w:firstLine="480"/>
      </w:pPr>
      <w:r>
        <w:rPr>
          <w:rFonts w:hint="eastAsia"/>
        </w:rPr>
        <w:t>经查阅相关资料，访问当地居民，调查共有3目5科</w:t>
      </w:r>
      <w:r>
        <w:t>6</w:t>
      </w:r>
      <w:r>
        <w:rPr>
          <w:rFonts w:hint="eastAsia"/>
        </w:rPr>
        <w:t>种两栖爬行类野生动物，其中无山西省重点保护野生动物，无国家重点保护野生动物，无“三危”物种，无特有种。具体见下表。</w:t>
      </w:r>
    </w:p>
    <w:p w14:paraId="10206D1D">
      <w:pPr>
        <w:pStyle w:val="19"/>
        <w:keepNext/>
      </w:pPr>
      <w:r>
        <w:t xml:space="preserve">表 </w:t>
      </w:r>
      <w:r>
        <w:fldChar w:fldCharType="begin"/>
      </w:r>
      <w:r>
        <w:instrText xml:space="preserve"> SEQ 表 \* ARABIC </w:instrText>
      </w:r>
      <w:r>
        <w:fldChar w:fldCharType="separate"/>
      </w:r>
      <w:r>
        <w:t>72</w:t>
      </w:r>
      <w:r>
        <w:fldChar w:fldCharType="end"/>
      </w:r>
      <w:r>
        <w:rPr>
          <w:rFonts w:hint="eastAsia"/>
        </w:rPr>
        <w:t>调查样区两栖类名录</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30"/>
        <w:gridCol w:w="1034"/>
        <w:gridCol w:w="2777"/>
        <w:gridCol w:w="3926"/>
        <w:gridCol w:w="1337"/>
        <w:gridCol w:w="1337"/>
        <w:gridCol w:w="1337"/>
        <w:gridCol w:w="2836"/>
      </w:tblGrid>
      <w:tr w14:paraId="41E2FF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0" w:hRule="atLeast"/>
        </w:trPr>
        <w:tc>
          <w:tcPr>
            <w:tcW w:w="330" w:type="pct"/>
            <w:noWrap/>
            <w:vAlign w:val="center"/>
          </w:tcPr>
          <w:p w14:paraId="47069A4C">
            <w:pPr>
              <w:pStyle w:val="94"/>
              <w:rPr>
                <w:color w:val="auto"/>
              </w:rPr>
            </w:pPr>
            <w:r>
              <w:rPr>
                <w:rFonts w:hint="eastAsia"/>
                <w:color w:val="auto"/>
              </w:rPr>
              <w:t>目</w:t>
            </w:r>
          </w:p>
        </w:tc>
        <w:tc>
          <w:tcPr>
            <w:tcW w:w="331" w:type="pct"/>
            <w:noWrap/>
            <w:vAlign w:val="center"/>
          </w:tcPr>
          <w:p w14:paraId="635A2841">
            <w:pPr>
              <w:pStyle w:val="94"/>
              <w:rPr>
                <w:color w:val="auto"/>
              </w:rPr>
            </w:pPr>
            <w:r>
              <w:rPr>
                <w:rFonts w:hint="eastAsia"/>
                <w:color w:val="auto"/>
              </w:rPr>
              <w:t>科</w:t>
            </w:r>
          </w:p>
        </w:tc>
        <w:tc>
          <w:tcPr>
            <w:tcW w:w="889" w:type="pct"/>
            <w:noWrap/>
            <w:vAlign w:val="center"/>
          </w:tcPr>
          <w:p w14:paraId="14C72CDE">
            <w:pPr>
              <w:pStyle w:val="94"/>
              <w:rPr>
                <w:color w:val="auto"/>
              </w:rPr>
            </w:pPr>
            <w:r>
              <w:rPr>
                <w:rFonts w:hint="eastAsia"/>
                <w:color w:val="auto"/>
              </w:rPr>
              <w:t>种名</w:t>
            </w:r>
          </w:p>
        </w:tc>
        <w:tc>
          <w:tcPr>
            <w:tcW w:w="1257" w:type="pct"/>
            <w:noWrap/>
            <w:vAlign w:val="center"/>
          </w:tcPr>
          <w:p w14:paraId="3810FFAA">
            <w:pPr>
              <w:pStyle w:val="94"/>
              <w:rPr>
                <w:color w:val="auto"/>
              </w:rPr>
            </w:pPr>
            <w:r>
              <w:rPr>
                <w:rFonts w:hint="eastAsia"/>
                <w:color w:val="auto"/>
              </w:rPr>
              <w:t>拉丁学名</w:t>
            </w:r>
          </w:p>
        </w:tc>
        <w:tc>
          <w:tcPr>
            <w:tcW w:w="428" w:type="pct"/>
            <w:vAlign w:val="center"/>
          </w:tcPr>
          <w:p w14:paraId="7F2CED61">
            <w:pPr>
              <w:pStyle w:val="94"/>
              <w:rPr>
                <w:color w:val="auto"/>
              </w:rPr>
            </w:pPr>
            <w:r>
              <w:rPr>
                <w:rFonts w:hint="eastAsia"/>
                <w:color w:val="auto"/>
              </w:rPr>
              <w:t>中国生物多样性红色名录濒危物种</w:t>
            </w:r>
          </w:p>
        </w:tc>
        <w:tc>
          <w:tcPr>
            <w:tcW w:w="428" w:type="pct"/>
            <w:vAlign w:val="center"/>
          </w:tcPr>
          <w:p w14:paraId="799B8D28">
            <w:pPr>
              <w:pStyle w:val="94"/>
              <w:rPr>
                <w:color w:val="auto"/>
              </w:rPr>
            </w:pPr>
            <w:r>
              <w:rPr>
                <w:rFonts w:hint="eastAsia"/>
                <w:color w:val="auto"/>
              </w:rPr>
              <w:t>是否为特有种</w:t>
            </w:r>
          </w:p>
        </w:tc>
        <w:tc>
          <w:tcPr>
            <w:tcW w:w="428" w:type="pct"/>
            <w:vAlign w:val="center"/>
          </w:tcPr>
          <w:p w14:paraId="5F833F86">
            <w:pPr>
              <w:pStyle w:val="94"/>
              <w:rPr>
                <w:color w:val="auto"/>
              </w:rPr>
            </w:pPr>
            <w:r>
              <w:rPr>
                <w:rFonts w:hint="eastAsia"/>
                <w:color w:val="auto"/>
              </w:rPr>
              <w:t>省级重点保护野生动物</w:t>
            </w:r>
          </w:p>
        </w:tc>
        <w:tc>
          <w:tcPr>
            <w:tcW w:w="908" w:type="pct"/>
            <w:noWrap/>
            <w:vAlign w:val="center"/>
          </w:tcPr>
          <w:p w14:paraId="4928EB98">
            <w:pPr>
              <w:pStyle w:val="94"/>
              <w:rPr>
                <w:color w:val="auto"/>
              </w:rPr>
            </w:pPr>
            <w:r>
              <w:rPr>
                <w:rFonts w:hint="eastAsia"/>
                <w:color w:val="auto"/>
              </w:rPr>
              <w:t>国家级重点保护野生动物</w:t>
            </w:r>
          </w:p>
        </w:tc>
      </w:tr>
      <w:tr w14:paraId="610777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0" w:hRule="atLeast"/>
        </w:trPr>
        <w:tc>
          <w:tcPr>
            <w:tcW w:w="330" w:type="pct"/>
            <w:vAlign w:val="center"/>
          </w:tcPr>
          <w:p w14:paraId="3C833140">
            <w:pPr>
              <w:pStyle w:val="94"/>
              <w:rPr>
                <w:color w:val="auto"/>
              </w:rPr>
            </w:pPr>
            <w:r>
              <w:rPr>
                <w:rFonts w:hint="eastAsia"/>
                <w:color w:val="auto"/>
              </w:rPr>
              <w:t>无尾目</w:t>
            </w:r>
          </w:p>
        </w:tc>
        <w:tc>
          <w:tcPr>
            <w:tcW w:w="331" w:type="pct"/>
            <w:vAlign w:val="center"/>
          </w:tcPr>
          <w:p w14:paraId="100541C4">
            <w:pPr>
              <w:pStyle w:val="94"/>
              <w:rPr>
                <w:color w:val="auto"/>
              </w:rPr>
            </w:pPr>
            <w:r>
              <w:rPr>
                <w:rFonts w:hint="eastAsia"/>
                <w:color w:val="auto"/>
              </w:rPr>
              <w:t>蟾蜍科</w:t>
            </w:r>
          </w:p>
        </w:tc>
        <w:tc>
          <w:tcPr>
            <w:tcW w:w="889" w:type="pct"/>
            <w:noWrap/>
            <w:vAlign w:val="center"/>
          </w:tcPr>
          <w:p w14:paraId="34B8A3B1">
            <w:pPr>
              <w:pStyle w:val="94"/>
              <w:rPr>
                <w:color w:val="auto"/>
              </w:rPr>
            </w:pPr>
            <w:r>
              <w:rPr>
                <w:rFonts w:hint="eastAsia"/>
                <w:color w:val="auto"/>
              </w:rPr>
              <w:t>中华大蟾蜍</w:t>
            </w:r>
          </w:p>
        </w:tc>
        <w:tc>
          <w:tcPr>
            <w:tcW w:w="1257" w:type="pct"/>
            <w:noWrap/>
            <w:vAlign w:val="center"/>
          </w:tcPr>
          <w:p w14:paraId="2A6C8C94">
            <w:pPr>
              <w:pStyle w:val="94"/>
              <w:rPr>
                <w:i/>
                <w:iCs/>
                <w:color w:val="auto"/>
              </w:rPr>
            </w:pPr>
            <w:r>
              <w:rPr>
                <w:rFonts w:hint="eastAsia"/>
                <w:i/>
                <w:iCs/>
                <w:color w:val="auto"/>
              </w:rPr>
              <w:t>Bufo gargarizans</w:t>
            </w:r>
          </w:p>
        </w:tc>
        <w:tc>
          <w:tcPr>
            <w:tcW w:w="428" w:type="pct"/>
            <w:vAlign w:val="center"/>
          </w:tcPr>
          <w:p w14:paraId="2159C3FD">
            <w:pPr>
              <w:pStyle w:val="94"/>
              <w:rPr>
                <w:color w:val="auto"/>
              </w:rPr>
            </w:pPr>
          </w:p>
        </w:tc>
        <w:tc>
          <w:tcPr>
            <w:tcW w:w="428" w:type="pct"/>
            <w:vAlign w:val="center"/>
          </w:tcPr>
          <w:p w14:paraId="0BC0798F">
            <w:pPr>
              <w:pStyle w:val="94"/>
              <w:rPr>
                <w:color w:val="auto"/>
              </w:rPr>
            </w:pPr>
          </w:p>
        </w:tc>
        <w:tc>
          <w:tcPr>
            <w:tcW w:w="428" w:type="pct"/>
            <w:vAlign w:val="center"/>
          </w:tcPr>
          <w:p w14:paraId="720422B6">
            <w:pPr>
              <w:pStyle w:val="94"/>
              <w:rPr>
                <w:color w:val="auto"/>
              </w:rPr>
            </w:pPr>
          </w:p>
        </w:tc>
        <w:tc>
          <w:tcPr>
            <w:tcW w:w="908" w:type="pct"/>
            <w:noWrap/>
            <w:vAlign w:val="center"/>
          </w:tcPr>
          <w:p w14:paraId="23B49010">
            <w:pPr>
              <w:pStyle w:val="94"/>
              <w:rPr>
                <w:color w:val="auto"/>
              </w:rPr>
            </w:pPr>
          </w:p>
        </w:tc>
      </w:tr>
      <w:tr w14:paraId="4CDCC9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0" w:hRule="atLeast"/>
        </w:trPr>
        <w:tc>
          <w:tcPr>
            <w:tcW w:w="330" w:type="pct"/>
            <w:vAlign w:val="center"/>
          </w:tcPr>
          <w:p w14:paraId="7686F4B9">
            <w:pPr>
              <w:pStyle w:val="94"/>
              <w:rPr>
                <w:color w:val="auto"/>
              </w:rPr>
            </w:pPr>
            <w:r>
              <w:rPr>
                <w:rFonts w:hint="eastAsia"/>
                <w:color w:val="auto"/>
              </w:rPr>
              <w:t>无尾目</w:t>
            </w:r>
          </w:p>
        </w:tc>
        <w:tc>
          <w:tcPr>
            <w:tcW w:w="331" w:type="pct"/>
            <w:vAlign w:val="center"/>
          </w:tcPr>
          <w:p w14:paraId="326744FC">
            <w:pPr>
              <w:pStyle w:val="94"/>
              <w:rPr>
                <w:color w:val="auto"/>
              </w:rPr>
            </w:pPr>
            <w:r>
              <w:rPr>
                <w:rFonts w:hint="eastAsia"/>
                <w:color w:val="auto"/>
              </w:rPr>
              <w:t>蛙科</w:t>
            </w:r>
          </w:p>
        </w:tc>
        <w:tc>
          <w:tcPr>
            <w:tcW w:w="889" w:type="pct"/>
            <w:noWrap/>
            <w:vAlign w:val="center"/>
          </w:tcPr>
          <w:p w14:paraId="3ECE410D">
            <w:pPr>
              <w:pStyle w:val="94"/>
              <w:rPr>
                <w:color w:val="auto"/>
              </w:rPr>
            </w:pPr>
            <w:r>
              <w:rPr>
                <w:rFonts w:hint="eastAsia"/>
                <w:color w:val="auto"/>
              </w:rPr>
              <w:t>北方狭口蛙</w:t>
            </w:r>
          </w:p>
        </w:tc>
        <w:tc>
          <w:tcPr>
            <w:tcW w:w="1257" w:type="pct"/>
            <w:noWrap/>
            <w:vAlign w:val="center"/>
          </w:tcPr>
          <w:p w14:paraId="09A270D5">
            <w:pPr>
              <w:pStyle w:val="94"/>
              <w:rPr>
                <w:i/>
                <w:iCs/>
                <w:color w:val="auto"/>
              </w:rPr>
            </w:pPr>
            <w:r>
              <w:rPr>
                <w:rFonts w:hint="eastAsia"/>
                <w:i/>
                <w:iCs/>
                <w:color w:val="auto"/>
              </w:rPr>
              <w:t>Boreal Digging Frog</w:t>
            </w:r>
          </w:p>
        </w:tc>
        <w:tc>
          <w:tcPr>
            <w:tcW w:w="428" w:type="pct"/>
            <w:vAlign w:val="center"/>
          </w:tcPr>
          <w:p w14:paraId="37CF5E71">
            <w:pPr>
              <w:pStyle w:val="94"/>
              <w:rPr>
                <w:color w:val="auto"/>
              </w:rPr>
            </w:pPr>
            <w:r>
              <w:rPr>
                <w:rFonts w:hint="eastAsia"/>
                <w:color w:val="auto"/>
              </w:rPr>
              <w:t>LC</w:t>
            </w:r>
          </w:p>
        </w:tc>
        <w:tc>
          <w:tcPr>
            <w:tcW w:w="428" w:type="pct"/>
            <w:vAlign w:val="center"/>
          </w:tcPr>
          <w:p w14:paraId="2966DE55">
            <w:pPr>
              <w:pStyle w:val="94"/>
              <w:rPr>
                <w:color w:val="auto"/>
              </w:rPr>
            </w:pPr>
          </w:p>
        </w:tc>
        <w:tc>
          <w:tcPr>
            <w:tcW w:w="428" w:type="pct"/>
            <w:vAlign w:val="center"/>
          </w:tcPr>
          <w:p w14:paraId="6A6C2F14">
            <w:pPr>
              <w:pStyle w:val="94"/>
              <w:rPr>
                <w:color w:val="auto"/>
              </w:rPr>
            </w:pPr>
          </w:p>
        </w:tc>
        <w:tc>
          <w:tcPr>
            <w:tcW w:w="908" w:type="pct"/>
            <w:noWrap/>
            <w:vAlign w:val="center"/>
          </w:tcPr>
          <w:p w14:paraId="5357080D">
            <w:pPr>
              <w:pStyle w:val="94"/>
              <w:rPr>
                <w:color w:val="auto"/>
              </w:rPr>
            </w:pPr>
          </w:p>
        </w:tc>
      </w:tr>
      <w:tr w14:paraId="1686DC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0" w:hRule="atLeast"/>
        </w:trPr>
        <w:tc>
          <w:tcPr>
            <w:tcW w:w="330" w:type="pct"/>
            <w:vAlign w:val="center"/>
          </w:tcPr>
          <w:p w14:paraId="4D21264A">
            <w:pPr>
              <w:pStyle w:val="94"/>
              <w:rPr>
                <w:color w:val="auto"/>
              </w:rPr>
            </w:pPr>
            <w:r>
              <w:rPr>
                <w:rFonts w:hint="eastAsia"/>
                <w:color w:val="auto"/>
              </w:rPr>
              <w:t>蜥蜴目</w:t>
            </w:r>
          </w:p>
        </w:tc>
        <w:tc>
          <w:tcPr>
            <w:tcW w:w="331" w:type="pct"/>
            <w:vAlign w:val="center"/>
          </w:tcPr>
          <w:p w14:paraId="0BC6CBC3">
            <w:pPr>
              <w:pStyle w:val="94"/>
              <w:rPr>
                <w:color w:val="auto"/>
              </w:rPr>
            </w:pPr>
            <w:r>
              <w:rPr>
                <w:rFonts w:hint="eastAsia"/>
                <w:color w:val="auto"/>
              </w:rPr>
              <w:t>蜥蜴科</w:t>
            </w:r>
          </w:p>
        </w:tc>
        <w:tc>
          <w:tcPr>
            <w:tcW w:w="889" w:type="pct"/>
            <w:noWrap/>
            <w:vAlign w:val="center"/>
          </w:tcPr>
          <w:p w14:paraId="6483BA60">
            <w:pPr>
              <w:pStyle w:val="94"/>
              <w:rPr>
                <w:color w:val="auto"/>
              </w:rPr>
            </w:pPr>
            <w:r>
              <w:rPr>
                <w:rFonts w:hint="eastAsia"/>
                <w:color w:val="auto"/>
              </w:rPr>
              <w:t>丽斑麻蜥</w:t>
            </w:r>
          </w:p>
        </w:tc>
        <w:tc>
          <w:tcPr>
            <w:tcW w:w="1257" w:type="pct"/>
            <w:noWrap/>
            <w:vAlign w:val="center"/>
          </w:tcPr>
          <w:p w14:paraId="2C91DA1B">
            <w:pPr>
              <w:pStyle w:val="94"/>
              <w:rPr>
                <w:i/>
                <w:iCs/>
                <w:color w:val="auto"/>
              </w:rPr>
            </w:pPr>
            <w:r>
              <w:rPr>
                <w:rFonts w:hint="eastAsia"/>
                <w:i/>
                <w:iCs/>
                <w:color w:val="auto"/>
              </w:rPr>
              <w:t>Eremias argu</w:t>
            </w:r>
          </w:p>
        </w:tc>
        <w:tc>
          <w:tcPr>
            <w:tcW w:w="428" w:type="pct"/>
            <w:vAlign w:val="center"/>
          </w:tcPr>
          <w:p w14:paraId="7269007E">
            <w:pPr>
              <w:pStyle w:val="94"/>
              <w:rPr>
                <w:color w:val="auto"/>
              </w:rPr>
            </w:pPr>
            <w:r>
              <w:rPr>
                <w:rFonts w:hint="eastAsia"/>
                <w:color w:val="auto"/>
              </w:rPr>
              <w:t>LC</w:t>
            </w:r>
          </w:p>
        </w:tc>
        <w:tc>
          <w:tcPr>
            <w:tcW w:w="428" w:type="pct"/>
            <w:vAlign w:val="center"/>
          </w:tcPr>
          <w:p w14:paraId="4144D4F0">
            <w:pPr>
              <w:pStyle w:val="94"/>
              <w:rPr>
                <w:color w:val="auto"/>
              </w:rPr>
            </w:pPr>
          </w:p>
        </w:tc>
        <w:tc>
          <w:tcPr>
            <w:tcW w:w="428" w:type="pct"/>
            <w:vAlign w:val="center"/>
          </w:tcPr>
          <w:p w14:paraId="08A9DC13">
            <w:pPr>
              <w:pStyle w:val="94"/>
              <w:rPr>
                <w:color w:val="auto"/>
              </w:rPr>
            </w:pPr>
          </w:p>
        </w:tc>
        <w:tc>
          <w:tcPr>
            <w:tcW w:w="908" w:type="pct"/>
            <w:noWrap/>
            <w:vAlign w:val="center"/>
          </w:tcPr>
          <w:p w14:paraId="776C730E">
            <w:pPr>
              <w:pStyle w:val="94"/>
              <w:rPr>
                <w:color w:val="auto"/>
              </w:rPr>
            </w:pPr>
          </w:p>
        </w:tc>
      </w:tr>
      <w:tr w14:paraId="5B6844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0" w:hRule="atLeast"/>
        </w:trPr>
        <w:tc>
          <w:tcPr>
            <w:tcW w:w="330" w:type="pct"/>
            <w:vAlign w:val="center"/>
          </w:tcPr>
          <w:p w14:paraId="4EB64FDF">
            <w:pPr>
              <w:pStyle w:val="94"/>
              <w:rPr>
                <w:color w:val="auto"/>
              </w:rPr>
            </w:pPr>
            <w:r>
              <w:rPr>
                <w:rFonts w:hint="eastAsia"/>
                <w:color w:val="auto"/>
              </w:rPr>
              <w:t>蜥蜴目</w:t>
            </w:r>
          </w:p>
        </w:tc>
        <w:tc>
          <w:tcPr>
            <w:tcW w:w="331" w:type="pct"/>
            <w:vAlign w:val="center"/>
          </w:tcPr>
          <w:p w14:paraId="4322FEF8">
            <w:pPr>
              <w:pStyle w:val="94"/>
              <w:rPr>
                <w:color w:val="auto"/>
              </w:rPr>
            </w:pPr>
            <w:r>
              <w:rPr>
                <w:rFonts w:hint="eastAsia"/>
                <w:color w:val="auto"/>
              </w:rPr>
              <w:t>蜥蜴科</w:t>
            </w:r>
          </w:p>
        </w:tc>
        <w:tc>
          <w:tcPr>
            <w:tcW w:w="889" w:type="pct"/>
            <w:noWrap/>
            <w:vAlign w:val="center"/>
          </w:tcPr>
          <w:p w14:paraId="309C4B95">
            <w:pPr>
              <w:pStyle w:val="94"/>
              <w:rPr>
                <w:color w:val="auto"/>
              </w:rPr>
            </w:pPr>
            <w:r>
              <w:rPr>
                <w:rFonts w:hint="eastAsia"/>
                <w:color w:val="auto"/>
              </w:rPr>
              <w:t>山地麻蜥</w:t>
            </w:r>
          </w:p>
        </w:tc>
        <w:tc>
          <w:tcPr>
            <w:tcW w:w="1257" w:type="pct"/>
            <w:noWrap/>
            <w:vAlign w:val="center"/>
          </w:tcPr>
          <w:p w14:paraId="770C64A6">
            <w:pPr>
              <w:pStyle w:val="94"/>
              <w:rPr>
                <w:i/>
                <w:iCs/>
                <w:color w:val="auto"/>
              </w:rPr>
            </w:pPr>
            <w:r>
              <w:rPr>
                <w:rFonts w:hint="eastAsia"/>
                <w:i/>
                <w:iCs/>
                <w:color w:val="auto"/>
              </w:rPr>
              <w:t>Eremias brenchleyi</w:t>
            </w:r>
          </w:p>
        </w:tc>
        <w:tc>
          <w:tcPr>
            <w:tcW w:w="428" w:type="pct"/>
            <w:vAlign w:val="center"/>
          </w:tcPr>
          <w:p w14:paraId="317E261F">
            <w:pPr>
              <w:pStyle w:val="94"/>
              <w:rPr>
                <w:color w:val="auto"/>
              </w:rPr>
            </w:pPr>
            <w:r>
              <w:rPr>
                <w:rFonts w:hint="eastAsia"/>
                <w:color w:val="auto"/>
              </w:rPr>
              <w:t>LC</w:t>
            </w:r>
          </w:p>
        </w:tc>
        <w:tc>
          <w:tcPr>
            <w:tcW w:w="428" w:type="pct"/>
            <w:vAlign w:val="center"/>
          </w:tcPr>
          <w:p w14:paraId="4F8949CE">
            <w:pPr>
              <w:pStyle w:val="94"/>
              <w:rPr>
                <w:color w:val="auto"/>
              </w:rPr>
            </w:pPr>
          </w:p>
        </w:tc>
        <w:tc>
          <w:tcPr>
            <w:tcW w:w="428" w:type="pct"/>
            <w:vAlign w:val="center"/>
          </w:tcPr>
          <w:p w14:paraId="60E135CE">
            <w:pPr>
              <w:pStyle w:val="94"/>
              <w:rPr>
                <w:color w:val="auto"/>
              </w:rPr>
            </w:pPr>
          </w:p>
        </w:tc>
        <w:tc>
          <w:tcPr>
            <w:tcW w:w="908" w:type="pct"/>
            <w:noWrap/>
            <w:vAlign w:val="center"/>
          </w:tcPr>
          <w:p w14:paraId="3ADA1519">
            <w:pPr>
              <w:pStyle w:val="94"/>
              <w:rPr>
                <w:color w:val="auto"/>
              </w:rPr>
            </w:pPr>
          </w:p>
        </w:tc>
      </w:tr>
      <w:tr w14:paraId="5D2B2A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0" w:hRule="atLeast"/>
        </w:trPr>
        <w:tc>
          <w:tcPr>
            <w:tcW w:w="330" w:type="pct"/>
            <w:vAlign w:val="center"/>
          </w:tcPr>
          <w:p w14:paraId="4A0CB2B0">
            <w:pPr>
              <w:pStyle w:val="94"/>
              <w:rPr>
                <w:color w:val="auto"/>
              </w:rPr>
            </w:pPr>
            <w:r>
              <w:rPr>
                <w:rFonts w:hint="eastAsia"/>
                <w:color w:val="auto"/>
              </w:rPr>
              <w:t>蛇目</w:t>
            </w:r>
          </w:p>
        </w:tc>
        <w:tc>
          <w:tcPr>
            <w:tcW w:w="331" w:type="pct"/>
            <w:vAlign w:val="center"/>
          </w:tcPr>
          <w:p w14:paraId="642FEE31">
            <w:pPr>
              <w:pStyle w:val="94"/>
              <w:rPr>
                <w:color w:val="auto"/>
              </w:rPr>
            </w:pPr>
            <w:r>
              <w:rPr>
                <w:rFonts w:hint="eastAsia"/>
                <w:color w:val="auto"/>
              </w:rPr>
              <w:t>游蛇科</w:t>
            </w:r>
          </w:p>
        </w:tc>
        <w:tc>
          <w:tcPr>
            <w:tcW w:w="889" w:type="pct"/>
            <w:noWrap/>
            <w:vAlign w:val="center"/>
          </w:tcPr>
          <w:p w14:paraId="1DD1A8FE">
            <w:pPr>
              <w:pStyle w:val="94"/>
              <w:rPr>
                <w:color w:val="auto"/>
              </w:rPr>
            </w:pPr>
            <w:r>
              <w:rPr>
                <w:rFonts w:hint="eastAsia"/>
                <w:color w:val="auto"/>
              </w:rPr>
              <w:t>红点锦蛇</w:t>
            </w:r>
          </w:p>
        </w:tc>
        <w:tc>
          <w:tcPr>
            <w:tcW w:w="1257" w:type="pct"/>
            <w:noWrap/>
            <w:vAlign w:val="center"/>
          </w:tcPr>
          <w:p w14:paraId="0F4CCDED">
            <w:pPr>
              <w:pStyle w:val="94"/>
              <w:rPr>
                <w:i/>
                <w:iCs/>
                <w:color w:val="auto"/>
              </w:rPr>
            </w:pPr>
            <w:r>
              <w:rPr>
                <w:rFonts w:hint="eastAsia"/>
                <w:i/>
                <w:iCs/>
                <w:color w:val="auto"/>
              </w:rPr>
              <w:t>Elaphe rufldorsfa</w:t>
            </w:r>
          </w:p>
        </w:tc>
        <w:tc>
          <w:tcPr>
            <w:tcW w:w="428" w:type="pct"/>
            <w:vAlign w:val="center"/>
          </w:tcPr>
          <w:p w14:paraId="1084B2AD">
            <w:pPr>
              <w:pStyle w:val="94"/>
              <w:rPr>
                <w:color w:val="auto"/>
              </w:rPr>
            </w:pPr>
          </w:p>
        </w:tc>
        <w:tc>
          <w:tcPr>
            <w:tcW w:w="428" w:type="pct"/>
            <w:vAlign w:val="center"/>
          </w:tcPr>
          <w:p w14:paraId="4DC74574">
            <w:pPr>
              <w:pStyle w:val="94"/>
              <w:rPr>
                <w:color w:val="auto"/>
              </w:rPr>
            </w:pPr>
          </w:p>
        </w:tc>
        <w:tc>
          <w:tcPr>
            <w:tcW w:w="428" w:type="pct"/>
            <w:vAlign w:val="center"/>
          </w:tcPr>
          <w:p w14:paraId="70C04C3A">
            <w:pPr>
              <w:pStyle w:val="94"/>
              <w:rPr>
                <w:color w:val="auto"/>
              </w:rPr>
            </w:pPr>
          </w:p>
        </w:tc>
        <w:tc>
          <w:tcPr>
            <w:tcW w:w="908" w:type="pct"/>
            <w:noWrap/>
            <w:vAlign w:val="center"/>
          </w:tcPr>
          <w:p w14:paraId="1C394C27">
            <w:pPr>
              <w:pStyle w:val="94"/>
              <w:rPr>
                <w:color w:val="auto"/>
              </w:rPr>
            </w:pPr>
          </w:p>
        </w:tc>
      </w:tr>
      <w:tr w14:paraId="740B37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0" w:hRule="atLeast"/>
        </w:trPr>
        <w:tc>
          <w:tcPr>
            <w:tcW w:w="330" w:type="pct"/>
            <w:vAlign w:val="center"/>
          </w:tcPr>
          <w:p w14:paraId="5BF8B279">
            <w:pPr>
              <w:pStyle w:val="94"/>
              <w:rPr>
                <w:color w:val="auto"/>
              </w:rPr>
            </w:pPr>
            <w:r>
              <w:rPr>
                <w:rFonts w:hint="eastAsia"/>
                <w:color w:val="auto"/>
              </w:rPr>
              <w:t>蛇目</w:t>
            </w:r>
          </w:p>
        </w:tc>
        <w:tc>
          <w:tcPr>
            <w:tcW w:w="331" w:type="pct"/>
            <w:vAlign w:val="center"/>
          </w:tcPr>
          <w:p w14:paraId="6EE3BAEC">
            <w:pPr>
              <w:pStyle w:val="94"/>
              <w:rPr>
                <w:color w:val="auto"/>
              </w:rPr>
            </w:pPr>
            <w:r>
              <w:rPr>
                <w:rFonts w:hint="eastAsia"/>
                <w:color w:val="auto"/>
              </w:rPr>
              <w:t>水游蛇科</w:t>
            </w:r>
          </w:p>
        </w:tc>
        <w:tc>
          <w:tcPr>
            <w:tcW w:w="889" w:type="pct"/>
            <w:noWrap/>
            <w:vAlign w:val="center"/>
          </w:tcPr>
          <w:p w14:paraId="3186F050">
            <w:pPr>
              <w:pStyle w:val="94"/>
              <w:rPr>
                <w:color w:val="auto"/>
              </w:rPr>
            </w:pPr>
            <w:r>
              <w:rPr>
                <w:rFonts w:hint="eastAsia"/>
                <w:color w:val="auto"/>
              </w:rPr>
              <w:t>虎斑游蛇</w:t>
            </w:r>
          </w:p>
        </w:tc>
        <w:tc>
          <w:tcPr>
            <w:tcW w:w="1257" w:type="pct"/>
            <w:noWrap/>
            <w:vAlign w:val="center"/>
          </w:tcPr>
          <w:p w14:paraId="20BDFB37">
            <w:pPr>
              <w:pStyle w:val="94"/>
              <w:rPr>
                <w:i/>
                <w:iCs/>
                <w:color w:val="auto"/>
              </w:rPr>
            </w:pPr>
            <w:r>
              <w:rPr>
                <w:rFonts w:hint="eastAsia"/>
                <w:i/>
                <w:iCs/>
                <w:color w:val="auto"/>
              </w:rPr>
              <w:t>Rhabdophis tigrinus</w:t>
            </w:r>
          </w:p>
        </w:tc>
        <w:tc>
          <w:tcPr>
            <w:tcW w:w="428" w:type="pct"/>
            <w:vAlign w:val="center"/>
          </w:tcPr>
          <w:p w14:paraId="335B31C4">
            <w:pPr>
              <w:pStyle w:val="94"/>
              <w:rPr>
                <w:color w:val="auto"/>
              </w:rPr>
            </w:pPr>
          </w:p>
        </w:tc>
        <w:tc>
          <w:tcPr>
            <w:tcW w:w="428" w:type="pct"/>
            <w:vAlign w:val="center"/>
          </w:tcPr>
          <w:p w14:paraId="4C90FC4D">
            <w:pPr>
              <w:pStyle w:val="94"/>
              <w:rPr>
                <w:color w:val="auto"/>
              </w:rPr>
            </w:pPr>
          </w:p>
        </w:tc>
        <w:tc>
          <w:tcPr>
            <w:tcW w:w="428" w:type="pct"/>
            <w:vAlign w:val="center"/>
          </w:tcPr>
          <w:p w14:paraId="712BF67A">
            <w:pPr>
              <w:pStyle w:val="94"/>
              <w:rPr>
                <w:color w:val="auto"/>
              </w:rPr>
            </w:pPr>
          </w:p>
        </w:tc>
        <w:tc>
          <w:tcPr>
            <w:tcW w:w="908" w:type="pct"/>
            <w:noWrap/>
            <w:vAlign w:val="center"/>
          </w:tcPr>
          <w:p w14:paraId="3E9BA4BA">
            <w:pPr>
              <w:pStyle w:val="94"/>
              <w:rPr>
                <w:color w:val="auto"/>
              </w:rPr>
            </w:pPr>
          </w:p>
        </w:tc>
      </w:tr>
    </w:tbl>
    <w:p w14:paraId="6D5E2C94">
      <w:pPr>
        <w:pStyle w:val="96"/>
        <w:ind w:firstLine="480"/>
      </w:pPr>
    </w:p>
    <w:p w14:paraId="72A866A0">
      <w:pPr>
        <w:pStyle w:val="5"/>
        <w:sectPr>
          <w:pgSz w:w="16838" w:h="11906" w:orient="landscape"/>
          <w:pgMar w:top="720" w:right="720" w:bottom="720" w:left="720" w:header="851" w:footer="1077" w:gutter="0"/>
          <w:cols w:space="425" w:num="1"/>
          <w:docGrid w:linePitch="312" w:charSpace="0"/>
        </w:sectPr>
      </w:pPr>
    </w:p>
    <w:p w14:paraId="65650B42">
      <w:pPr>
        <w:pStyle w:val="5"/>
        <w:rPr>
          <w:rFonts w:cs="Arial"/>
        </w:rPr>
      </w:pPr>
      <w:r>
        <w:rPr>
          <w:rFonts w:hint="eastAsia"/>
        </w:rPr>
        <w:t>生物多样性调查</w:t>
      </w:r>
    </w:p>
    <w:p w14:paraId="706DCC53">
      <w:pPr>
        <w:pStyle w:val="96"/>
        <w:ind w:firstLine="480"/>
      </w:pPr>
      <w:r>
        <w:rPr>
          <w:rFonts w:hint="eastAsia"/>
        </w:rPr>
        <w:t>一、生物多样性评价</w:t>
      </w:r>
    </w:p>
    <w:p w14:paraId="3F4474D4">
      <w:pPr>
        <w:pStyle w:val="96"/>
        <w:ind w:firstLine="480"/>
      </w:pPr>
      <w:r>
        <w:rPr>
          <w:rFonts w:hint="eastAsia"/>
        </w:rPr>
        <w:t>参考《区域生物多样性评价标准》(HJ623-2011)，对评价区的生物多样性进行评价。鉴于该评价标准是以县级行政区作为基本评价单元，故这里以本项目所在的区县作为评价范围。</w:t>
      </w:r>
    </w:p>
    <w:p w14:paraId="4042B96A">
      <w:pPr>
        <w:pStyle w:val="96"/>
        <w:ind w:firstLine="480"/>
      </w:pPr>
      <w:r>
        <w:rPr>
          <w:rFonts w:hint="eastAsia"/>
        </w:rPr>
        <w:t>1、评价指标及其内涵</w:t>
      </w:r>
    </w:p>
    <w:p w14:paraId="5ACFED86">
      <w:pPr>
        <w:pStyle w:val="96"/>
        <w:ind w:firstLine="480"/>
      </w:pPr>
      <w:r>
        <w:rPr>
          <w:rFonts w:hint="eastAsia"/>
        </w:rPr>
        <w:t>根据《区域生物多样性评价标准》(HJ623-2011)，生物多样性评价含有6个评价指标。</w:t>
      </w:r>
    </w:p>
    <w:p w14:paraId="75D81B99">
      <w:pPr>
        <w:pStyle w:val="96"/>
        <w:ind w:firstLine="480"/>
      </w:pPr>
      <w:r>
        <w:rPr>
          <w:rFonts w:hint="eastAsia"/>
        </w:rPr>
        <w:t>(1)野生维管束植物丰富度</w:t>
      </w:r>
    </w:p>
    <w:p w14:paraId="7EA7A853">
      <w:pPr>
        <w:pStyle w:val="96"/>
        <w:ind w:firstLine="480"/>
      </w:pPr>
      <w:r>
        <w:rPr>
          <w:rFonts w:hint="eastAsia"/>
        </w:rPr>
        <w:t>指评价区域内野生维管束植物的物种数，包括野生蕨类植物、裸子植物及被子植物三类，研究区内有大面积的人工林，也计入在内。该指标用来表征野生植物的多样性。</w:t>
      </w:r>
    </w:p>
    <w:p w14:paraId="00F18027">
      <w:pPr>
        <w:pStyle w:val="96"/>
        <w:ind w:firstLine="480"/>
      </w:pPr>
      <w:r>
        <w:rPr>
          <w:rFonts w:hint="eastAsia"/>
        </w:rPr>
        <w:t>(2)野生高等动物丰富度</w:t>
      </w:r>
    </w:p>
    <w:p w14:paraId="4BCDFF5B">
      <w:pPr>
        <w:pStyle w:val="96"/>
        <w:ind w:firstLine="480"/>
      </w:pPr>
      <w:r>
        <w:rPr>
          <w:rFonts w:hint="eastAsia"/>
        </w:rPr>
        <w:t>指评价区内野生高等动物的物种数，包括鸟类、爬行类、两栖类、淡水鱼类以及哺乳类动物五类。该指标用于表征野生动物的多样性。</w:t>
      </w:r>
    </w:p>
    <w:p w14:paraId="38CA1FD3">
      <w:pPr>
        <w:pStyle w:val="96"/>
        <w:ind w:firstLine="480"/>
      </w:pPr>
      <w:r>
        <w:rPr>
          <w:rFonts w:hint="eastAsia"/>
        </w:rPr>
        <w:t>(3)生态系统类型多样性</w:t>
      </w:r>
    </w:p>
    <w:p w14:paraId="3D33B7D2">
      <w:pPr>
        <w:pStyle w:val="96"/>
        <w:ind w:firstLine="480"/>
      </w:pPr>
      <w:r>
        <w:rPr>
          <w:rFonts w:hint="eastAsia"/>
        </w:rPr>
        <w:t>指评价区内自然或半自然的生态系统类型数。该指标中规定的生态系统类型是按照《全国生态状况调查评估技术规范——生态系统遥感解译与野外核查》(HJ1166-2021)的分类方法确定，以二级分类进行划分。</w:t>
      </w:r>
    </w:p>
    <w:p w14:paraId="041FC8C9">
      <w:pPr>
        <w:pStyle w:val="96"/>
        <w:ind w:firstLine="480"/>
      </w:pPr>
      <w:r>
        <w:rPr>
          <w:rFonts w:hint="eastAsia"/>
        </w:rPr>
        <w:t>(4)物种特有性</w:t>
      </w:r>
    </w:p>
    <w:p w14:paraId="52668429">
      <w:pPr>
        <w:pStyle w:val="96"/>
        <w:ind w:firstLine="480"/>
      </w:pPr>
      <w:r>
        <w:rPr>
          <w:rFonts w:hint="eastAsia"/>
        </w:rPr>
        <w:t>指评价区内属于中国特有分布的野生维管束植物和野生高等动物的相对数量，其中中国特有分布的植物是按照吴征镒教授《关于中国种子植物的分布区类型划分》中属于中国特有分布的植物物种，该指标用于表征物种的特殊价值。</w:t>
      </w:r>
    </w:p>
    <w:p w14:paraId="41E8FB20">
      <w:pPr>
        <w:pStyle w:val="96"/>
        <w:ind w:firstLine="480"/>
      </w:pPr>
      <w:r>
        <w:rPr>
          <w:rFonts w:hint="eastAsia"/>
        </w:rPr>
        <w:t>物种特有性=(评价区内中国特有的野生维管束植物物种数/3662+评价区内中国特有的野生高等动物物种数/635)/2</w:t>
      </w:r>
    </w:p>
    <w:p w14:paraId="21F6D97D">
      <w:pPr>
        <w:pStyle w:val="96"/>
        <w:ind w:firstLine="480"/>
      </w:pPr>
      <w:r>
        <w:rPr>
          <w:rFonts w:hint="eastAsia"/>
        </w:rPr>
        <w:t>(5)外来物种入侵度</w:t>
      </w:r>
    </w:p>
    <w:p w14:paraId="1602423E">
      <w:pPr>
        <w:pStyle w:val="96"/>
        <w:ind w:firstLine="480"/>
      </w:pPr>
      <w:r>
        <w:rPr>
          <w:rFonts w:hint="eastAsia"/>
        </w:rPr>
        <w:t>指评价区内外来入侵物种数在本地野生维管束植物和野生高等动物物种总数中所占的比例。该指标用于表征生态系统受外来物种的干扰程度。</w:t>
      </w:r>
    </w:p>
    <w:p w14:paraId="6FB3EFFB">
      <w:pPr>
        <w:pStyle w:val="96"/>
        <w:ind w:firstLine="480"/>
      </w:pPr>
      <w:r>
        <w:rPr>
          <w:rFonts w:hint="eastAsia"/>
        </w:rPr>
        <w:t>外来物种入侵度=外来入侵物种/(野生维管束植物物种数+野生高等动物物种数)</w:t>
      </w:r>
    </w:p>
    <w:p w14:paraId="650A5782">
      <w:pPr>
        <w:pStyle w:val="96"/>
        <w:ind w:firstLine="480"/>
      </w:pPr>
      <w:r>
        <w:rPr>
          <w:rFonts w:hint="eastAsia"/>
        </w:rPr>
        <w:t>(6)受威胁物种丰富度</w:t>
      </w:r>
    </w:p>
    <w:p w14:paraId="58CC02A6">
      <w:pPr>
        <w:pStyle w:val="96"/>
        <w:ind w:firstLine="480"/>
      </w:pPr>
      <w:r>
        <w:rPr>
          <w:rFonts w:hint="eastAsia"/>
        </w:rPr>
        <w:t>指被评价区内受威胁的野生维管束植物和野生高等动物的相对数量，受威胁物种指《中国生物多样性红色名录》中规定的极危(CR)、濒危(EN)、易绝(VU)和近危(NT)四类物种。</w:t>
      </w:r>
    </w:p>
    <w:p w14:paraId="258E6DC7">
      <w:pPr>
        <w:pStyle w:val="96"/>
        <w:ind w:firstLine="480"/>
      </w:pPr>
      <w:r>
        <w:rPr>
          <w:rFonts w:hint="eastAsia"/>
        </w:rPr>
        <w:t>受威胁物利丰富度=(受威胁的野生维管束植物物种数/3662+受威胁的野生高等动物物种数/635)/2。</w:t>
      </w:r>
    </w:p>
    <w:p w14:paraId="64162C1B">
      <w:pPr>
        <w:pStyle w:val="96"/>
        <w:ind w:firstLine="480"/>
      </w:pPr>
      <w:r>
        <w:rPr>
          <w:rFonts w:hint="eastAsia"/>
        </w:rPr>
        <w:t>2、评价方法</w:t>
      </w:r>
    </w:p>
    <w:p w14:paraId="41A6E638">
      <w:pPr>
        <w:pStyle w:val="96"/>
        <w:ind w:firstLine="480"/>
      </w:pPr>
      <w:r>
        <w:rPr>
          <w:rFonts w:hint="eastAsia"/>
        </w:rPr>
        <w:t>（1）指标的归一化处理</w:t>
      </w:r>
    </w:p>
    <w:p w14:paraId="3ADAC717">
      <w:pPr>
        <w:pStyle w:val="96"/>
        <w:ind w:firstLine="480"/>
      </w:pPr>
      <w:r>
        <w:rPr>
          <w:rFonts w:hint="eastAsia"/>
        </w:rPr>
        <w:t>归一化后的评价指标=归一化前的评价指标×归一化系数</w:t>
      </w:r>
    </w:p>
    <w:p w14:paraId="7614818A">
      <w:pPr>
        <w:pStyle w:val="96"/>
        <w:ind w:firstLine="480"/>
      </w:pPr>
      <w:r>
        <w:rPr>
          <w:rFonts w:hint="eastAsia"/>
        </w:rPr>
        <w:t>归一化系数=100/A</w:t>
      </w:r>
      <w:r>
        <w:rPr>
          <w:rFonts w:hint="eastAsia"/>
          <w:vertAlign w:val="subscript"/>
        </w:rPr>
        <w:t>最大值</w:t>
      </w:r>
    </w:p>
    <w:p w14:paraId="0BBA7037">
      <w:pPr>
        <w:pStyle w:val="96"/>
        <w:ind w:firstLine="480"/>
      </w:pPr>
      <w:r>
        <w:rPr>
          <w:rFonts w:hint="eastAsia"/>
        </w:rPr>
        <w:t>其中，A</w:t>
      </w:r>
      <w:r>
        <w:rPr>
          <w:rFonts w:hint="eastAsia"/>
          <w:vertAlign w:val="subscript"/>
        </w:rPr>
        <w:t>最大值</w:t>
      </w:r>
      <w:r>
        <w:rPr>
          <w:rFonts w:hint="eastAsia"/>
        </w:rPr>
        <w:t>：指被计算指标归一化处理前的最大值。</w:t>
      </w:r>
    </w:p>
    <w:p w14:paraId="0A6FA2CF">
      <w:pPr>
        <w:pStyle w:val="96"/>
        <w:ind w:firstLine="480"/>
      </w:pPr>
      <w:r>
        <w:rPr>
          <w:rFonts w:hint="eastAsia"/>
        </w:rPr>
        <w:t>各个指标的A</w:t>
      </w:r>
      <w:r>
        <w:rPr>
          <w:rFonts w:hint="eastAsia"/>
          <w:vertAlign w:val="subscript"/>
        </w:rPr>
        <w:t>最大值</w:t>
      </w:r>
      <w:r>
        <w:rPr>
          <w:rFonts w:hint="eastAsia"/>
        </w:rPr>
        <w:t>，详见下表。</w:t>
      </w:r>
    </w:p>
    <w:p w14:paraId="77C594D8">
      <w:pPr>
        <w:pStyle w:val="19"/>
        <w:keepNext/>
      </w:pPr>
      <w:r>
        <w:t xml:space="preserve">表 </w:t>
      </w:r>
      <w:r>
        <w:fldChar w:fldCharType="begin"/>
      </w:r>
      <w:r>
        <w:instrText xml:space="preserve"> SEQ 表 \* ARABIC </w:instrText>
      </w:r>
      <w:r>
        <w:fldChar w:fldCharType="separate"/>
      </w:r>
      <w:r>
        <w:t>73</w:t>
      </w:r>
      <w:r>
        <w:fldChar w:fldCharType="end"/>
      </w:r>
      <w:r>
        <w:rPr>
          <w:rFonts w:hint="eastAsia"/>
        </w:rPr>
        <w:t>相关指标参考最大值</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931"/>
        <w:gridCol w:w="3019"/>
        <w:gridCol w:w="2732"/>
      </w:tblGrid>
      <w:tr w14:paraId="794658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0" w:hRule="atLeast"/>
        </w:trPr>
        <w:tc>
          <w:tcPr>
            <w:tcW w:w="2308" w:type="pct"/>
            <w:vAlign w:val="center"/>
          </w:tcPr>
          <w:p w14:paraId="71EC24C4">
            <w:pPr>
              <w:pStyle w:val="94"/>
              <w:rPr>
                <w:color w:val="auto"/>
              </w:rPr>
            </w:pPr>
            <w:r>
              <w:rPr>
                <w:rFonts w:hint="eastAsia"/>
                <w:color w:val="auto"/>
              </w:rPr>
              <w:t>指</w:t>
            </w:r>
            <w:r>
              <w:rPr>
                <w:rFonts w:hint="eastAsia"/>
                <w:color w:val="auto"/>
                <w:spacing w:val="4"/>
              </w:rPr>
              <w:t>标</w:t>
            </w:r>
          </w:p>
        </w:tc>
        <w:tc>
          <w:tcPr>
            <w:tcW w:w="1413" w:type="pct"/>
            <w:vAlign w:val="center"/>
          </w:tcPr>
          <w:p w14:paraId="0B4B6E9D">
            <w:pPr>
              <w:pStyle w:val="94"/>
              <w:rPr>
                <w:color w:val="auto"/>
              </w:rPr>
            </w:pPr>
            <w:r>
              <w:rPr>
                <w:rFonts w:hint="eastAsia"/>
                <w:color w:val="auto"/>
                <w:spacing w:val="9"/>
              </w:rPr>
              <w:t>参</w:t>
            </w:r>
            <w:r>
              <w:rPr>
                <w:rFonts w:hint="eastAsia"/>
                <w:color w:val="auto"/>
                <w:spacing w:val="8"/>
              </w:rPr>
              <w:t>考最大偵</w:t>
            </w:r>
          </w:p>
        </w:tc>
        <w:tc>
          <w:tcPr>
            <w:tcW w:w="1279" w:type="pct"/>
            <w:vAlign w:val="center"/>
          </w:tcPr>
          <w:p w14:paraId="67DF36CE">
            <w:pPr>
              <w:pStyle w:val="94"/>
              <w:rPr>
                <w:color w:val="auto"/>
              </w:rPr>
            </w:pPr>
            <w:r>
              <w:rPr>
                <w:rFonts w:hint="eastAsia"/>
                <w:color w:val="auto"/>
                <w:spacing w:val="7"/>
              </w:rPr>
              <w:t>归一化系数</w:t>
            </w:r>
          </w:p>
        </w:tc>
      </w:tr>
      <w:tr w14:paraId="5A7A70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0" w:hRule="atLeast"/>
        </w:trPr>
        <w:tc>
          <w:tcPr>
            <w:tcW w:w="2308" w:type="pct"/>
            <w:vAlign w:val="center"/>
          </w:tcPr>
          <w:p w14:paraId="1ABA198C">
            <w:pPr>
              <w:pStyle w:val="94"/>
              <w:rPr>
                <w:color w:val="auto"/>
              </w:rPr>
            </w:pPr>
            <w:r>
              <w:rPr>
                <w:rFonts w:hint="eastAsia"/>
                <w:color w:val="auto"/>
                <w:spacing w:val="9"/>
              </w:rPr>
              <w:t>野生维管束植物丰富</w:t>
            </w:r>
            <w:r>
              <w:rPr>
                <w:rFonts w:hint="eastAsia"/>
                <w:color w:val="auto"/>
                <w:spacing w:val="8"/>
              </w:rPr>
              <w:t>度</w:t>
            </w:r>
          </w:p>
        </w:tc>
        <w:tc>
          <w:tcPr>
            <w:tcW w:w="1413" w:type="pct"/>
            <w:vAlign w:val="center"/>
          </w:tcPr>
          <w:p w14:paraId="7072D743">
            <w:pPr>
              <w:pStyle w:val="94"/>
              <w:rPr>
                <w:color w:val="auto"/>
              </w:rPr>
            </w:pPr>
            <w:r>
              <w:rPr>
                <w:rFonts w:hint="eastAsia"/>
                <w:color w:val="auto"/>
                <w:spacing w:val="3"/>
              </w:rPr>
              <w:t>3662</w:t>
            </w:r>
          </w:p>
        </w:tc>
        <w:tc>
          <w:tcPr>
            <w:tcW w:w="1279" w:type="pct"/>
            <w:vAlign w:val="center"/>
          </w:tcPr>
          <w:p w14:paraId="00B92984">
            <w:pPr>
              <w:pStyle w:val="94"/>
              <w:rPr>
                <w:color w:val="auto"/>
              </w:rPr>
            </w:pPr>
            <w:r>
              <w:rPr>
                <w:rFonts w:hint="eastAsia"/>
                <w:color w:val="auto"/>
                <w:spacing w:val="3"/>
              </w:rPr>
              <w:t>0.02</w:t>
            </w:r>
            <w:r>
              <w:rPr>
                <w:rFonts w:hint="eastAsia"/>
                <w:color w:val="auto"/>
                <w:spacing w:val="2"/>
              </w:rPr>
              <w:t>7</w:t>
            </w:r>
          </w:p>
        </w:tc>
      </w:tr>
      <w:tr w14:paraId="3510EE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0" w:hRule="atLeast"/>
        </w:trPr>
        <w:tc>
          <w:tcPr>
            <w:tcW w:w="2308" w:type="pct"/>
            <w:vAlign w:val="center"/>
          </w:tcPr>
          <w:p w14:paraId="26339238">
            <w:pPr>
              <w:pStyle w:val="94"/>
              <w:rPr>
                <w:color w:val="auto"/>
              </w:rPr>
            </w:pPr>
            <w:r>
              <w:rPr>
                <w:rFonts w:hint="eastAsia"/>
                <w:color w:val="auto"/>
                <w:spacing w:val="12"/>
              </w:rPr>
              <w:t>野</w:t>
            </w:r>
            <w:r>
              <w:rPr>
                <w:rFonts w:hint="eastAsia"/>
                <w:color w:val="auto"/>
                <w:spacing w:val="8"/>
              </w:rPr>
              <w:t>生动物丰富度</w:t>
            </w:r>
          </w:p>
        </w:tc>
        <w:tc>
          <w:tcPr>
            <w:tcW w:w="1413" w:type="pct"/>
            <w:vAlign w:val="center"/>
          </w:tcPr>
          <w:p w14:paraId="237D3587">
            <w:pPr>
              <w:pStyle w:val="94"/>
              <w:rPr>
                <w:color w:val="auto"/>
              </w:rPr>
            </w:pPr>
            <w:r>
              <w:rPr>
                <w:rFonts w:hint="eastAsia"/>
                <w:color w:val="auto"/>
                <w:spacing w:val="2"/>
              </w:rPr>
              <w:t>635</w:t>
            </w:r>
          </w:p>
        </w:tc>
        <w:tc>
          <w:tcPr>
            <w:tcW w:w="1279" w:type="pct"/>
            <w:vAlign w:val="center"/>
          </w:tcPr>
          <w:p w14:paraId="157B44F3">
            <w:pPr>
              <w:pStyle w:val="94"/>
              <w:rPr>
                <w:color w:val="auto"/>
              </w:rPr>
            </w:pPr>
            <w:r>
              <w:rPr>
                <w:rFonts w:hint="eastAsia"/>
                <w:color w:val="auto"/>
                <w:spacing w:val="-6"/>
              </w:rPr>
              <w:t>0. 157</w:t>
            </w:r>
          </w:p>
        </w:tc>
      </w:tr>
      <w:tr w14:paraId="2AF15E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0" w:hRule="atLeast"/>
        </w:trPr>
        <w:tc>
          <w:tcPr>
            <w:tcW w:w="2308" w:type="pct"/>
            <w:vAlign w:val="center"/>
          </w:tcPr>
          <w:p w14:paraId="65875A07">
            <w:pPr>
              <w:pStyle w:val="94"/>
              <w:rPr>
                <w:color w:val="auto"/>
              </w:rPr>
            </w:pPr>
            <w:r>
              <w:rPr>
                <w:rFonts w:hint="eastAsia"/>
                <w:color w:val="auto"/>
                <w:spacing w:val="15"/>
              </w:rPr>
              <w:t>生</w:t>
            </w:r>
            <w:r>
              <w:rPr>
                <w:rFonts w:hint="eastAsia"/>
                <w:color w:val="auto"/>
                <w:spacing w:val="8"/>
              </w:rPr>
              <w:t>态系统类型多样性</w:t>
            </w:r>
          </w:p>
        </w:tc>
        <w:tc>
          <w:tcPr>
            <w:tcW w:w="1413" w:type="pct"/>
            <w:vAlign w:val="center"/>
          </w:tcPr>
          <w:p w14:paraId="1495AB31">
            <w:pPr>
              <w:pStyle w:val="94"/>
              <w:rPr>
                <w:color w:val="auto"/>
              </w:rPr>
            </w:pPr>
            <w:r>
              <w:rPr>
                <w:rFonts w:hint="eastAsia"/>
                <w:color w:val="auto"/>
                <w:spacing w:val="-3"/>
              </w:rPr>
              <w:t>124</w:t>
            </w:r>
          </w:p>
        </w:tc>
        <w:tc>
          <w:tcPr>
            <w:tcW w:w="1279" w:type="pct"/>
            <w:vAlign w:val="center"/>
          </w:tcPr>
          <w:p w14:paraId="4CD538D0">
            <w:pPr>
              <w:pStyle w:val="94"/>
              <w:rPr>
                <w:color w:val="auto"/>
              </w:rPr>
            </w:pPr>
            <w:r>
              <w:rPr>
                <w:rFonts w:hint="eastAsia"/>
                <w:color w:val="auto"/>
                <w:spacing w:val="3"/>
              </w:rPr>
              <w:t>0.80</w:t>
            </w:r>
            <w:r>
              <w:rPr>
                <w:rFonts w:hint="eastAsia"/>
                <w:color w:val="auto"/>
                <w:spacing w:val="2"/>
              </w:rPr>
              <w:t>6</w:t>
            </w:r>
          </w:p>
        </w:tc>
      </w:tr>
      <w:tr w14:paraId="2A80F0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0" w:hRule="atLeast"/>
        </w:trPr>
        <w:tc>
          <w:tcPr>
            <w:tcW w:w="2308" w:type="pct"/>
            <w:vAlign w:val="center"/>
          </w:tcPr>
          <w:p w14:paraId="08BE686A">
            <w:pPr>
              <w:pStyle w:val="94"/>
              <w:rPr>
                <w:color w:val="auto"/>
              </w:rPr>
            </w:pPr>
            <w:r>
              <w:rPr>
                <w:rFonts w:hint="eastAsia"/>
                <w:color w:val="auto"/>
                <w:spacing w:val="8"/>
              </w:rPr>
              <w:t>物种特有性</w:t>
            </w:r>
          </w:p>
        </w:tc>
        <w:tc>
          <w:tcPr>
            <w:tcW w:w="1413" w:type="pct"/>
            <w:vAlign w:val="center"/>
          </w:tcPr>
          <w:p w14:paraId="0BB84E54">
            <w:pPr>
              <w:pStyle w:val="94"/>
              <w:rPr>
                <w:color w:val="auto"/>
              </w:rPr>
            </w:pPr>
            <w:r>
              <w:rPr>
                <w:rFonts w:hint="eastAsia"/>
                <w:color w:val="auto"/>
                <w:spacing w:val="4"/>
              </w:rPr>
              <w:t>0</w:t>
            </w:r>
            <w:r>
              <w:rPr>
                <w:rFonts w:hint="eastAsia"/>
                <w:color w:val="auto"/>
                <w:spacing w:val="3"/>
              </w:rPr>
              <w:t>. 3070</w:t>
            </w:r>
          </w:p>
        </w:tc>
        <w:tc>
          <w:tcPr>
            <w:tcW w:w="1279" w:type="pct"/>
            <w:vAlign w:val="center"/>
          </w:tcPr>
          <w:p w14:paraId="38A19940">
            <w:pPr>
              <w:pStyle w:val="94"/>
              <w:rPr>
                <w:color w:val="auto"/>
              </w:rPr>
            </w:pPr>
            <w:r>
              <w:rPr>
                <w:rFonts w:hint="eastAsia"/>
                <w:color w:val="auto"/>
                <w:spacing w:val="6"/>
              </w:rPr>
              <w:t>3</w:t>
            </w:r>
            <w:r>
              <w:rPr>
                <w:rFonts w:hint="eastAsia"/>
                <w:color w:val="auto"/>
                <w:spacing w:val="3"/>
              </w:rPr>
              <w:t>25.732</w:t>
            </w:r>
          </w:p>
        </w:tc>
      </w:tr>
      <w:tr w14:paraId="452C15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0" w:hRule="atLeast"/>
        </w:trPr>
        <w:tc>
          <w:tcPr>
            <w:tcW w:w="2308" w:type="pct"/>
            <w:vAlign w:val="center"/>
          </w:tcPr>
          <w:p w14:paraId="2F9A7725">
            <w:pPr>
              <w:pStyle w:val="94"/>
              <w:rPr>
                <w:color w:val="auto"/>
              </w:rPr>
            </w:pPr>
            <w:r>
              <w:rPr>
                <w:rFonts w:hint="eastAsia"/>
                <w:color w:val="auto"/>
                <w:spacing w:val="12"/>
              </w:rPr>
              <w:t>受</w:t>
            </w:r>
            <w:r>
              <w:rPr>
                <w:rFonts w:hint="eastAsia"/>
                <w:color w:val="auto"/>
                <w:spacing w:val="8"/>
              </w:rPr>
              <w:t>威胁物种的丰富度</w:t>
            </w:r>
          </w:p>
        </w:tc>
        <w:tc>
          <w:tcPr>
            <w:tcW w:w="1413" w:type="pct"/>
            <w:vAlign w:val="center"/>
          </w:tcPr>
          <w:p w14:paraId="53D99950">
            <w:pPr>
              <w:pStyle w:val="94"/>
              <w:rPr>
                <w:color w:val="auto"/>
              </w:rPr>
            </w:pPr>
            <w:r>
              <w:rPr>
                <w:rFonts w:hint="eastAsia"/>
                <w:color w:val="auto"/>
                <w:spacing w:val="4"/>
              </w:rPr>
              <w:t>0</w:t>
            </w:r>
            <w:r>
              <w:rPr>
                <w:rFonts w:hint="eastAsia"/>
                <w:color w:val="auto"/>
                <w:spacing w:val="3"/>
              </w:rPr>
              <w:t>. 1572</w:t>
            </w:r>
          </w:p>
        </w:tc>
        <w:tc>
          <w:tcPr>
            <w:tcW w:w="1279" w:type="pct"/>
            <w:vAlign w:val="center"/>
          </w:tcPr>
          <w:p w14:paraId="5DDB67DB">
            <w:pPr>
              <w:pStyle w:val="94"/>
              <w:rPr>
                <w:color w:val="auto"/>
              </w:rPr>
            </w:pPr>
            <w:r>
              <w:rPr>
                <w:rFonts w:hint="eastAsia"/>
                <w:color w:val="auto"/>
                <w:spacing w:val="-6"/>
              </w:rPr>
              <w:t>6</w:t>
            </w:r>
            <w:r>
              <w:rPr>
                <w:rFonts w:hint="eastAsia"/>
                <w:color w:val="auto"/>
                <w:spacing w:val="-3"/>
              </w:rPr>
              <w:t>36. 132</w:t>
            </w:r>
          </w:p>
        </w:tc>
      </w:tr>
      <w:tr w14:paraId="1D2C60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0" w:hRule="atLeast"/>
        </w:trPr>
        <w:tc>
          <w:tcPr>
            <w:tcW w:w="2308" w:type="pct"/>
            <w:vAlign w:val="center"/>
          </w:tcPr>
          <w:p w14:paraId="47447A26">
            <w:pPr>
              <w:pStyle w:val="94"/>
              <w:rPr>
                <w:color w:val="auto"/>
              </w:rPr>
            </w:pPr>
            <w:r>
              <w:rPr>
                <w:rFonts w:hint="eastAsia"/>
                <w:color w:val="auto"/>
                <w:spacing w:val="8"/>
              </w:rPr>
              <w:t>外来物种入侵度</w:t>
            </w:r>
          </w:p>
        </w:tc>
        <w:tc>
          <w:tcPr>
            <w:tcW w:w="1413" w:type="pct"/>
            <w:vAlign w:val="center"/>
          </w:tcPr>
          <w:p w14:paraId="290EE42A">
            <w:pPr>
              <w:pStyle w:val="94"/>
              <w:rPr>
                <w:color w:val="auto"/>
              </w:rPr>
            </w:pPr>
            <w:r>
              <w:rPr>
                <w:rFonts w:hint="eastAsia"/>
                <w:color w:val="auto"/>
                <w:spacing w:val="4"/>
              </w:rPr>
              <w:t>0</w:t>
            </w:r>
            <w:r>
              <w:rPr>
                <w:rFonts w:hint="eastAsia"/>
                <w:color w:val="auto"/>
                <w:spacing w:val="3"/>
              </w:rPr>
              <w:t>. 1441</w:t>
            </w:r>
          </w:p>
        </w:tc>
        <w:tc>
          <w:tcPr>
            <w:tcW w:w="1279" w:type="pct"/>
            <w:vAlign w:val="center"/>
          </w:tcPr>
          <w:p w14:paraId="3B53E95D">
            <w:pPr>
              <w:pStyle w:val="94"/>
              <w:rPr>
                <w:color w:val="auto"/>
              </w:rPr>
            </w:pPr>
            <w:r>
              <w:rPr>
                <w:rFonts w:hint="eastAsia"/>
                <w:color w:val="auto"/>
              </w:rPr>
              <w:t>6</w:t>
            </w:r>
            <w:r>
              <w:rPr>
                <w:rFonts w:hint="eastAsia"/>
                <w:color w:val="auto"/>
                <w:spacing w:val="3"/>
              </w:rPr>
              <w:t>93.963</w:t>
            </w:r>
          </w:p>
        </w:tc>
      </w:tr>
    </w:tbl>
    <w:p w14:paraId="4A8EB977">
      <w:pPr>
        <w:pStyle w:val="96"/>
        <w:ind w:firstLine="480"/>
        <w:rPr>
          <w:rFonts w:cs="Arial"/>
        </w:rPr>
      </w:pPr>
      <w:r>
        <w:rPr>
          <w:rFonts w:hint="eastAsia"/>
        </w:rPr>
        <w:t>（2）指标权重</w:t>
      </w:r>
    </w:p>
    <w:p w14:paraId="606DD681">
      <w:pPr>
        <w:pStyle w:val="96"/>
        <w:ind w:firstLine="480"/>
      </w:pPr>
      <w:r>
        <w:rPr>
          <w:rFonts w:hint="eastAsia"/>
        </w:rPr>
        <w:t>各指标权重见下表。</w:t>
      </w:r>
    </w:p>
    <w:p w14:paraId="70CB0F9E">
      <w:pPr>
        <w:pStyle w:val="19"/>
        <w:keepNext/>
      </w:pPr>
      <w:r>
        <w:t xml:space="preserve">表 </w:t>
      </w:r>
      <w:r>
        <w:fldChar w:fldCharType="begin"/>
      </w:r>
      <w:r>
        <w:instrText xml:space="preserve"> SEQ 表 \* ARABIC </w:instrText>
      </w:r>
      <w:r>
        <w:fldChar w:fldCharType="separate"/>
      </w:r>
      <w:r>
        <w:t>74</w:t>
      </w:r>
      <w:r>
        <w:fldChar w:fldCharType="end"/>
      </w:r>
      <w:r>
        <w:rPr>
          <w:rFonts w:hint="eastAsia"/>
        </w:rPr>
        <w:t>各指标权重表</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335"/>
        <w:gridCol w:w="5347"/>
      </w:tblGrid>
      <w:tr w14:paraId="1C5679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0" w:hRule="atLeast"/>
        </w:trPr>
        <w:tc>
          <w:tcPr>
            <w:tcW w:w="2497" w:type="pct"/>
            <w:vAlign w:val="center"/>
          </w:tcPr>
          <w:p w14:paraId="39230ACC">
            <w:pPr>
              <w:pStyle w:val="94"/>
              <w:rPr>
                <w:color w:val="auto"/>
              </w:rPr>
            </w:pPr>
            <w:r>
              <w:rPr>
                <w:rFonts w:hint="eastAsia"/>
                <w:color w:val="auto"/>
              </w:rPr>
              <w:t>指标</w:t>
            </w:r>
          </w:p>
        </w:tc>
        <w:tc>
          <w:tcPr>
            <w:tcW w:w="2503" w:type="pct"/>
            <w:vAlign w:val="center"/>
          </w:tcPr>
          <w:p w14:paraId="10620B41">
            <w:pPr>
              <w:pStyle w:val="94"/>
              <w:rPr>
                <w:color w:val="auto"/>
              </w:rPr>
            </w:pPr>
            <w:r>
              <w:rPr>
                <w:rFonts w:hint="eastAsia"/>
                <w:color w:val="auto"/>
              </w:rPr>
              <w:t>参考最大偵</w:t>
            </w:r>
          </w:p>
        </w:tc>
      </w:tr>
      <w:tr w14:paraId="05402D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0" w:hRule="atLeast"/>
        </w:trPr>
        <w:tc>
          <w:tcPr>
            <w:tcW w:w="2497" w:type="pct"/>
            <w:vAlign w:val="center"/>
          </w:tcPr>
          <w:p w14:paraId="3C84039A">
            <w:pPr>
              <w:pStyle w:val="94"/>
              <w:rPr>
                <w:color w:val="auto"/>
              </w:rPr>
            </w:pPr>
            <w:r>
              <w:rPr>
                <w:rFonts w:hint="eastAsia"/>
                <w:color w:val="auto"/>
              </w:rPr>
              <w:t>野生维管束植物丰富度</w:t>
            </w:r>
          </w:p>
        </w:tc>
        <w:tc>
          <w:tcPr>
            <w:tcW w:w="2503" w:type="pct"/>
            <w:vAlign w:val="center"/>
          </w:tcPr>
          <w:p w14:paraId="2F8B120C">
            <w:pPr>
              <w:pStyle w:val="94"/>
              <w:rPr>
                <w:color w:val="auto"/>
              </w:rPr>
            </w:pPr>
            <w:r>
              <w:rPr>
                <w:rFonts w:hint="eastAsia"/>
                <w:color w:val="auto"/>
              </w:rPr>
              <w:t>0.20</w:t>
            </w:r>
          </w:p>
        </w:tc>
      </w:tr>
      <w:tr w14:paraId="4A94FE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0" w:hRule="atLeast"/>
        </w:trPr>
        <w:tc>
          <w:tcPr>
            <w:tcW w:w="2497" w:type="pct"/>
            <w:vAlign w:val="center"/>
          </w:tcPr>
          <w:p w14:paraId="0A29EA57">
            <w:pPr>
              <w:pStyle w:val="94"/>
              <w:rPr>
                <w:color w:val="auto"/>
              </w:rPr>
            </w:pPr>
            <w:r>
              <w:rPr>
                <w:rFonts w:hint="eastAsia"/>
                <w:color w:val="auto"/>
              </w:rPr>
              <w:t>野生动物丰富度</w:t>
            </w:r>
          </w:p>
        </w:tc>
        <w:tc>
          <w:tcPr>
            <w:tcW w:w="2503" w:type="pct"/>
            <w:vAlign w:val="center"/>
          </w:tcPr>
          <w:p w14:paraId="050FCF6B">
            <w:pPr>
              <w:pStyle w:val="94"/>
              <w:rPr>
                <w:color w:val="auto"/>
              </w:rPr>
            </w:pPr>
            <w:r>
              <w:rPr>
                <w:rFonts w:hint="eastAsia"/>
                <w:color w:val="auto"/>
              </w:rPr>
              <w:t>0.20</w:t>
            </w:r>
          </w:p>
        </w:tc>
      </w:tr>
      <w:tr w14:paraId="222828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0" w:hRule="atLeast"/>
        </w:trPr>
        <w:tc>
          <w:tcPr>
            <w:tcW w:w="2497" w:type="pct"/>
            <w:vAlign w:val="center"/>
          </w:tcPr>
          <w:p w14:paraId="50E54187">
            <w:pPr>
              <w:pStyle w:val="94"/>
              <w:rPr>
                <w:color w:val="auto"/>
              </w:rPr>
            </w:pPr>
            <w:r>
              <w:rPr>
                <w:rFonts w:hint="eastAsia"/>
                <w:color w:val="auto"/>
              </w:rPr>
              <w:t>生态系统类型多样性</w:t>
            </w:r>
          </w:p>
        </w:tc>
        <w:tc>
          <w:tcPr>
            <w:tcW w:w="2503" w:type="pct"/>
            <w:vAlign w:val="center"/>
          </w:tcPr>
          <w:p w14:paraId="060FAB38">
            <w:pPr>
              <w:pStyle w:val="94"/>
              <w:rPr>
                <w:color w:val="auto"/>
              </w:rPr>
            </w:pPr>
            <w:r>
              <w:rPr>
                <w:rFonts w:hint="eastAsia"/>
                <w:color w:val="auto"/>
              </w:rPr>
              <w:t>0.20</w:t>
            </w:r>
          </w:p>
        </w:tc>
      </w:tr>
      <w:tr w14:paraId="730B96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0" w:hRule="atLeast"/>
        </w:trPr>
        <w:tc>
          <w:tcPr>
            <w:tcW w:w="2497" w:type="pct"/>
            <w:vAlign w:val="center"/>
          </w:tcPr>
          <w:p w14:paraId="799E410C">
            <w:pPr>
              <w:pStyle w:val="94"/>
              <w:rPr>
                <w:color w:val="auto"/>
              </w:rPr>
            </w:pPr>
            <w:r>
              <w:rPr>
                <w:rFonts w:hint="eastAsia"/>
                <w:color w:val="auto"/>
              </w:rPr>
              <w:t>物种特有性</w:t>
            </w:r>
          </w:p>
        </w:tc>
        <w:tc>
          <w:tcPr>
            <w:tcW w:w="2503" w:type="pct"/>
            <w:vAlign w:val="center"/>
          </w:tcPr>
          <w:p w14:paraId="473262F8">
            <w:pPr>
              <w:pStyle w:val="94"/>
              <w:rPr>
                <w:color w:val="auto"/>
              </w:rPr>
            </w:pPr>
            <w:r>
              <w:rPr>
                <w:rFonts w:hint="eastAsia"/>
                <w:color w:val="auto"/>
              </w:rPr>
              <w:t>0.20</w:t>
            </w:r>
          </w:p>
        </w:tc>
      </w:tr>
      <w:tr w14:paraId="3EFD74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0" w:hRule="atLeast"/>
        </w:trPr>
        <w:tc>
          <w:tcPr>
            <w:tcW w:w="2497" w:type="pct"/>
            <w:vAlign w:val="center"/>
          </w:tcPr>
          <w:p w14:paraId="1E97386E">
            <w:pPr>
              <w:pStyle w:val="94"/>
              <w:rPr>
                <w:color w:val="auto"/>
              </w:rPr>
            </w:pPr>
            <w:r>
              <w:rPr>
                <w:rFonts w:hint="eastAsia"/>
                <w:color w:val="auto"/>
              </w:rPr>
              <w:t>受威胁物种的丰富度</w:t>
            </w:r>
          </w:p>
        </w:tc>
        <w:tc>
          <w:tcPr>
            <w:tcW w:w="2503" w:type="pct"/>
            <w:vAlign w:val="center"/>
          </w:tcPr>
          <w:p w14:paraId="2A5CA39D">
            <w:pPr>
              <w:pStyle w:val="94"/>
              <w:rPr>
                <w:color w:val="auto"/>
              </w:rPr>
            </w:pPr>
            <w:r>
              <w:rPr>
                <w:rFonts w:hint="eastAsia"/>
                <w:color w:val="auto"/>
              </w:rPr>
              <w:t>0.10</w:t>
            </w:r>
          </w:p>
        </w:tc>
      </w:tr>
      <w:tr w14:paraId="529943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0" w:hRule="atLeast"/>
        </w:trPr>
        <w:tc>
          <w:tcPr>
            <w:tcW w:w="2497" w:type="pct"/>
            <w:vAlign w:val="center"/>
          </w:tcPr>
          <w:p w14:paraId="1C741AB4">
            <w:pPr>
              <w:pStyle w:val="94"/>
              <w:rPr>
                <w:color w:val="auto"/>
              </w:rPr>
            </w:pPr>
            <w:r>
              <w:rPr>
                <w:rFonts w:hint="eastAsia"/>
                <w:color w:val="auto"/>
              </w:rPr>
              <w:t>外来物种入侵度</w:t>
            </w:r>
          </w:p>
        </w:tc>
        <w:tc>
          <w:tcPr>
            <w:tcW w:w="2503" w:type="pct"/>
            <w:vAlign w:val="center"/>
          </w:tcPr>
          <w:p w14:paraId="2D312D07">
            <w:pPr>
              <w:pStyle w:val="94"/>
              <w:rPr>
                <w:color w:val="auto"/>
              </w:rPr>
            </w:pPr>
            <w:r>
              <w:rPr>
                <w:rFonts w:hint="eastAsia"/>
                <w:color w:val="auto"/>
              </w:rPr>
              <w:t>0.10</w:t>
            </w:r>
          </w:p>
        </w:tc>
      </w:tr>
    </w:tbl>
    <w:p w14:paraId="5CCDDC83">
      <w:pPr>
        <w:pStyle w:val="96"/>
        <w:ind w:firstLine="480"/>
        <w:rPr>
          <w:rFonts w:cs="Arial"/>
        </w:rPr>
      </w:pPr>
      <w:r>
        <w:rPr>
          <w:rFonts w:hint="eastAsia"/>
        </w:rPr>
        <w:t>(3)生物多样性指数的计算</w:t>
      </w:r>
    </w:p>
    <w:p w14:paraId="60917C42">
      <w:pPr>
        <w:pStyle w:val="96"/>
        <w:ind w:firstLine="480"/>
      </w:pPr>
      <w:r>
        <w:rPr>
          <w:rFonts w:hint="eastAsia"/>
        </w:rPr>
        <w:t>生物多样性指数(BI)是指将上述六项指标，即野生维管束植物丰富度、野生高等动物丰富度、生态系统类型多样性、物种特有性、外来物种入侵度和受威胁物种丰富度加权求和，用来表征被评价区域的生物多样性状况。其中外来物种入侵度为成本型指标，即指标的属性值越小越好，因此对该指标要作适当转换。</w:t>
      </w:r>
    </w:p>
    <w:p w14:paraId="4858D4AE">
      <w:pPr>
        <w:pStyle w:val="96"/>
        <w:ind w:firstLine="480"/>
      </w:pPr>
      <w:r>
        <w:rPr>
          <w:rFonts w:hint="eastAsia"/>
        </w:rPr>
        <w:t>生物多样性指数(BI)=归一化后的野生维管束植物丰富度×0.20+归一化后的野生高等动物丰富度×0.20+归一化后的生态系统类型多样性×0.20+归一化后的物种特有性×0.20+(100-归一化后的外来物种入侵度)×0.10+归一化后的受威胁物种丰富度×0.10</w:t>
      </w:r>
    </w:p>
    <w:p w14:paraId="12E3F5D9">
      <w:pPr>
        <w:pStyle w:val="96"/>
        <w:ind w:firstLine="480"/>
      </w:pPr>
      <w:r>
        <w:rPr>
          <w:rFonts w:hint="eastAsia"/>
        </w:rPr>
        <w:t>（4）多样性状况分级</w:t>
      </w:r>
    </w:p>
    <w:p w14:paraId="4E5B491E">
      <w:pPr>
        <w:pStyle w:val="96"/>
        <w:ind w:firstLine="480"/>
      </w:pPr>
      <w:r>
        <w:rPr>
          <w:rFonts w:hint="eastAsia"/>
        </w:rPr>
        <w:t>根据生物多样性指数(BI)，环保部标准中将生物多样性状况分为低、一般、中、高四个等级，见下表。</w:t>
      </w:r>
    </w:p>
    <w:p w14:paraId="1F10E216">
      <w:pPr>
        <w:pStyle w:val="19"/>
        <w:keepNext/>
      </w:pPr>
      <w:r>
        <w:t xml:space="preserve">表 </w:t>
      </w:r>
      <w:r>
        <w:fldChar w:fldCharType="begin"/>
      </w:r>
      <w:r>
        <w:instrText xml:space="preserve"> SEQ 表 \* ARABIC </w:instrText>
      </w:r>
      <w:r>
        <w:fldChar w:fldCharType="separate"/>
      </w:r>
      <w:r>
        <w:t>75</w:t>
      </w:r>
      <w:r>
        <w:fldChar w:fldCharType="end"/>
      </w:r>
      <w:r>
        <w:rPr>
          <w:rFonts w:hint="eastAsia"/>
        </w:rPr>
        <w:t>生物多样性状况分级标准</w:t>
      </w:r>
    </w:p>
    <w:tbl>
      <w:tblPr>
        <w:tblStyle w:val="384"/>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082"/>
        <w:gridCol w:w="1952"/>
        <w:gridCol w:w="6438"/>
      </w:tblGrid>
      <w:tr w14:paraId="14E12C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5" w:hRule="atLeast"/>
          <w:jc w:val="center"/>
        </w:trPr>
        <w:tc>
          <w:tcPr>
            <w:tcW w:w="994" w:type="pct"/>
            <w:tcBorders>
              <w:top w:val="single" w:color="000000" w:sz="2" w:space="0"/>
              <w:left w:val="single" w:color="000000" w:sz="2" w:space="0"/>
              <w:bottom w:val="single" w:color="000000" w:sz="2" w:space="0"/>
              <w:right w:val="single" w:color="000000" w:sz="2" w:space="0"/>
            </w:tcBorders>
            <w:vAlign w:val="center"/>
          </w:tcPr>
          <w:p w14:paraId="65BE25D4">
            <w:pPr>
              <w:pStyle w:val="94"/>
              <w:rPr>
                <w:color w:val="auto"/>
                <w:sz w:val="20"/>
              </w:rPr>
            </w:pPr>
            <w:r>
              <w:rPr>
                <w:rFonts w:hint="eastAsia"/>
                <w:color w:val="auto"/>
                <w:sz w:val="20"/>
              </w:rPr>
              <w:t>生物多样性等级</w:t>
            </w:r>
          </w:p>
        </w:tc>
        <w:tc>
          <w:tcPr>
            <w:tcW w:w="932" w:type="pct"/>
            <w:tcBorders>
              <w:top w:val="single" w:color="000000" w:sz="2" w:space="0"/>
              <w:left w:val="single" w:color="000000" w:sz="2" w:space="0"/>
              <w:bottom w:val="single" w:color="000000" w:sz="2" w:space="0"/>
              <w:right w:val="single" w:color="000000" w:sz="2" w:space="0"/>
            </w:tcBorders>
            <w:vAlign w:val="center"/>
          </w:tcPr>
          <w:p w14:paraId="4ABE2CED">
            <w:pPr>
              <w:pStyle w:val="94"/>
              <w:rPr>
                <w:color w:val="auto"/>
                <w:sz w:val="20"/>
              </w:rPr>
            </w:pPr>
            <w:r>
              <w:rPr>
                <w:rFonts w:hint="eastAsia"/>
                <w:color w:val="auto"/>
                <w:sz w:val="20"/>
              </w:rPr>
              <w:t>生物多样性指数</w:t>
            </w:r>
          </w:p>
        </w:tc>
        <w:tc>
          <w:tcPr>
            <w:tcW w:w="3073" w:type="pct"/>
            <w:tcBorders>
              <w:top w:val="single" w:color="000000" w:sz="2" w:space="0"/>
              <w:left w:val="single" w:color="000000" w:sz="2" w:space="0"/>
              <w:bottom w:val="single" w:color="000000" w:sz="2" w:space="0"/>
              <w:right w:val="single" w:color="000000" w:sz="2" w:space="0"/>
            </w:tcBorders>
            <w:vAlign w:val="center"/>
          </w:tcPr>
          <w:p w14:paraId="7CCE640C">
            <w:pPr>
              <w:pStyle w:val="94"/>
              <w:rPr>
                <w:color w:val="auto"/>
                <w:sz w:val="20"/>
              </w:rPr>
            </w:pPr>
            <w:r>
              <w:rPr>
                <w:rFonts w:hint="eastAsia"/>
                <w:color w:val="auto"/>
                <w:sz w:val="20"/>
              </w:rPr>
              <w:t>生物多样性状况</w:t>
            </w:r>
          </w:p>
        </w:tc>
      </w:tr>
      <w:tr w14:paraId="34CB10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3" w:hRule="atLeast"/>
          <w:jc w:val="center"/>
        </w:trPr>
        <w:tc>
          <w:tcPr>
            <w:tcW w:w="994" w:type="pct"/>
            <w:tcBorders>
              <w:top w:val="single" w:color="000000" w:sz="2" w:space="0"/>
              <w:left w:val="single" w:color="000000" w:sz="2" w:space="0"/>
              <w:bottom w:val="single" w:color="000000" w:sz="2" w:space="0"/>
              <w:right w:val="single" w:color="000000" w:sz="2" w:space="0"/>
            </w:tcBorders>
            <w:vAlign w:val="center"/>
          </w:tcPr>
          <w:p w14:paraId="1D7131A1">
            <w:pPr>
              <w:pStyle w:val="94"/>
              <w:rPr>
                <w:color w:val="auto"/>
                <w:sz w:val="20"/>
              </w:rPr>
            </w:pPr>
            <w:r>
              <w:rPr>
                <w:rFonts w:hint="eastAsia"/>
                <w:color w:val="auto"/>
                <w:sz w:val="20"/>
              </w:rPr>
              <w:t>高</w:t>
            </w:r>
          </w:p>
        </w:tc>
        <w:tc>
          <w:tcPr>
            <w:tcW w:w="932" w:type="pct"/>
            <w:tcBorders>
              <w:top w:val="single" w:color="000000" w:sz="2" w:space="0"/>
              <w:left w:val="single" w:color="000000" w:sz="2" w:space="0"/>
              <w:bottom w:val="single" w:color="000000" w:sz="2" w:space="0"/>
              <w:right w:val="single" w:color="000000" w:sz="2" w:space="0"/>
            </w:tcBorders>
            <w:vAlign w:val="center"/>
          </w:tcPr>
          <w:p w14:paraId="1A89A889">
            <w:pPr>
              <w:pStyle w:val="94"/>
              <w:rPr>
                <w:color w:val="auto"/>
                <w:sz w:val="20"/>
              </w:rPr>
            </w:pPr>
            <w:r>
              <w:rPr>
                <w:rFonts w:hint="eastAsia"/>
                <w:color w:val="auto"/>
                <w:sz w:val="20"/>
              </w:rPr>
              <w:t>BI≥60</w:t>
            </w:r>
          </w:p>
        </w:tc>
        <w:tc>
          <w:tcPr>
            <w:tcW w:w="3073" w:type="pct"/>
            <w:tcBorders>
              <w:top w:val="single" w:color="000000" w:sz="2" w:space="0"/>
              <w:left w:val="single" w:color="000000" w:sz="2" w:space="0"/>
              <w:bottom w:val="single" w:color="000000" w:sz="2" w:space="0"/>
              <w:right w:val="single" w:color="000000" w:sz="2" w:space="0"/>
            </w:tcBorders>
            <w:vAlign w:val="center"/>
          </w:tcPr>
          <w:p w14:paraId="2E134858">
            <w:pPr>
              <w:pStyle w:val="94"/>
              <w:rPr>
                <w:color w:val="auto"/>
                <w:sz w:val="20"/>
              </w:rPr>
            </w:pPr>
            <w:r>
              <w:rPr>
                <w:rFonts w:hint="eastAsia"/>
                <w:color w:val="auto"/>
                <w:sz w:val="20"/>
              </w:rPr>
              <w:t>物种高度丰富，特有属、种多，生态系统丰富多样</w:t>
            </w:r>
          </w:p>
        </w:tc>
      </w:tr>
      <w:tr w14:paraId="2795D3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19" w:hRule="atLeast"/>
          <w:jc w:val="center"/>
        </w:trPr>
        <w:tc>
          <w:tcPr>
            <w:tcW w:w="994" w:type="pct"/>
            <w:tcBorders>
              <w:top w:val="single" w:color="000000" w:sz="2" w:space="0"/>
              <w:left w:val="single" w:color="000000" w:sz="2" w:space="0"/>
              <w:bottom w:val="single" w:color="000000" w:sz="2" w:space="0"/>
              <w:right w:val="single" w:color="000000" w:sz="2" w:space="0"/>
            </w:tcBorders>
            <w:vAlign w:val="center"/>
          </w:tcPr>
          <w:p w14:paraId="6D4EFCE7">
            <w:pPr>
              <w:pStyle w:val="94"/>
              <w:rPr>
                <w:color w:val="auto"/>
                <w:sz w:val="20"/>
              </w:rPr>
            </w:pPr>
            <w:r>
              <w:rPr>
                <w:rFonts w:hint="eastAsia"/>
                <w:color w:val="auto"/>
                <w:sz w:val="20"/>
              </w:rPr>
              <w:t>中</w:t>
            </w:r>
          </w:p>
        </w:tc>
        <w:tc>
          <w:tcPr>
            <w:tcW w:w="932" w:type="pct"/>
            <w:tcBorders>
              <w:top w:val="single" w:color="000000" w:sz="2" w:space="0"/>
              <w:left w:val="single" w:color="000000" w:sz="2" w:space="0"/>
              <w:bottom w:val="single" w:color="000000" w:sz="2" w:space="0"/>
              <w:right w:val="single" w:color="000000" w:sz="2" w:space="0"/>
            </w:tcBorders>
            <w:vAlign w:val="center"/>
          </w:tcPr>
          <w:p w14:paraId="0A49119F">
            <w:pPr>
              <w:pStyle w:val="94"/>
              <w:rPr>
                <w:color w:val="auto"/>
                <w:sz w:val="20"/>
              </w:rPr>
            </w:pPr>
            <w:r>
              <w:rPr>
                <w:rFonts w:hint="eastAsia"/>
                <w:color w:val="auto"/>
                <w:sz w:val="20"/>
              </w:rPr>
              <w:t>30≤BI＜60</w:t>
            </w:r>
          </w:p>
        </w:tc>
        <w:tc>
          <w:tcPr>
            <w:tcW w:w="3073" w:type="pct"/>
            <w:tcBorders>
              <w:top w:val="single" w:color="000000" w:sz="2" w:space="0"/>
              <w:left w:val="single" w:color="000000" w:sz="2" w:space="0"/>
              <w:bottom w:val="single" w:color="000000" w:sz="2" w:space="0"/>
              <w:right w:val="single" w:color="000000" w:sz="2" w:space="0"/>
            </w:tcBorders>
            <w:vAlign w:val="center"/>
          </w:tcPr>
          <w:p w14:paraId="3035C339">
            <w:pPr>
              <w:pStyle w:val="94"/>
              <w:rPr>
                <w:color w:val="auto"/>
                <w:sz w:val="20"/>
              </w:rPr>
            </w:pPr>
            <w:r>
              <w:rPr>
                <w:rFonts w:hint="eastAsia"/>
                <w:color w:val="auto"/>
                <w:sz w:val="20"/>
              </w:rPr>
              <w:t>物种较丰富，特有属、种较多，生态系统类型较多，局</w:t>
            </w:r>
          </w:p>
          <w:p w14:paraId="198F3FF8">
            <w:pPr>
              <w:pStyle w:val="94"/>
              <w:rPr>
                <w:color w:val="auto"/>
                <w:sz w:val="20"/>
              </w:rPr>
            </w:pPr>
            <w:r>
              <w:rPr>
                <w:rFonts w:hint="eastAsia"/>
                <w:color w:val="auto"/>
                <w:sz w:val="20"/>
              </w:rPr>
              <w:t>部地区生物多样性高度丰富</w:t>
            </w:r>
          </w:p>
        </w:tc>
      </w:tr>
      <w:tr w14:paraId="68B5E2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19" w:hRule="atLeast"/>
          <w:jc w:val="center"/>
        </w:trPr>
        <w:tc>
          <w:tcPr>
            <w:tcW w:w="994" w:type="pct"/>
            <w:tcBorders>
              <w:top w:val="single" w:color="000000" w:sz="2" w:space="0"/>
              <w:left w:val="single" w:color="000000" w:sz="2" w:space="0"/>
              <w:bottom w:val="single" w:color="000000" w:sz="2" w:space="0"/>
              <w:right w:val="single" w:color="000000" w:sz="2" w:space="0"/>
            </w:tcBorders>
            <w:vAlign w:val="center"/>
          </w:tcPr>
          <w:p w14:paraId="39EF1158">
            <w:pPr>
              <w:pStyle w:val="94"/>
              <w:rPr>
                <w:color w:val="auto"/>
                <w:sz w:val="20"/>
              </w:rPr>
            </w:pPr>
            <w:r>
              <w:rPr>
                <w:rFonts w:hint="eastAsia"/>
                <w:color w:val="auto"/>
                <w:sz w:val="20"/>
              </w:rPr>
              <w:t>一般</w:t>
            </w:r>
          </w:p>
        </w:tc>
        <w:tc>
          <w:tcPr>
            <w:tcW w:w="932" w:type="pct"/>
            <w:tcBorders>
              <w:top w:val="single" w:color="000000" w:sz="2" w:space="0"/>
              <w:left w:val="single" w:color="000000" w:sz="2" w:space="0"/>
              <w:bottom w:val="single" w:color="000000" w:sz="2" w:space="0"/>
              <w:right w:val="single" w:color="000000" w:sz="2" w:space="0"/>
            </w:tcBorders>
            <w:vAlign w:val="center"/>
          </w:tcPr>
          <w:p w14:paraId="2379414D">
            <w:pPr>
              <w:pStyle w:val="94"/>
              <w:rPr>
                <w:color w:val="auto"/>
                <w:sz w:val="20"/>
              </w:rPr>
            </w:pPr>
            <w:r>
              <w:rPr>
                <w:rFonts w:hint="eastAsia"/>
                <w:color w:val="auto"/>
                <w:sz w:val="20"/>
              </w:rPr>
              <w:t>20≤BI＜30</w:t>
            </w:r>
          </w:p>
        </w:tc>
        <w:tc>
          <w:tcPr>
            <w:tcW w:w="3073" w:type="pct"/>
            <w:tcBorders>
              <w:top w:val="single" w:color="000000" w:sz="2" w:space="0"/>
              <w:left w:val="single" w:color="000000" w:sz="2" w:space="0"/>
              <w:bottom w:val="single" w:color="000000" w:sz="2" w:space="0"/>
              <w:right w:val="single" w:color="000000" w:sz="2" w:space="0"/>
            </w:tcBorders>
            <w:vAlign w:val="center"/>
          </w:tcPr>
          <w:p w14:paraId="7DCAE2C3">
            <w:pPr>
              <w:pStyle w:val="94"/>
              <w:rPr>
                <w:color w:val="auto"/>
                <w:sz w:val="20"/>
              </w:rPr>
            </w:pPr>
            <w:r>
              <w:rPr>
                <w:rFonts w:hint="eastAsia"/>
                <w:color w:val="auto"/>
                <w:sz w:val="20"/>
              </w:rPr>
              <w:t>物种较少，特有属、种不多，局部地区生物多样性较丰</w:t>
            </w:r>
          </w:p>
          <w:p w14:paraId="6B6A5117">
            <w:pPr>
              <w:pStyle w:val="94"/>
              <w:rPr>
                <w:color w:val="auto"/>
                <w:sz w:val="20"/>
              </w:rPr>
            </w:pPr>
            <w:r>
              <w:rPr>
                <w:rFonts w:hint="eastAsia"/>
                <w:color w:val="auto"/>
                <w:sz w:val="20"/>
              </w:rPr>
              <w:t>富，但生物多样性总体水平一般</w:t>
            </w:r>
          </w:p>
        </w:tc>
      </w:tr>
      <w:tr w14:paraId="4FCB46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5" w:hRule="atLeast"/>
          <w:jc w:val="center"/>
        </w:trPr>
        <w:tc>
          <w:tcPr>
            <w:tcW w:w="994" w:type="pct"/>
            <w:tcBorders>
              <w:top w:val="single" w:color="000000" w:sz="2" w:space="0"/>
              <w:left w:val="single" w:color="000000" w:sz="2" w:space="0"/>
              <w:bottom w:val="single" w:color="000000" w:sz="2" w:space="0"/>
              <w:right w:val="single" w:color="000000" w:sz="2" w:space="0"/>
            </w:tcBorders>
            <w:vAlign w:val="center"/>
          </w:tcPr>
          <w:p w14:paraId="24AFFE4D">
            <w:pPr>
              <w:pStyle w:val="94"/>
              <w:rPr>
                <w:color w:val="auto"/>
                <w:sz w:val="20"/>
              </w:rPr>
            </w:pPr>
            <w:r>
              <w:rPr>
                <w:rFonts w:hint="eastAsia"/>
                <w:color w:val="auto"/>
                <w:sz w:val="20"/>
              </w:rPr>
              <w:t>低</w:t>
            </w:r>
          </w:p>
        </w:tc>
        <w:tc>
          <w:tcPr>
            <w:tcW w:w="932" w:type="pct"/>
            <w:tcBorders>
              <w:top w:val="single" w:color="000000" w:sz="2" w:space="0"/>
              <w:left w:val="single" w:color="000000" w:sz="2" w:space="0"/>
              <w:bottom w:val="single" w:color="000000" w:sz="2" w:space="0"/>
              <w:right w:val="single" w:color="000000" w:sz="2" w:space="0"/>
            </w:tcBorders>
            <w:vAlign w:val="center"/>
          </w:tcPr>
          <w:p w14:paraId="0EBB974F">
            <w:pPr>
              <w:pStyle w:val="94"/>
              <w:rPr>
                <w:color w:val="auto"/>
                <w:sz w:val="20"/>
              </w:rPr>
            </w:pPr>
            <w:r>
              <w:rPr>
                <w:rFonts w:hint="eastAsia"/>
                <w:color w:val="auto"/>
                <w:sz w:val="20"/>
              </w:rPr>
              <w:t>BI＜20</w:t>
            </w:r>
          </w:p>
        </w:tc>
        <w:tc>
          <w:tcPr>
            <w:tcW w:w="3073" w:type="pct"/>
            <w:tcBorders>
              <w:top w:val="single" w:color="000000" w:sz="2" w:space="0"/>
              <w:left w:val="single" w:color="000000" w:sz="2" w:space="0"/>
              <w:bottom w:val="single" w:color="000000" w:sz="2" w:space="0"/>
              <w:right w:val="single" w:color="000000" w:sz="2" w:space="0"/>
            </w:tcBorders>
            <w:vAlign w:val="center"/>
          </w:tcPr>
          <w:p w14:paraId="4DA8622D">
            <w:pPr>
              <w:pStyle w:val="94"/>
              <w:rPr>
                <w:color w:val="auto"/>
                <w:sz w:val="20"/>
              </w:rPr>
            </w:pPr>
            <w:r>
              <w:rPr>
                <w:rFonts w:hint="eastAsia"/>
                <w:color w:val="auto"/>
                <w:sz w:val="20"/>
              </w:rPr>
              <w:t>物种贫乏，生态系统类型单一、脆弱，生物多样性极低</w:t>
            </w:r>
          </w:p>
        </w:tc>
      </w:tr>
    </w:tbl>
    <w:p w14:paraId="4450AA94">
      <w:pPr>
        <w:pStyle w:val="96"/>
        <w:ind w:firstLine="480"/>
        <w:rPr>
          <w:rFonts w:cs="Arial"/>
        </w:rPr>
      </w:pPr>
      <w:r>
        <w:rPr>
          <w:rFonts w:hint="eastAsia"/>
        </w:rPr>
        <w:t>3、评价结果</w:t>
      </w:r>
    </w:p>
    <w:p w14:paraId="65ACD55E">
      <w:pPr>
        <w:pStyle w:val="96"/>
        <w:ind w:firstLine="480"/>
      </w:pPr>
      <w:r>
        <w:rPr>
          <w:rFonts w:hint="eastAsia"/>
        </w:rPr>
        <w:t>(1)指标统计</w:t>
      </w:r>
    </w:p>
    <w:p w14:paraId="32825CAD">
      <w:pPr>
        <w:pStyle w:val="96"/>
        <w:ind w:firstLine="480"/>
      </w:pPr>
      <w:r>
        <w:rPr>
          <w:rFonts w:hint="eastAsia"/>
        </w:rPr>
        <w:t>根据上述对评价区生态系统及野生动植物资源的调查结果，对上述6项生物多样性评价指标进行统计，见下表。</w:t>
      </w:r>
    </w:p>
    <w:p w14:paraId="4E2A3768">
      <w:pPr>
        <w:pStyle w:val="19"/>
        <w:keepNext/>
      </w:pPr>
      <w:r>
        <w:t xml:space="preserve">表 </w:t>
      </w:r>
      <w:r>
        <w:fldChar w:fldCharType="begin"/>
      </w:r>
      <w:r>
        <w:instrText xml:space="preserve"> SEQ 表 \* ARABIC </w:instrText>
      </w:r>
      <w:r>
        <w:fldChar w:fldCharType="separate"/>
      </w:r>
      <w:r>
        <w:t>76</w:t>
      </w:r>
      <w:r>
        <w:fldChar w:fldCharType="end"/>
      </w:r>
      <w:r>
        <w:rPr>
          <w:rFonts w:hint="eastAsia"/>
        </w:rPr>
        <w:t>各项评价指标值</w:t>
      </w:r>
    </w:p>
    <w:tbl>
      <w:tblPr>
        <w:tblStyle w:val="384"/>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147"/>
        <w:gridCol w:w="6325"/>
      </w:tblGrid>
      <w:tr w14:paraId="2B7175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0" w:hRule="atLeast"/>
          <w:jc w:val="center"/>
        </w:trPr>
        <w:tc>
          <w:tcPr>
            <w:tcW w:w="1980" w:type="pct"/>
            <w:tcBorders>
              <w:top w:val="single" w:color="000000" w:sz="2" w:space="0"/>
              <w:left w:val="single" w:color="000000" w:sz="2" w:space="0"/>
              <w:bottom w:val="single" w:color="000000" w:sz="2" w:space="0"/>
              <w:right w:val="single" w:color="000000" w:sz="2" w:space="0"/>
            </w:tcBorders>
            <w:vAlign w:val="center"/>
          </w:tcPr>
          <w:p w14:paraId="449C7376">
            <w:pPr>
              <w:pStyle w:val="94"/>
              <w:rPr>
                <w:color w:val="auto"/>
                <w:sz w:val="20"/>
              </w:rPr>
            </w:pPr>
            <w:r>
              <w:rPr>
                <w:rFonts w:hint="eastAsia"/>
                <w:color w:val="auto"/>
                <w:sz w:val="20"/>
              </w:rPr>
              <w:t>指标</w:t>
            </w:r>
          </w:p>
        </w:tc>
        <w:tc>
          <w:tcPr>
            <w:tcW w:w="3020" w:type="pct"/>
            <w:tcBorders>
              <w:top w:val="single" w:color="000000" w:sz="2" w:space="0"/>
              <w:left w:val="single" w:color="000000" w:sz="2" w:space="0"/>
              <w:bottom w:val="single" w:color="000000" w:sz="2" w:space="0"/>
              <w:right w:val="single" w:color="000000" w:sz="2" w:space="0"/>
            </w:tcBorders>
            <w:vAlign w:val="center"/>
          </w:tcPr>
          <w:p w14:paraId="4106582C">
            <w:pPr>
              <w:pStyle w:val="94"/>
              <w:rPr>
                <w:color w:val="auto"/>
                <w:sz w:val="20"/>
              </w:rPr>
            </w:pPr>
            <w:r>
              <w:rPr>
                <w:rFonts w:hint="eastAsia"/>
                <w:color w:val="auto"/>
                <w:sz w:val="20"/>
              </w:rPr>
              <w:t>数值</w:t>
            </w:r>
          </w:p>
        </w:tc>
      </w:tr>
      <w:tr w14:paraId="76AC45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0" w:hRule="atLeast"/>
          <w:jc w:val="center"/>
        </w:trPr>
        <w:tc>
          <w:tcPr>
            <w:tcW w:w="1980" w:type="pct"/>
            <w:tcBorders>
              <w:top w:val="single" w:color="000000" w:sz="2" w:space="0"/>
              <w:left w:val="single" w:color="000000" w:sz="2" w:space="0"/>
              <w:bottom w:val="single" w:color="000000" w:sz="2" w:space="0"/>
              <w:right w:val="single" w:color="000000" w:sz="2" w:space="0"/>
            </w:tcBorders>
            <w:vAlign w:val="center"/>
          </w:tcPr>
          <w:p w14:paraId="3AC180A2">
            <w:pPr>
              <w:pStyle w:val="94"/>
              <w:rPr>
                <w:color w:val="auto"/>
                <w:sz w:val="20"/>
              </w:rPr>
            </w:pPr>
            <w:r>
              <w:rPr>
                <w:rFonts w:hint="eastAsia"/>
                <w:color w:val="auto"/>
                <w:sz w:val="20"/>
              </w:rPr>
              <w:t>植物丰富度</w:t>
            </w:r>
          </w:p>
        </w:tc>
        <w:tc>
          <w:tcPr>
            <w:tcW w:w="3020" w:type="pct"/>
            <w:tcBorders>
              <w:top w:val="single" w:color="000000" w:sz="2" w:space="0"/>
              <w:left w:val="single" w:color="000000" w:sz="2" w:space="0"/>
              <w:bottom w:val="single" w:color="000000" w:sz="2" w:space="0"/>
              <w:right w:val="single" w:color="000000" w:sz="2" w:space="0"/>
            </w:tcBorders>
            <w:vAlign w:val="center"/>
          </w:tcPr>
          <w:p w14:paraId="2C70990D">
            <w:pPr>
              <w:pStyle w:val="94"/>
              <w:rPr>
                <w:color w:val="auto"/>
                <w:sz w:val="20"/>
              </w:rPr>
            </w:pPr>
            <w:r>
              <w:rPr>
                <w:rFonts w:hint="eastAsia"/>
                <w:color w:val="auto"/>
                <w:sz w:val="20"/>
              </w:rPr>
              <w:t>118</w:t>
            </w:r>
          </w:p>
        </w:tc>
      </w:tr>
      <w:tr w14:paraId="1B7BC6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0" w:hRule="atLeast"/>
          <w:jc w:val="center"/>
        </w:trPr>
        <w:tc>
          <w:tcPr>
            <w:tcW w:w="1980" w:type="pct"/>
            <w:tcBorders>
              <w:top w:val="single" w:color="000000" w:sz="2" w:space="0"/>
              <w:left w:val="single" w:color="000000" w:sz="2" w:space="0"/>
              <w:bottom w:val="single" w:color="000000" w:sz="2" w:space="0"/>
              <w:right w:val="single" w:color="000000" w:sz="2" w:space="0"/>
            </w:tcBorders>
            <w:vAlign w:val="center"/>
          </w:tcPr>
          <w:p w14:paraId="49E63400">
            <w:pPr>
              <w:pStyle w:val="94"/>
              <w:rPr>
                <w:color w:val="auto"/>
                <w:sz w:val="20"/>
              </w:rPr>
            </w:pPr>
            <w:r>
              <w:rPr>
                <w:rFonts w:hint="eastAsia"/>
                <w:color w:val="auto"/>
                <w:sz w:val="20"/>
              </w:rPr>
              <w:t>动物丰富度</w:t>
            </w:r>
          </w:p>
        </w:tc>
        <w:tc>
          <w:tcPr>
            <w:tcW w:w="3020" w:type="pct"/>
            <w:tcBorders>
              <w:top w:val="single" w:color="000000" w:sz="2" w:space="0"/>
              <w:left w:val="single" w:color="000000" w:sz="2" w:space="0"/>
              <w:bottom w:val="single" w:color="000000" w:sz="2" w:space="0"/>
              <w:right w:val="single" w:color="000000" w:sz="2" w:space="0"/>
            </w:tcBorders>
            <w:vAlign w:val="center"/>
          </w:tcPr>
          <w:p w14:paraId="1F65B274">
            <w:pPr>
              <w:pStyle w:val="94"/>
              <w:rPr>
                <w:color w:val="auto"/>
                <w:sz w:val="20"/>
              </w:rPr>
            </w:pPr>
            <w:r>
              <w:rPr>
                <w:rFonts w:hint="eastAsia"/>
                <w:color w:val="auto"/>
                <w:sz w:val="20"/>
              </w:rPr>
              <w:t>106</w:t>
            </w:r>
          </w:p>
        </w:tc>
      </w:tr>
      <w:tr w14:paraId="10A5EC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0" w:hRule="atLeast"/>
          <w:jc w:val="center"/>
        </w:trPr>
        <w:tc>
          <w:tcPr>
            <w:tcW w:w="1980" w:type="pct"/>
            <w:tcBorders>
              <w:top w:val="single" w:color="000000" w:sz="2" w:space="0"/>
              <w:left w:val="single" w:color="000000" w:sz="2" w:space="0"/>
              <w:bottom w:val="single" w:color="000000" w:sz="2" w:space="0"/>
              <w:right w:val="single" w:color="000000" w:sz="2" w:space="0"/>
            </w:tcBorders>
            <w:vAlign w:val="center"/>
          </w:tcPr>
          <w:p w14:paraId="7678764C">
            <w:pPr>
              <w:pStyle w:val="94"/>
              <w:rPr>
                <w:color w:val="auto"/>
                <w:sz w:val="20"/>
              </w:rPr>
            </w:pPr>
            <w:r>
              <w:rPr>
                <w:rFonts w:hint="eastAsia"/>
                <w:color w:val="auto"/>
                <w:sz w:val="20"/>
              </w:rPr>
              <w:t>生态系统多样性</w:t>
            </w:r>
          </w:p>
        </w:tc>
        <w:tc>
          <w:tcPr>
            <w:tcW w:w="3020" w:type="pct"/>
            <w:tcBorders>
              <w:top w:val="single" w:color="000000" w:sz="2" w:space="0"/>
              <w:left w:val="single" w:color="000000" w:sz="2" w:space="0"/>
              <w:bottom w:val="single" w:color="000000" w:sz="2" w:space="0"/>
              <w:right w:val="single" w:color="000000" w:sz="2" w:space="0"/>
            </w:tcBorders>
            <w:vAlign w:val="center"/>
          </w:tcPr>
          <w:p w14:paraId="065F49FC">
            <w:pPr>
              <w:pStyle w:val="94"/>
              <w:rPr>
                <w:color w:val="auto"/>
                <w:sz w:val="20"/>
              </w:rPr>
            </w:pPr>
            <w:r>
              <w:rPr>
                <w:rFonts w:hint="eastAsia"/>
                <w:color w:val="auto"/>
                <w:sz w:val="20"/>
              </w:rPr>
              <w:t>7</w:t>
            </w:r>
          </w:p>
        </w:tc>
      </w:tr>
      <w:tr w14:paraId="1C0F6C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0" w:hRule="atLeast"/>
          <w:jc w:val="center"/>
        </w:trPr>
        <w:tc>
          <w:tcPr>
            <w:tcW w:w="1980" w:type="pct"/>
            <w:tcBorders>
              <w:top w:val="single" w:color="000000" w:sz="2" w:space="0"/>
              <w:left w:val="single" w:color="000000" w:sz="2" w:space="0"/>
              <w:bottom w:val="single" w:color="000000" w:sz="2" w:space="0"/>
              <w:right w:val="single" w:color="000000" w:sz="2" w:space="0"/>
            </w:tcBorders>
            <w:vAlign w:val="center"/>
          </w:tcPr>
          <w:p w14:paraId="4860DF45">
            <w:pPr>
              <w:pStyle w:val="94"/>
              <w:rPr>
                <w:color w:val="auto"/>
                <w:sz w:val="20"/>
              </w:rPr>
            </w:pPr>
            <w:r>
              <w:rPr>
                <w:rFonts w:hint="eastAsia"/>
                <w:color w:val="auto"/>
                <w:sz w:val="20"/>
              </w:rPr>
              <w:t>物种特有性</w:t>
            </w:r>
          </w:p>
        </w:tc>
        <w:tc>
          <w:tcPr>
            <w:tcW w:w="3020" w:type="pct"/>
            <w:tcBorders>
              <w:top w:val="single" w:color="000000" w:sz="2" w:space="0"/>
              <w:left w:val="single" w:color="000000" w:sz="2" w:space="0"/>
              <w:bottom w:val="single" w:color="000000" w:sz="2" w:space="0"/>
              <w:right w:val="single" w:color="000000" w:sz="2" w:space="0"/>
            </w:tcBorders>
            <w:vAlign w:val="center"/>
          </w:tcPr>
          <w:p w14:paraId="47622AC4">
            <w:pPr>
              <w:pStyle w:val="94"/>
              <w:rPr>
                <w:color w:val="auto"/>
                <w:sz w:val="20"/>
              </w:rPr>
            </w:pPr>
            <w:r>
              <w:rPr>
                <w:rFonts w:hint="eastAsia"/>
                <w:color w:val="auto"/>
                <w:sz w:val="20"/>
              </w:rPr>
              <w:t>0.0033</w:t>
            </w:r>
          </w:p>
        </w:tc>
      </w:tr>
      <w:tr w14:paraId="72BC64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0" w:hRule="atLeast"/>
          <w:jc w:val="center"/>
        </w:trPr>
        <w:tc>
          <w:tcPr>
            <w:tcW w:w="1980" w:type="pct"/>
            <w:tcBorders>
              <w:top w:val="single" w:color="000000" w:sz="2" w:space="0"/>
              <w:left w:val="single" w:color="000000" w:sz="2" w:space="0"/>
              <w:bottom w:val="single" w:color="000000" w:sz="2" w:space="0"/>
              <w:right w:val="single" w:color="000000" w:sz="2" w:space="0"/>
            </w:tcBorders>
            <w:vAlign w:val="center"/>
          </w:tcPr>
          <w:p w14:paraId="16CB1F5F">
            <w:pPr>
              <w:pStyle w:val="94"/>
              <w:rPr>
                <w:color w:val="auto"/>
                <w:sz w:val="20"/>
              </w:rPr>
            </w:pPr>
            <w:r>
              <w:rPr>
                <w:rFonts w:hint="eastAsia"/>
                <w:color w:val="auto"/>
                <w:sz w:val="20"/>
              </w:rPr>
              <w:t>外来物种入侵度</w:t>
            </w:r>
          </w:p>
        </w:tc>
        <w:tc>
          <w:tcPr>
            <w:tcW w:w="3020" w:type="pct"/>
            <w:tcBorders>
              <w:top w:val="single" w:color="000000" w:sz="2" w:space="0"/>
              <w:left w:val="single" w:color="000000" w:sz="2" w:space="0"/>
              <w:bottom w:val="single" w:color="000000" w:sz="2" w:space="0"/>
              <w:right w:val="single" w:color="000000" w:sz="2" w:space="0"/>
            </w:tcBorders>
            <w:vAlign w:val="center"/>
          </w:tcPr>
          <w:p w14:paraId="097F4666">
            <w:pPr>
              <w:pStyle w:val="94"/>
              <w:rPr>
                <w:color w:val="auto"/>
                <w:sz w:val="20"/>
              </w:rPr>
            </w:pPr>
            <w:r>
              <w:rPr>
                <w:rFonts w:hint="eastAsia"/>
                <w:color w:val="auto"/>
                <w:sz w:val="20"/>
              </w:rPr>
              <w:t>0.022</w:t>
            </w:r>
          </w:p>
        </w:tc>
      </w:tr>
      <w:tr w14:paraId="598A9E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0" w:hRule="atLeast"/>
          <w:jc w:val="center"/>
        </w:trPr>
        <w:tc>
          <w:tcPr>
            <w:tcW w:w="1980" w:type="pct"/>
            <w:tcBorders>
              <w:top w:val="single" w:color="000000" w:sz="2" w:space="0"/>
              <w:left w:val="single" w:color="000000" w:sz="2" w:space="0"/>
              <w:bottom w:val="single" w:color="000000" w:sz="2" w:space="0"/>
              <w:right w:val="single" w:color="000000" w:sz="2" w:space="0"/>
            </w:tcBorders>
            <w:vAlign w:val="center"/>
          </w:tcPr>
          <w:p w14:paraId="40588033">
            <w:pPr>
              <w:pStyle w:val="94"/>
              <w:rPr>
                <w:color w:val="auto"/>
                <w:sz w:val="20"/>
              </w:rPr>
            </w:pPr>
            <w:r>
              <w:rPr>
                <w:rFonts w:hint="eastAsia"/>
                <w:color w:val="auto"/>
                <w:sz w:val="20"/>
              </w:rPr>
              <w:t>受威胁物种丰富度</w:t>
            </w:r>
          </w:p>
        </w:tc>
        <w:tc>
          <w:tcPr>
            <w:tcW w:w="3020" w:type="pct"/>
            <w:tcBorders>
              <w:top w:val="single" w:color="000000" w:sz="2" w:space="0"/>
              <w:left w:val="single" w:color="000000" w:sz="2" w:space="0"/>
              <w:bottom w:val="single" w:color="000000" w:sz="2" w:space="0"/>
              <w:right w:val="single" w:color="000000" w:sz="2" w:space="0"/>
            </w:tcBorders>
            <w:vAlign w:val="center"/>
          </w:tcPr>
          <w:p w14:paraId="1E3B070F">
            <w:pPr>
              <w:pStyle w:val="94"/>
              <w:rPr>
                <w:color w:val="auto"/>
                <w:sz w:val="20"/>
              </w:rPr>
            </w:pPr>
            <w:r>
              <w:rPr>
                <w:rFonts w:hint="eastAsia"/>
                <w:color w:val="auto"/>
                <w:sz w:val="20"/>
              </w:rPr>
              <w:t>0.005</w:t>
            </w:r>
          </w:p>
        </w:tc>
      </w:tr>
    </w:tbl>
    <w:p w14:paraId="35FBA5FF">
      <w:pPr>
        <w:pStyle w:val="96"/>
        <w:ind w:firstLine="480"/>
        <w:rPr>
          <w:rFonts w:cs="Arial"/>
        </w:rPr>
      </w:pPr>
      <w:r>
        <w:rPr>
          <w:rFonts w:hint="eastAsia"/>
        </w:rPr>
        <w:t>(2)归一化处理</w:t>
      </w:r>
    </w:p>
    <w:p w14:paraId="121BFAF6">
      <w:pPr>
        <w:pStyle w:val="96"/>
        <w:ind w:firstLine="480"/>
      </w:pPr>
      <w:r>
        <w:rPr>
          <w:rFonts w:hint="eastAsia"/>
        </w:rPr>
        <w:t>利用归一化方法，对评价区各项生物多样性指标进行归一化处理，结果见下表。</w:t>
      </w:r>
    </w:p>
    <w:p w14:paraId="5677623E">
      <w:pPr>
        <w:pStyle w:val="19"/>
        <w:keepNext/>
      </w:pPr>
      <w:r>
        <w:t xml:space="preserve">表 </w:t>
      </w:r>
      <w:r>
        <w:fldChar w:fldCharType="begin"/>
      </w:r>
      <w:r>
        <w:instrText xml:space="preserve"> SEQ 表 \* ARABIC </w:instrText>
      </w:r>
      <w:r>
        <w:fldChar w:fldCharType="separate"/>
      </w:r>
      <w:r>
        <w:t>77</w:t>
      </w:r>
      <w:r>
        <w:fldChar w:fldCharType="end"/>
      </w:r>
      <w:r>
        <w:rPr>
          <w:rFonts w:hint="eastAsia"/>
        </w:rPr>
        <w:t>归一化处理后各评价指标值</w:t>
      </w:r>
    </w:p>
    <w:tbl>
      <w:tblPr>
        <w:tblStyle w:val="72"/>
        <w:tblW w:w="4999" w:type="pct"/>
        <w:tblInd w:w="0" w:type="dxa"/>
        <w:tblLayout w:type="autofit"/>
        <w:tblCellMar>
          <w:top w:w="0" w:type="dxa"/>
          <w:left w:w="108" w:type="dxa"/>
          <w:bottom w:w="0" w:type="dxa"/>
          <w:right w:w="108" w:type="dxa"/>
        </w:tblCellMar>
      </w:tblPr>
      <w:tblGrid>
        <w:gridCol w:w="5338"/>
        <w:gridCol w:w="5342"/>
      </w:tblGrid>
      <w:tr w14:paraId="49606832">
        <w:tblPrEx>
          <w:tblCellMar>
            <w:top w:w="0" w:type="dxa"/>
            <w:left w:w="108" w:type="dxa"/>
            <w:bottom w:w="0" w:type="dxa"/>
            <w:right w:w="108" w:type="dxa"/>
          </w:tblCellMar>
        </w:tblPrEx>
        <w:trPr>
          <w:trHeight w:val="23" w:hRule="atLeast"/>
        </w:trPr>
        <w:tc>
          <w:tcPr>
            <w:tcW w:w="2499" w:type="pct"/>
            <w:tcBorders>
              <w:top w:val="single" w:color="000000" w:sz="8" w:space="0"/>
              <w:left w:val="single" w:color="000000" w:sz="8" w:space="0"/>
              <w:bottom w:val="single" w:color="000000" w:sz="8" w:space="0"/>
              <w:right w:val="single" w:color="000000" w:sz="8" w:space="0"/>
            </w:tcBorders>
            <w:vAlign w:val="center"/>
          </w:tcPr>
          <w:p w14:paraId="3D00CB2D">
            <w:pPr>
              <w:pStyle w:val="94"/>
              <w:rPr>
                <w:color w:val="auto"/>
              </w:rPr>
            </w:pPr>
            <w:r>
              <w:rPr>
                <w:rFonts w:hint="eastAsia"/>
                <w:color w:val="auto"/>
              </w:rPr>
              <w:t>指标</w:t>
            </w:r>
          </w:p>
        </w:tc>
        <w:tc>
          <w:tcPr>
            <w:tcW w:w="2501" w:type="pct"/>
            <w:tcBorders>
              <w:top w:val="single" w:color="000000" w:sz="8" w:space="0"/>
              <w:left w:val="nil"/>
              <w:bottom w:val="single" w:color="000000" w:sz="8" w:space="0"/>
              <w:right w:val="single" w:color="000000" w:sz="8" w:space="0"/>
            </w:tcBorders>
            <w:vAlign w:val="center"/>
          </w:tcPr>
          <w:p w14:paraId="627F5157">
            <w:pPr>
              <w:pStyle w:val="94"/>
              <w:rPr>
                <w:color w:val="auto"/>
              </w:rPr>
            </w:pPr>
            <w:r>
              <w:rPr>
                <w:rFonts w:hint="eastAsia"/>
                <w:color w:val="auto"/>
              </w:rPr>
              <w:t>数值</w:t>
            </w:r>
          </w:p>
        </w:tc>
      </w:tr>
      <w:tr w14:paraId="3F5D2E1B">
        <w:tblPrEx>
          <w:tblCellMar>
            <w:top w:w="0" w:type="dxa"/>
            <w:left w:w="108" w:type="dxa"/>
            <w:bottom w:w="0" w:type="dxa"/>
            <w:right w:w="108" w:type="dxa"/>
          </w:tblCellMar>
        </w:tblPrEx>
        <w:trPr>
          <w:trHeight w:val="23" w:hRule="atLeast"/>
        </w:trPr>
        <w:tc>
          <w:tcPr>
            <w:tcW w:w="2499" w:type="pct"/>
            <w:tcBorders>
              <w:top w:val="nil"/>
              <w:left w:val="single" w:color="000000" w:sz="8" w:space="0"/>
              <w:bottom w:val="single" w:color="000000" w:sz="8" w:space="0"/>
              <w:right w:val="single" w:color="000000" w:sz="8" w:space="0"/>
            </w:tcBorders>
            <w:vAlign w:val="center"/>
          </w:tcPr>
          <w:p w14:paraId="128A2E18">
            <w:pPr>
              <w:pStyle w:val="94"/>
              <w:rPr>
                <w:color w:val="auto"/>
              </w:rPr>
            </w:pPr>
            <w:r>
              <w:rPr>
                <w:rFonts w:hint="eastAsia"/>
                <w:color w:val="auto"/>
              </w:rPr>
              <w:t>归一化后的植物丰富度</w:t>
            </w:r>
          </w:p>
        </w:tc>
        <w:tc>
          <w:tcPr>
            <w:tcW w:w="2501" w:type="pct"/>
            <w:tcBorders>
              <w:top w:val="nil"/>
              <w:left w:val="nil"/>
              <w:bottom w:val="single" w:color="000000" w:sz="8" w:space="0"/>
              <w:right w:val="single" w:color="000000" w:sz="8" w:space="0"/>
            </w:tcBorders>
            <w:vAlign w:val="center"/>
          </w:tcPr>
          <w:p w14:paraId="5A16FFB8">
            <w:pPr>
              <w:pStyle w:val="94"/>
              <w:rPr>
                <w:color w:val="auto"/>
              </w:rPr>
            </w:pPr>
            <w:r>
              <w:rPr>
                <w:rFonts w:hint="eastAsia"/>
                <w:color w:val="auto"/>
              </w:rPr>
              <w:t>0.64</w:t>
            </w:r>
          </w:p>
        </w:tc>
      </w:tr>
      <w:tr w14:paraId="2383746B">
        <w:tblPrEx>
          <w:tblCellMar>
            <w:top w:w="0" w:type="dxa"/>
            <w:left w:w="108" w:type="dxa"/>
            <w:bottom w:w="0" w:type="dxa"/>
            <w:right w:w="108" w:type="dxa"/>
          </w:tblCellMar>
        </w:tblPrEx>
        <w:trPr>
          <w:trHeight w:val="23" w:hRule="atLeast"/>
        </w:trPr>
        <w:tc>
          <w:tcPr>
            <w:tcW w:w="2499" w:type="pct"/>
            <w:tcBorders>
              <w:top w:val="nil"/>
              <w:left w:val="single" w:color="000000" w:sz="8" w:space="0"/>
              <w:bottom w:val="single" w:color="000000" w:sz="8" w:space="0"/>
              <w:right w:val="single" w:color="000000" w:sz="8" w:space="0"/>
            </w:tcBorders>
            <w:vAlign w:val="center"/>
          </w:tcPr>
          <w:p w14:paraId="74BE89BD">
            <w:pPr>
              <w:pStyle w:val="94"/>
              <w:rPr>
                <w:color w:val="auto"/>
              </w:rPr>
            </w:pPr>
            <w:r>
              <w:rPr>
                <w:rFonts w:hint="eastAsia"/>
                <w:color w:val="auto"/>
              </w:rPr>
              <w:t>归一化后的动物丰富度</w:t>
            </w:r>
          </w:p>
        </w:tc>
        <w:tc>
          <w:tcPr>
            <w:tcW w:w="2501" w:type="pct"/>
            <w:tcBorders>
              <w:top w:val="nil"/>
              <w:left w:val="nil"/>
              <w:bottom w:val="single" w:color="000000" w:sz="8" w:space="0"/>
              <w:right w:val="single" w:color="000000" w:sz="8" w:space="0"/>
            </w:tcBorders>
            <w:vAlign w:val="center"/>
          </w:tcPr>
          <w:p w14:paraId="4CB6FFE3">
            <w:pPr>
              <w:pStyle w:val="94"/>
              <w:rPr>
                <w:color w:val="auto"/>
              </w:rPr>
            </w:pPr>
            <w:r>
              <w:rPr>
                <w:rFonts w:hint="eastAsia"/>
                <w:color w:val="auto"/>
              </w:rPr>
              <w:t>3.33</w:t>
            </w:r>
          </w:p>
        </w:tc>
      </w:tr>
      <w:tr w14:paraId="48C7CF3F">
        <w:tblPrEx>
          <w:tblCellMar>
            <w:top w:w="0" w:type="dxa"/>
            <w:left w:w="108" w:type="dxa"/>
            <w:bottom w:w="0" w:type="dxa"/>
            <w:right w:w="108" w:type="dxa"/>
          </w:tblCellMar>
        </w:tblPrEx>
        <w:trPr>
          <w:trHeight w:val="23" w:hRule="atLeast"/>
        </w:trPr>
        <w:tc>
          <w:tcPr>
            <w:tcW w:w="2499" w:type="pct"/>
            <w:tcBorders>
              <w:top w:val="nil"/>
              <w:left w:val="single" w:color="000000" w:sz="8" w:space="0"/>
              <w:bottom w:val="single" w:color="000000" w:sz="8" w:space="0"/>
              <w:right w:val="single" w:color="000000" w:sz="8" w:space="0"/>
            </w:tcBorders>
            <w:vAlign w:val="center"/>
          </w:tcPr>
          <w:p w14:paraId="0515F541">
            <w:pPr>
              <w:pStyle w:val="94"/>
              <w:rPr>
                <w:color w:val="auto"/>
              </w:rPr>
            </w:pPr>
            <w:r>
              <w:rPr>
                <w:rFonts w:hint="eastAsia"/>
                <w:color w:val="auto"/>
              </w:rPr>
              <w:t>归一化后的生态系统多样性</w:t>
            </w:r>
          </w:p>
        </w:tc>
        <w:tc>
          <w:tcPr>
            <w:tcW w:w="2501" w:type="pct"/>
            <w:tcBorders>
              <w:top w:val="nil"/>
              <w:left w:val="nil"/>
              <w:bottom w:val="single" w:color="000000" w:sz="8" w:space="0"/>
              <w:right w:val="single" w:color="000000" w:sz="8" w:space="0"/>
            </w:tcBorders>
            <w:vAlign w:val="center"/>
          </w:tcPr>
          <w:p w14:paraId="366E83EC">
            <w:pPr>
              <w:pStyle w:val="94"/>
              <w:rPr>
                <w:color w:val="auto"/>
              </w:rPr>
            </w:pPr>
            <w:r>
              <w:rPr>
                <w:rFonts w:hint="eastAsia"/>
                <w:color w:val="auto"/>
              </w:rPr>
              <w:t>1.13</w:t>
            </w:r>
          </w:p>
        </w:tc>
      </w:tr>
      <w:tr w14:paraId="204EEE4C">
        <w:tblPrEx>
          <w:tblCellMar>
            <w:top w:w="0" w:type="dxa"/>
            <w:left w:w="108" w:type="dxa"/>
            <w:bottom w:w="0" w:type="dxa"/>
            <w:right w:w="108" w:type="dxa"/>
          </w:tblCellMar>
        </w:tblPrEx>
        <w:trPr>
          <w:trHeight w:val="23" w:hRule="atLeast"/>
        </w:trPr>
        <w:tc>
          <w:tcPr>
            <w:tcW w:w="2499" w:type="pct"/>
            <w:tcBorders>
              <w:top w:val="nil"/>
              <w:left w:val="single" w:color="000000" w:sz="8" w:space="0"/>
              <w:bottom w:val="single" w:color="000000" w:sz="8" w:space="0"/>
              <w:right w:val="single" w:color="000000" w:sz="8" w:space="0"/>
            </w:tcBorders>
            <w:vAlign w:val="center"/>
          </w:tcPr>
          <w:p w14:paraId="34668DE9">
            <w:pPr>
              <w:pStyle w:val="94"/>
              <w:rPr>
                <w:color w:val="auto"/>
              </w:rPr>
            </w:pPr>
            <w:r>
              <w:rPr>
                <w:rFonts w:hint="eastAsia"/>
                <w:color w:val="auto"/>
              </w:rPr>
              <w:t>归一化后的物种特有性</w:t>
            </w:r>
          </w:p>
        </w:tc>
        <w:tc>
          <w:tcPr>
            <w:tcW w:w="2501" w:type="pct"/>
            <w:tcBorders>
              <w:top w:val="nil"/>
              <w:left w:val="nil"/>
              <w:bottom w:val="single" w:color="000000" w:sz="8" w:space="0"/>
              <w:right w:val="single" w:color="000000" w:sz="8" w:space="0"/>
            </w:tcBorders>
            <w:vAlign w:val="center"/>
          </w:tcPr>
          <w:p w14:paraId="5D5EFE4E">
            <w:pPr>
              <w:pStyle w:val="94"/>
              <w:rPr>
                <w:color w:val="auto"/>
              </w:rPr>
            </w:pPr>
            <w:r>
              <w:rPr>
                <w:rFonts w:hint="eastAsia"/>
                <w:color w:val="auto"/>
              </w:rPr>
              <w:t>0.21</w:t>
            </w:r>
          </w:p>
        </w:tc>
      </w:tr>
      <w:tr w14:paraId="694765FD">
        <w:tblPrEx>
          <w:tblCellMar>
            <w:top w:w="0" w:type="dxa"/>
            <w:left w:w="108" w:type="dxa"/>
            <w:bottom w:w="0" w:type="dxa"/>
            <w:right w:w="108" w:type="dxa"/>
          </w:tblCellMar>
        </w:tblPrEx>
        <w:trPr>
          <w:trHeight w:val="23" w:hRule="atLeast"/>
        </w:trPr>
        <w:tc>
          <w:tcPr>
            <w:tcW w:w="2499" w:type="pct"/>
            <w:tcBorders>
              <w:top w:val="nil"/>
              <w:left w:val="single" w:color="000000" w:sz="8" w:space="0"/>
              <w:bottom w:val="single" w:color="000000" w:sz="8" w:space="0"/>
              <w:right w:val="single" w:color="000000" w:sz="8" w:space="0"/>
            </w:tcBorders>
            <w:vAlign w:val="center"/>
          </w:tcPr>
          <w:p w14:paraId="0F18AC09">
            <w:pPr>
              <w:pStyle w:val="94"/>
              <w:rPr>
                <w:color w:val="auto"/>
              </w:rPr>
            </w:pPr>
            <w:r>
              <w:rPr>
                <w:rFonts w:hint="eastAsia"/>
                <w:color w:val="auto"/>
              </w:rPr>
              <w:t>归一化后的外来物种入侵度</w:t>
            </w:r>
          </w:p>
        </w:tc>
        <w:tc>
          <w:tcPr>
            <w:tcW w:w="2501" w:type="pct"/>
            <w:tcBorders>
              <w:top w:val="nil"/>
              <w:left w:val="nil"/>
              <w:bottom w:val="single" w:color="000000" w:sz="8" w:space="0"/>
              <w:right w:val="single" w:color="000000" w:sz="8" w:space="0"/>
            </w:tcBorders>
            <w:vAlign w:val="center"/>
          </w:tcPr>
          <w:p w14:paraId="408C8141">
            <w:pPr>
              <w:pStyle w:val="94"/>
              <w:rPr>
                <w:color w:val="auto"/>
              </w:rPr>
            </w:pPr>
            <w:r>
              <w:rPr>
                <w:rFonts w:hint="eastAsia"/>
                <w:color w:val="auto"/>
              </w:rPr>
              <w:t>1.40</w:t>
            </w:r>
          </w:p>
        </w:tc>
      </w:tr>
      <w:tr w14:paraId="26A0AABC">
        <w:tblPrEx>
          <w:tblCellMar>
            <w:top w:w="0" w:type="dxa"/>
            <w:left w:w="108" w:type="dxa"/>
            <w:bottom w:w="0" w:type="dxa"/>
            <w:right w:w="108" w:type="dxa"/>
          </w:tblCellMar>
        </w:tblPrEx>
        <w:trPr>
          <w:trHeight w:val="23" w:hRule="atLeast"/>
        </w:trPr>
        <w:tc>
          <w:tcPr>
            <w:tcW w:w="2499" w:type="pct"/>
            <w:tcBorders>
              <w:top w:val="nil"/>
              <w:left w:val="single" w:color="000000" w:sz="8" w:space="0"/>
              <w:bottom w:val="single" w:color="000000" w:sz="8" w:space="0"/>
              <w:right w:val="single" w:color="000000" w:sz="8" w:space="0"/>
            </w:tcBorders>
            <w:vAlign w:val="center"/>
          </w:tcPr>
          <w:p w14:paraId="732090C5">
            <w:pPr>
              <w:pStyle w:val="94"/>
              <w:rPr>
                <w:color w:val="auto"/>
              </w:rPr>
            </w:pPr>
            <w:r>
              <w:rPr>
                <w:rFonts w:hint="eastAsia"/>
                <w:color w:val="auto"/>
              </w:rPr>
              <w:t>归一化后的受威胁物种丰富度</w:t>
            </w:r>
          </w:p>
        </w:tc>
        <w:tc>
          <w:tcPr>
            <w:tcW w:w="2501" w:type="pct"/>
            <w:tcBorders>
              <w:top w:val="nil"/>
              <w:left w:val="nil"/>
              <w:bottom w:val="single" w:color="000000" w:sz="8" w:space="0"/>
              <w:right w:val="single" w:color="000000" w:sz="8" w:space="0"/>
            </w:tcBorders>
            <w:vAlign w:val="center"/>
          </w:tcPr>
          <w:p w14:paraId="435ECB0E">
            <w:pPr>
              <w:pStyle w:val="94"/>
              <w:rPr>
                <w:color w:val="auto"/>
              </w:rPr>
            </w:pPr>
            <w:r>
              <w:rPr>
                <w:rFonts w:hint="eastAsia"/>
                <w:color w:val="auto"/>
              </w:rPr>
              <w:t>0.33</w:t>
            </w:r>
          </w:p>
        </w:tc>
      </w:tr>
    </w:tbl>
    <w:p w14:paraId="7CC2AF2E">
      <w:pPr>
        <w:pStyle w:val="96"/>
        <w:ind w:firstLine="480"/>
        <w:rPr>
          <w:rFonts w:cs="Arial"/>
        </w:rPr>
      </w:pPr>
      <w:r>
        <w:rPr>
          <w:rFonts w:hint="eastAsia"/>
        </w:rPr>
        <w:t>（3）生物多样性指数</w:t>
      </w:r>
    </w:p>
    <w:p w14:paraId="53C78374">
      <w:pPr>
        <w:pStyle w:val="96"/>
        <w:ind w:firstLine="480"/>
      </w:pPr>
      <w:r>
        <w:rPr>
          <w:rFonts w:hint="eastAsia"/>
        </w:rPr>
        <w:t>将上表各项指标值带入生物多样性指数公式，得到评价区生物多样性指数(BI)为7.04。</w:t>
      </w:r>
    </w:p>
    <w:p w14:paraId="280AC9D7">
      <w:pPr>
        <w:pStyle w:val="96"/>
        <w:ind w:firstLine="480"/>
      </w:pPr>
      <w:r>
        <w:rPr>
          <w:rFonts w:hint="eastAsia"/>
        </w:rPr>
        <w:t>（4）保护区生物多样性评价结果</w:t>
      </w:r>
    </w:p>
    <w:p w14:paraId="40EE08A2">
      <w:pPr>
        <w:pStyle w:val="96"/>
        <w:ind w:firstLine="480"/>
        <w:rPr>
          <w:rFonts w:ascii="Arial" w:hAnsi="Arial"/>
        </w:rPr>
      </w:pPr>
      <w:r>
        <w:rPr>
          <w:rFonts w:hint="eastAsia"/>
        </w:rPr>
        <w:t>参考生物多样性状况分级标准，评价区整体生物多样性评价结果为BI处于低水平，即：物种较少，特有属、种不多，局部地区生物多样性较丰富，但生物多样性总体水平低。</w:t>
      </w:r>
    </w:p>
    <w:p w14:paraId="06CE0C4A">
      <w:pPr>
        <w:pStyle w:val="96"/>
        <w:ind w:firstLine="480"/>
      </w:pPr>
      <w:r>
        <w:rPr>
          <w:rFonts w:hint="eastAsia"/>
        </w:rPr>
        <w:t>二、实地样方生物多样性调查</w:t>
      </w:r>
    </w:p>
    <w:p w14:paraId="29BA39C4">
      <w:pPr>
        <w:pStyle w:val="96"/>
        <w:ind w:firstLine="480"/>
      </w:pPr>
      <w:r>
        <w:rPr>
          <w:rFonts w:hint="eastAsia"/>
        </w:rPr>
        <w:t>本次评价采用物种丰富度、Shannon 多样性指数、Pielou均匀度指数、Simpson 优势度指数4个指标对项目评价区物种多样性进行评价。</w:t>
      </w:r>
    </w:p>
    <w:p w14:paraId="6846E799">
      <w:pPr>
        <w:pStyle w:val="96"/>
        <w:ind w:firstLine="480"/>
      </w:pPr>
      <w:r>
        <w:rPr>
          <w:rFonts w:hint="eastAsia"/>
        </w:rPr>
        <w:t>物种丰富度（species richness）：调查区域内物种种数之和。</w:t>
      </w:r>
    </w:p>
    <w:p w14:paraId="032FB8CB">
      <w:pPr>
        <w:pStyle w:val="96"/>
        <w:ind w:firstLine="480"/>
      </w:pPr>
      <w:r>
        <w:rPr>
          <w:rFonts w:hint="eastAsia"/>
        </w:rPr>
        <w:t>香农-威纳多样性指数（Shannon-Wiener diversity index）计算公式为：</w:t>
      </w:r>
    </w:p>
    <w:p w14:paraId="58D0FFEA">
      <w:pPr>
        <w:pStyle w:val="96"/>
        <w:spacing w:line="240" w:lineRule="auto"/>
        <w:ind w:firstLine="480"/>
        <w:jc w:val="center"/>
        <w:rPr>
          <w:rFonts w:ascii="Arial" w:hAnsi="Arial"/>
          <w:sz w:val="21"/>
          <w:szCs w:val="21"/>
        </w:rPr>
      </w:pPr>
      <w:r>
        <w:drawing>
          <wp:inline distT="0" distB="0" distL="0" distR="0">
            <wp:extent cx="966470" cy="457200"/>
            <wp:effectExtent l="0" t="0" r="508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966470" cy="457200"/>
                    </a:xfrm>
                    <a:prstGeom prst="rect">
                      <a:avLst/>
                    </a:prstGeom>
                    <a:noFill/>
                    <a:ln>
                      <a:noFill/>
                    </a:ln>
                  </pic:spPr>
                </pic:pic>
              </a:graphicData>
            </a:graphic>
          </wp:inline>
        </w:drawing>
      </w:r>
    </w:p>
    <w:p w14:paraId="64F68861">
      <w:pPr>
        <w:pStyle w:val="96"/>
        <w:ind w:firstLine="480"/>
      </w:pPr>
      <w:r>
        <w:rPr>
          <w:rFonts w:hint="eastAsia"/>
        </w:rPr>
        <w:t>式中：H——香农-威纳多样性指数；</w:t>
      </w:r>
    </w:p>
    <w:p w14:paraId="60DACFF2">
      <w:pPr>
        <w:pStyle w:val="96"/>
        <w:ind w:firstLine="480"/>
      </w:pPr>
      <w:r>
        <w:rPr>
          <w:rFonts w:hint="eastAsia"/>
        </w:rPr>
        <w:t>S——调查区域内物种种类总数；</w:t>
      </w:r>
    </w:p>
    <w:p w14:paraId="45686788">
      <w:pPr>
        <w:pStyle w:val="96"/>
        <w:ind w:firstLine="480"/>
      </w:pPr>
      <w:r>
        <w:rPr>
          <w:rFonts w:hint="eastAsia"/>
        </w:rPr>
        <w:t>Pi——调查区域内属于第i种的个体比例，如总个体数为N，第i种个体数为ni，则Pi=ni/N。</w:t>
      </w:r>
    </w:p>
    <w:p w14:paraId="5158A678">
      <w:pPr>
        <w:pStyle w:val="96"/>
        <w:ind w:firstLine="480"/>
      </w:pPr>
      <w:r>
        <w:rPr>
          <w:rFonts w:hint="eastAsia"/>
        </w:rPr>
        <w:t>Pielou均匀度指数是反映调查区域各物种个体数目分配均匀程度的指数，计算公式为：</w:t>
      </w:r>
    </w:p>
    <w:p w14:paraId="50F7302B">
      <w:pPr>
        <w:pStyle w:val="96"/>
        <w:spacing w:line="240" w:lineRule="auto"/>
        <w:ind w:firstLine="480"/>
        <w:jc w:val="center"/>
      </w:pPr>
      <w:r>
        <w:drawing>
          <wp:inline distT="0" distB="0" distL="0" distR="0">
            <wp:extent cx="1397635" cy="301625"/>
            <wp:effectExtent l="0" t="0" r="0" b="317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1397635" cy="301625"/>
                    </a:xfrm>
                    <a:prstGeom prst="rect">
                      <a:avLst/>
                    </a:prstGeom>
                    <a:noFill/>
                    <a:ln>
                      <a:noFill/>
                    </a:ln>
                  </pic:spPr>
                </pic:pic>
              </a:graphicData>
            </a:graphic>
          </wp:inline>
        </w:drawing>
      </w:r>
    </w:p>
    <w:p w14:paraId="35FFD503">
      <w:pPr>
        <w:pStyle w:val="96"/>
        <w:ind w:firstLine="480"/>
      </w:pPr>
      <w:r>
        <w:rPr>
          <w:rFonts w:hint="eastAsia"/>
        </w:rPr>
        <w:t>式中：J——Pielou均匀度指数；</w:t>
      </w:r>
    </w:p>
    <w:p w14:paraId="329BA371">
      <w:pPr>
        <w:pStyle w:val="96"/>
        <w:ind w:firstLine="480"/>
      </w:pPr>
      <w:r>
        <w:rPr>
          <w:rFonts w:hint="eastAsia"/>
        </w:rPr>
        <w:t>S——调查区域内物种种类总数；</w:t>
      </w:r>
    </w:p>
    <w:p w14:paraId="17D9E73E">
      <w:pPr>
        <w:pStyle w:val="96"/>
        <w:ind w:firstLine="480"/>
      </w:pPr>
      <w:r>
        <w:rPr>
          <w:rFonts w:hint="eastAsia"/>
        </w:rPr>
        <w:t>Pi——调查区域内属于第i种的个体比例。</w:t>
      </w:r>
    </w:p>
    <w:p w14:paraId="1D88EA0D">
      <w:pPr>
        <w:pStyle w:val="96"/>
        <w:ind w:firstLine="480"/>
      </w:pPr>
      <w:r>
        <w:rPr>
          <w:rFonts w:hint="eastAsia"/>
        </w:rPr>
        <w:t>Simpson优势度指数与均匀度指数相对应，计算公式为：</w:t>
      </w:r>
    </w:p>
    <w:p w14:paraId="2887B4DD">
      <w:pPr>
        <w:pStyle w:val="96"/>
        <w:spacing w:line="240" w:lineRule="auto"/>
        <w:ind w:firstLine="480"/>
        <w:jc w:val="center"/>
        <w:rPr>
          <w:rFonts w:ascii="Arial" w:hAnsi="Arial"/>
          <w:sz w:val="21"/>
          <w:szCs w:val="21"/>
        </w:rPr>
      </w:pPr>
      <w:r>
        <w:drawing>
          <wp:inline distT="0" distB="0" distL="0" distR="0">
            <wp:extent cx="845185" cy="4572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845185" cy="457200"/>
                    </a:xfrm>
                    <a:prstGeom prst="rect">
                      <a:avLst/>
                    </a:prstGeom>
                    <a:noFill/>
                    <a:ln>
                      <a:noFill/>
                    </a:ln>
                  </pic:spPr>
                </pic:pic>
              </a:graphicData>
            </a:graphic>
          </wp:inline>
        </w:drawing>
      </w:r>
    </w:p>
    <w:p w14:paraId="79324857">
      <w:pPr>
        <w:pStyle w:val="96"/>
        <w:ind w:firstLine="480"/>
      </w:pPr>
      <w:r>
        <w:rPr>
          <w:rFonts w:hint="eastAsia"/>
        </w:rPr>
        <w:t>式中：D——Simpson优势度指数；</w:t>
      </w:r>
    </w:p>
    <w:p w14:paraId="190E2B71">
      <w:pPr>
        <w:pStyle w:val="96"/>
        <w:ind w:firstLine="480"/>
      </w:pPr>
      <w:r>
        <w:rPr>
          <w:rFonts w:hint="eastAsia"/>
        </w:rPr>
        <w:t>S——调查区域内物种种类总数；</w:t>
      </w:r>
    </w:p>
    <w:p w14:paraId="4FA54F03">
      <w:pPr>
        <w:pStyle w:val="96"/>
        <w:ind w:firstLine="480"/>
      </w:pPr>
      <w:r>
        <w:rPr>
          <w:rFonts w:hint="eastAsia"/>
        </w:rPr>
        <w:t>Pi——调查区域内属于第i种的个体比例。</w:t>
      </w:r>
    </w:p>
    <w:p w14:paraId="13D51270">
      <w:pPr>
        <w:pStyle w:val="19"/>
        <w:keepNext/>
      </w:pPr>
      <w:r>
        <w:t xml:space="preserve">表 </w:t>
      </w:r>
      <w:r>
        <w:fldChar w:fldCharType="begin"/>
      </w:r>
      <w:r>
        <w:instrText xml:space="preserve"> SEQ 表 \* ARABIC </w:instrText>
      </w:r>
      <w:r>
        <w:fldChar w:fldCharType="separate"/>
      </w:r>
      <w:r>
        <w:t>78</w:t>
      </w:r>
      <w:r>
        <w:fldChar w:fldCharType="end"/>
      </w:r>
      <w:r>
        <w:rPr>
          <w:rFonts w:hint="eastAsia"/>
        </w:rPr>
        <w:t>评价生物多样性现状一览表</w:t>
      </w:r>
    </w:p>
    <w:tbl>
      <w:tblPr>
        <w:tblStyle w:val="73"/>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851"/>
        <w:gridCol w:w="1698"/>
        <w:gridCol w:w="1990"/>
        <w:gridCol w:w="2441"/>
        <w:gridCol w:w="1698"/>
      </w:tblGrid>
      <w:tr w14:paraId="0B3CCC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5" w:hRule="atLeast"/>
        </w:trPr>
        <w:tc>
          <w:tcPr>
            <w:tcW w:w="1335" w:type="pct"/>
            <w:noWrap/>
            <w:vAlign w:val="center"/>
          </w:tcPr>
          <w:p w14:paraId="70311F30">
            <w:pPr>
              <w:pStyle w:val="94"/>
              <w:rPr>
                <w:rFonts w:eastAsia="Arial"/>
                <w:color w:val="auto"/>
              </w:rPr>
            </w:pPr>
            <w:r>
              <w:rPr>
                <w:rFonts w:hint="eastAsia"/>
                <w:color w:val="auto"/>
              </w:rPr>
              <w:t>群系名称</w:t>
            </w:r>
          </w:p>
        </w:tc>
        <w:tc>
          <w:tcPr>
            <w:tcW w:w="795" w:type="pct"/>
            <w:noWrap/>
            <w:vAlign w:val="center"/>
          </w:tcPr>
          <w:p w14:paraId="27865FBD">
            <w:pPr>
              <w:pStyle w:val="94"/>
              <w:rPr>
                <w:color w:val="auto"/>
              </w:rPr>
            </w:pPr>
            <w:r>
              <w:rPr>
                <w:rFonts w:hint="eastAsia"/>
                <w:color w:val="auto"/>
              </w:rPr>
              <w:t>物种丰富度</w:t>
            </w:r>
          </w:p>
        </w:tc>
        <w:tc>
          <w:tcPr>
            <w:tcW w:w="932" w:type="pct"/>
            <w:noWrap/>
            <w:vAlign w:val="center"/>
          </w:tcPr>
          <w:p w14:paraId="69138D54">
            <w:pPr>
              <w:pStyle w:val="94"/>
              <w:rPr>
                <w:color w:val="auto"/>
              </w:rPr>
            </w:pPr>
            <w:r>
              <w:rPr>
                <w:rFonts w:hint="eastAsia"/>
                <w:color w:val="auto"/>
              </w:rPr>
              <w:t>香农</w:t>
            </w:r>
            <w:r>
              <w:rPr>
                <w:color w:val="auto"/>
              </w:rPr>
              <w:t>-</w:t>
            </w:r>
            <w:r>
              <w:rPr>
                <w:rFonts w:hint="eastAsia"/>
                <w:color w:val="auto"/>
              </w:rPr>
              <w:t>威纳指数</w:t>
            </w:r>
          </w:p>
        </w:tc>
        <w:tc>
          <w:tcPr>
            <w:tcW w:w="1143" w:type="pct"/>
            <w:noWrap/>
            <w:vAlign w:val="center"/>
          </w:tcPr>
          <w:p w14:paraId="2E21CE25">
            <w:pPr>
              <w:pStyle w:val="94"/>
              <w:rPr>
                <w:color w:val="auto"/>
              </w:rPr>
            </w:pPr>
            <w:r>
              <w:rPr>
                <w:rFonts w:hint="eastAsia"/>
                <w:color w:val="auto"/>
              </w:rPr>
              <w:t>辛普森多样性指数</w:t>
            </w:r>
          </w:p>
        </w:tc>
        <w:tc>
          <w:tcPr>
            <w:tcW w:w="795" w:type="pct"/>
            <w:noWrap/>
            <w:vAlign w:val="center"/>
          </w:tcPr>
          <w:p w14:paraId="61EE3A3B">
            <w:pPr>
              <w:pStyle w:val="94"/>
              <w:rPr>
                <w:color w:val="auto"/>
              </w:rPr>
            </w:pPr>
            <w:r>
              <w:rPr>
                <w:rFonts w:hint="eastAsia"/>
                <w:color w:val="auto"/>
              </w:rPr>
              <w:t>均匀度指数</w:t>
            </w:r>
          </w:p>
        </w:tc>
      </w:tr>
      <w:tr w14:paraId="663137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0" w:hRule="atLeast"/>
        </w:trPr>
        <w:tc>
          <w:tcPr>
            <w:tcW w:w="1335" w:type="pct"/>
            <w:noWrap/>
            <w:vAlign w:val="center"/>
          </w:tcPr>
          <w:p w14:paraId="368375F0">
            <w:pPr>
              <w:pStyle w:val="94"/>
              <w:rPr>
                <w:color w:val="auto"/>
              </w:rPr>
            </w:pPr>
            <w:r>
              <w:rPr>
                <w:rStyle w:val="98"/>
                <w:rFonts w:hint="default" w:cs="Arial"/>
                <w:color w:val="auto"/>
              </w:rPr>
              <w:t>蒿类草丛</w:t>
            </w:r>
          </w:p>
        </w:tc>
        <w:tc>
          <w:tcPr>
            <w:tcW w:w="795" w:type="pct"/>
            <w:noWrap/>
            <w:vAlign w:val="center"/>
          </w:tcPr>
          <w:p w14:paraId="6C50412A">
            <w:pPr>
              <w:pStyle w:val="94"/>
              <w:rPr>
                <w:color w:val="auto"/>
              </w:rPr>
            </w:pPr>
            <w:r>
              <w:rPr>
                <w:rFonts w:hint="eastAsia" w:cs="Arial"/>
                <w:color w:val="auto"/>
              </w:rPr>
              <w:t>17</w:t>
            </w:r>
          </w:p>
        </w:tc>
        <w:tc>
          <w:tcPr>
            <w:tcW w:w="932" w:type="pct"/>
            <w:noWrap/>
            <w:vAlign w:val="center"/>
          </w:tcPr>
          <w:p w14:paraId="5DE0E550">
            <w:pPr>
              <w:pStyle w:val="94"/>
              <w:rPr>
                <w:color w:val="auto"/>
              </w:rPr>
            </w:pPr>
            <w:r>
              <w:rPr>
                <w:rFonts w:hint="eastAsia" w:cs="Arial"/>
                <w:color w:val="auto"/>
              </w:rPr>
              <w:t>1.374</w:t>
            </w:r>
          </w:p>
        </w:tc>
        <w:tc>
          <w:tcPr>
            <w:tcW w:w="1143" w:type="pct"/>
            <w:noWrap/>
            <w:vAlign w:val="center"/>
          </w:tcPr>
          <w:p w14:paraId="17CA0E0C">
            <w:pPr>
              <w:pStyle w:val="94"/>
              <w:rPr>
                <w:color w:val="auto"/>
              </w:rPr>
            </w:pPr>
            <w:r>
              <w:rPr>
                <w:rFonts w:hint="eastAsia" w:cs="Arial"/>
                <w:color w:val="auto"/>
              </w:rPr>
              <w:t>0.485</w:t>
            </w:r>
          </w:p>
        </w:tc>
        <w:tc>
          <w:tcPr>
            <w:tcW w:w="795" w:type="pct"/>
            <w:noWrap/>
            <w:vAlign w:val="center"/>
          </w:tcPr>
          <w:p w14:paraId="3D89AFFC">
            <w:pPr>
              <w:pStyle w:val="94"/>
              <w:rPr>
                <w:color w:val="auto"/>
              </w:rPr>
            </w:pPr>
            <w:r>
              <w:rPr>
                <w:rFonts w:hint="eastAsia" w:cs="Arial"/>
                <w:color w:val="auto"/>
              </w:rPr>
              <w:t>0.73</w:t>
            </w:r>
          </w:p>
        </w:tc>
      </w:tr>
      <w:tr w14:paraId="60D81F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0" w:hRule="atLeast"/>
        </w:trPr>
        <w:tc>
          <w:tcPr>
            <w:tcW w:w="1335" w:type="pct"/>
            <w:noWrap/>
            <w:vAlign w:val="center"/>
          </w:tcPr>
          <w:p w14:paraId="09228BBE">
            <w:pPr>
              <w:pStyle w:val="94"/>
              <w:rPr>
                <w:color w:val="auto"/>
              </w:rPr>
            </w:pPr>
            <w:r>
              <w:rPr>
                <w:rFonts w:hint="eastAsia" w:cs="Arial"/>
                <w:color w:val="auto"/>
              </w:rPr>
              <w:t>柠条锦鸡儿灌丛</w:t>
            </w:r>
          </w:p>
        </w:tc>
        <w:tc>
          <w:tcPr>
            <w:tcW w:w="795" w:type="pct"/>
            <w:noWrap/>
            <w:vAlign w:val="center"/>
          </w:tcPr>
          <w:p w14:paraId="0D57AF8C">
            <w:pPr>
              <w:pStyle w:val="94"/>
              <w:rPr>
                <w:color w:val="auto"/>
              </w:rPr>
            </w:pPr>
            <w:r>
              <w:rPr>
                <w:rFonts w:hint="eastAsia" w:cs="Arial"/>
                <w:color w:val="auto"/>
              </w:rPr>
              <w:t>24</w:t>
            </w:r>
          </w:p>
        </w:tc>
        <w:tc>
          <w:tcPr>
            <w:tcW w:w="932" w:type="pct"/>
            <w:noWrap/>
            <w:vAlign w:val="center"/>
          </w:tcPr>
          <w:p w14:paraId="77F6582F">
            <w:pPr>
              <w:pStyle w:val="94"/>
              <w:rPr>
                <w:color w:val="auto"/>
              </w:rPr>
            </w:pPr>
            <w:r>
              <w:rPr>
                <w:rFonts w:hint="eastAsia" w:cs="Arial"/>
                <w:color w:val="auto"/>
              </w:rPr>
              <w:t>1.39</w:t>
            </w:r>
          </w:p>
        </w:tc>
        <w:tc>
          <w:tcPr>
            <w:tcW w:w="1143" w:type="pct"/>
            <w:noWrap/>
            <w:vAlign w:val="center"/>
          </w:tcPr>
          <w:p w14:paraId="40A20A78">
            <w:pPr>
              <w:pStyle w:val="94"/>
              <w:rPr>
                <w:color w:val="auto"/>
              </w:rPr>
            </w:pPr>
            <w:r>
              <w:rPr>
                <w:rFonts w:hint="eastAsia" w:cs="Arial"/>
                <w:color w:val="auto"/>
              </w:rPr>
              <w:t>0.437</w:t>
            </w:r>
          </w:p>
        </w:tc>
        <w:tc>
          <w:tcPr>
            <w:tcW w:w="795" w:type="pct"/>
            <w:noWrap/>
            <w:vAlign w:val="center"/>
          </w:tcPr>
          <w:p w14:paraId="23788020">
            <w:pPr>
              <w:pStyle w:val="94"/>
              <w:rPr>
                <w:color w:val="auto"/>
              </w:rPr>
            </w:pPr>
            <w:r>
              <w:rPr>
                <w:rFonts w:hint="eastAsia" w:cs="Arial"/>
                <w:color w:val="auto"/>
              </w:rPr>
              <w:t>0.862</w:t>
            </w:r>
          </w:p>
        </w:tc>
      </w:tr>
      <w:tr w14:paraId="714795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0" w:hRule="atLeast"/>
        </w:trPr>
        <w:tc>
          <w:tcPr>
            <w:tcW w:w="1335" w:type="pct"/>
            <w:noWrap/>
            <w:vAlign w:val="center"/>
          </w:tcPr>
          <w:p w14:paraId="5E504157">
            <w:pPr>
              <w:pStyle w:val="94"/>
              <w:rPr>
                <w:color w:val="auto"/>
              </w:rPr>
            </w:pPr>
            <w:r>
              <w:rPr>
                <w:rFonts w:hint="eastAsia" w:cs="Arial"/>
                <w:color w:val="auto"/>
              </w:rPr>
              <w:t>小叶杨林</w:t>
            </w:r>
          </w:p>
        </w:tc>
        <w:tc>
          <w:tcPr>
            <w:tcW w:w="795" w:type="pct"/>
            <w:noWrap/>
            <w:vAlign w:val="center"/>
          </w:tcPr>
          <w:p w14:paraId="47E7A04A">
            <w:pPr>
              <w:pStyle w:val="94"/>
              <w:rPr>
                <w:color w:val="auto"/>
              </w:rPr>
            </w:pPr>
            <w:r>
              <w:rPr>
                <w:rFonts w:hint="eastAsia" w:cs="Arial"/>
                <w:color w:val="auto"/>
              </w:rPr>
              <w:t>28</w:t>
            </w:r>
          </w:p>
        </w:tc>
        <w:tc>
          <w:tcPr>
            <w:tcW w:w="932" w:type="pct"/>
            <w:noWrap/>
            <w:vAlign w:val="center"/>
          </w:tcPr>
          <w:p w14:paraId="1BFD1020">
            <w:pPr>
              <w:pStyle w:val="94"/>
              <w:rPr>
                <w:color w:val="auto"/>
              </w:rPr>
            </w:pPr>
            <w:r>
              <w:rPr>
                <w:rFonts w:hint="eastAsia" w:cs="Arial"/>
                <w:color w:val="auto"/>
              </w:rPr>
              <w:t>1.255</w:t>
            </w:r>
          </w:p>
        </w:tc>
        <w:tc>
          <w:tcPr>
            <w:tcW w:w="1143" w:type="pct"/>
            <w:noWrap/>
            <w:vAlign w:val="center"/>
          </w:tcPr>
          <w:p w14:paraId="56605BEA">
            <w:pPr>
              <w:pStyle w:val="94"/>
              <w:rPr>
                <w:color w:val="auto"/>
              </w:rPr>
            </w:pPr>
            <w:r>
              <w:rPr>
                <w:rFonts w:hint="eastAsia" w:cs="Arial"/>
                <w:color w:val="auto"/>
              </w:rPr>
              <w:t>0.377</w:t>
            </w:r>
          </w:p>
        </w:tc>
        <w:tc>
          <w:tcPr>
            <w:tcW w:w="795" w:type="pct"/>
            <w:noWrap/>
            <w:vAlign w:val="center"/>
          </w:tcPr>
          <w:p w14:paraId="49B2F401">
            <w:pPr>
              <w:pStyle w:val="94"/>
              <w:rPr>
                <w:color w:val="auto"/>
              </w:rPr>
            </w:pPr>
            <w:r>
              <w:rPr>
                <w:rFonts w:hint="eastAsia" w:cs="Arial"/>
                <w:color w:val="auto"/>
              </w:rPr>
              <w:t>0.929</w:t>
            </w:r>
          </w:p>
        </w:tc>
      </w:tr>
    </w:tbl>
    <w:p w14:paraId="6242A9C7">
      <w:pPr>
        <w:pStyle w:val="4"/>
      </w:pPr>
      <w:bookmarkStart w:id="152" w:name="_Toc171579824"/>
      <w:r>
        <w:rPr>
          <w:rFonts w:hint="eastAsia"/>
        </w:rPr>
        <w:t>野生动物生境质量调查与评价</w:t>
      </w:r>
      <w:bookmarkEnd w:id="152"/>
    </w:p>
    <w:p w14:paraId="32783519">
      <w:pPr>
        <w:pStyle w:val="96"/>
        <w:ind w:firstLine="480"/>
      </w:pPr>
      <w:r>
        <w:rPr>
          <w:rFonts w:hint="eastAsia"/>
        </w:rPr>
        <w:t>（</w:t>
      </w:r>
      <w:r>
        <w:t>1）生境评价的定义和目的</w:t>
      </w:r>
    </w:p>
    <w:p w14:paraId="4899D8F2">
      <w:pPr>
        <w:pStyle w:val="96"/>
        <w:ind w:firstLine="480"/>
      </w:pPr>
      <w:r>
        <w:rPr>
          <w:rFonts w:hint="eastAsia"/>
        </w:rPr>
        <w:t>生境评价的主要目标是通过分析物种的生境需求及其与研究区自然环境之间的匹配关系，从而确定物种的生境特征和分布范围（王秀磊，</w:t>
      </w:r>
      <w:r>
        <w:t>2005 年）。生境适宜度</w:t>
      </w:r>
      <w:r>
        <w:rPr>
          <w:rFonts w:hint="eastAsia"/>
        </w:rPr>
        <w:t>评价是建立在长期监测和实地调查分析的基础之上，分析各种生境因子对物种的影响，明确因子间的相互关系，构建物种与生境因子之间关系的数学模型。在确定生境适宜度标准的前提下，对动物生境进行综合评判，分析野生动物的生境特征及其潜在分布范围。</w:t>
      </w:r>
    </w:p>
    <w:p w14:paraId="5124A616">
      <w:pPr>
        <w:pStyle w:val="96"/>
        <w:ind w:firstLine="480"/>
      </w:pPr>
      <w:r>
        <w:rPr>
          <w:rFonts w:hint="eastAsia"/>
        </w:rPr>
        <w:t>（</w:t>
      </w:r>
      <w:r>
        <w:t>2）数据来源</w:t>
      </w:r>
    </w:p>
    <w:p w14:paraId="06048299">
      <w:pPr>
        <w:pStyle w:val="96"/>
        <w:ind w:firstLine="480"/>
      </w:pPr>
      <w:r>
        <w:rPr>
          <w:rFonts w:hint="eastAsia"/>
        </w:rPr>
        <w:t>土地利用现状图采用国土三调数据。</w:t>
      </w:r>
    </w:p>
    <w:p w14:paraId="7612CA92">
      <w:pPr>
        <w:pStyle w:val="96"/>
        <w:ind w:firstLine="480"/>
      </w:pPr>
      <w:r>
        <w:rPr>
          <w:rFonts w:hint="eastAsia"/>
        </w:rPr>
        <w:t>（</w:t>
      </w:r>
      <w:r>
        <w:t>3）评价方法</w:t>
      </w:r>
    </w:p>
    <w:p w14:paraId="49F23C93">
      <w:pPr>
        <w:pStyle w:val="96"/>
        <w:ind w:firstLine="480"/>
        <w:rPr>
          <w:rFonts w:ascii="Calibri" w:hAnsi="Calibri" w:cs="Times New Roman"/>
          <w:sz w:val="21"/>
          <w:szCs w:val="21"/>
        </w:rPr>
      </w:pPr>
      <w:r>
        <w:rPr>
          <w:rFonts w:hint="eastAsia"/>
        </w:rPr>
        <w:t>本次评价采用</w:t>
      </w:r>
      <w:r>
        <w:rPr>
          <w:rFonts w:hint="eastAsia" w:cs="Calibri"/>
        </w:rPr>
        <w:t>invest</w:t>
      </w:r>
      <w:r>
        <w:rPr>
          <w:rFonts w:hint="eastAsia"/>
        </w:rPr>
        <w:t>模型对其生境进行评价。</w:t>
      </w:r>
    </w:p>
    <w:p w14:paraId="6D0A9EDA">
      <w:pPr>
        <w:pStyle w:val="96"/>
        <w:ind w:firstLine="480"/>
      </w:pPr>
      <w:r>
        <w:rPr>
          <w:rFonts w:hint="eastAsia" w:cs="Calibri"/>
        </w:rPr>
        <w:t xml:space="preserve">InVEST </w:t>
      </w:r>
      <w:r>
        <w:rPr>
          <w:rFonts w:hint="eastAsia"/>
        </w:rPr>
        <w:t>模型中的生境是指被物种占有并可为其提供资源和生存及繁育的空间。模型运行需要设定威胁源和生境类型，在威胁源设定时考虑到建设用地是所有土地利用类型中人类活动较为集中的地类，它会对区域生物多样性造成威胁，因此将所有建设用地设为威胁源，而耕地作为半人工半自然且经常受到人为干扰的地类，也被设定为威胁源，其余不同的地类代表了不同的生境类型。模型结合生境的敏感度和外界威胁强度来计算生境质量。</w:t>
      </w:r>
    </w:p>
    <w:p w14:paraId="4B7D0E07">
      <w:pPr>
        <w:pStyle w:val="96"/>
        <w:ind w:firstLine="480"/>
      </w:pPr>
      <w:r>
        <w:rPr>
          <w:rFonts w:hint="eastAsia"/>
        </w:rPr>
        <w:t>首先计算生境退化度：</w:t>
      </w:r>
    </w:p>
    <w:p w14:paraId="178FEDB3">
      <w:pPr>
        <w:ind w:firstLine="480"/>
        <w:rPr>
          <w:rFonts w:hAnsi="Cambria Math"/>
        </w:rPr>
      </w:pPr>
      <m:oMathPara>
        <m:oMath>
          <m:sSub>
            <m:sSubPr>
              <m:ctrlPr>
                <w:rPr>
                  <w:rFonts w:ascii="Cambria Math" w:hAnsi="Cambria Math"/>
                  <w:i/>
                </w:rPr>
              </m:ctrlPr>
            </m:sSubPr>
            <m:e>
              <m:r>
                <m:rPr/>
                <w:rPr>
                  <w:rFonts w:ascii="Cambria Math" w:hAnsi="Cambria Math"/>
                </w:rPr>
                <m:t>D</m:t>
              </m:r>
              <m:ctrlPr>
                <w:rPr>
                  <w:rFonts w:ascii="Cambria Math" w:hAnsi="Cambria Math"/>
                  <w:i/>
                </w:rPr>
              </m:ctrlPr>
            </m:e>
            <m:sub>
              <m:r>
                <m:rPr/>
                <w:rPr>
                  <w:rFonts w:ascii="Cambria Math" w:hAnsi="Cambria Math"/>
                </w:rPr>
                <m:t>xj</m:t>
              </m:r>
              <m:ctrlPr>
                <w:rPr>
                  <w:rFonts w:ascii="Cambria Math" w:hAnsi="Cambria Math"/>
                  <w:i/>
                </w:rPr>
              </m:ctrlPr>
            </m:sub>
          </m:sSub>
          <m:r>
            <m:rPr/>
            <w:rPr>
              <w:rFonts w:ascii="Cambria Math" w:hAnsi="Cambria Math"/>
            </w:rPr>
            <m:t>=</m:t>
          </m:r>
          <m:nary>
            <m:naryPr>
              <m:chr m:val="∑"/>
              <m:limLoc m:val="undOvr"/>
              <m:ctrlPr>
                <w:rPr>
                  <w:rFonts w:ascii="Cambria Math" w:hAnsi="Cambria Math"/>
                  <w:i/>
                </w:rPr>
              </m:ctrlPr>
            </m:naryPr>
            <m:sub>
              <m:r>
                <m:rPr/>
                <w:rPr>
                  <w:rFonts w:ascii="Cambria Math" w:hAnsi="Cambria Math"/>
                </w:rPr>
                <m:t>r=1</m:t>
              </m:r>
              <m:ctrlPr>
                <w:rPr>
                  <w:rFonts w:ascii="Cambria Math" w:hAnsi="Cambria Math"/>
                  <w:i/>
                </w:rPr>
              </m:ctrlPr>
            </m:sub>
            <m:sup>
              <m:r>
                <m:rPr/>
                <w:rPr>
                  <w:rFonts w:ascii="Cambria Math" w:hAnsi="Cambria Math"/>
                </w:rPr>
                <m:t>R</m:t>
              </m:r>
              <m:ctrlPr>
                <w:rPr>
                  <w:rFonts w:ascii="Cambria Math" w:hAnsi="Cambria Math"/>
                  <w:i/>
                </w:rPr>
              </m:ctrlPr>
            </m:sup>
            <m:e>
              <m:nary>
                <m:naryPr>
                  <m:chr m:val="∑"/>
                  <m:limLoc m:val="undOvr"/>
                  <m:ctrlPr>
                    <w:rPr>
                      <w:rFonts w:ascii="Cambria Math" w:hAnsi="Cambria Math"/>
                      <w:i/>
                    </w:rPr>
                  </m:ctrlPr>
                </m:naryPr>
                <m:sub>
                  <m:r>
                    <m:rPr/>
                    <w:rPr>
                      <w:rFonts w:ascii="Cambria Math" w:hAnsi="Cambria Math"/>
                    </w:rPr>
                    <m:t>y=1</m:t>
                  </m:r>
                  <m:ctrlPr>
                    <w:rPr>
                      <w:rFonts w:ascii="Cambria Math" w:hAnsi="Cambria Math"/>
                      <w:i/>
                    </w:rPr>
                  </m:ctrlPr>
                </m:sub>
                <m:sup>
                  <m:sSub>
                    <m:sSubPr>
                      <m:ctrlPr>
                        <w:rPr>
                          <w:rFonts w:ascii="Cambria Math" w:hAnsi="Cambria Math"/>
                          <w:i/>
                        </w:rPr>
                      </m:ctrlPr>
                    </m:sSubPr>
                    <m:e>
                      <m:r>
                        <m:rPr/>
                        <w:rPr>
                          <w:rFonts w:ascii="Cambria Math" w:hAnsi="Cambria Math"/>
                        </w:rPr>
                        <m:t>Y</m:t>
                      </m:r>
                      <m:ctrlPr>
                        <w:rPr>
                          <w:rFonts w:ascii="Cambria Math" w:hAnsi="Cambria Math"/>
                          <w:i/>
                        </w:rPr>
                      </m:ctrlPr>
                    </m:e>
                    <m:sub>
                      <m:r>
                        <m:rPr/>
                        <w:rPr>
                          <w:rFonts w:ascii="Cambria Math" w:hAnsi="Cambria Math"/>
                        </w:rPr>
                        <m:t>r</m:t>
                      </m:r>
                      <m:ctrlPr>
                        <w:rPr>
                          <w:rFonts w:ascii="Cambria Math" w:hAnsi="Cambria Math"/>
                          <w:i/>
                        </w:rPr>
                      </m:ctrlPr>
                    </m:sub>
                  </m:sSub>
                  <m:ctrlPr>
                    <w:rPr>
                      <w:rFonts w:ascii="Cambria Math" w:hAnsi="Cambria Math"/>
                      <w:i/>
                    </w:rPr>
                  </m:ctrlPr>
                </m:sup>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m:rPr/>
                                <w:rPr>
                                  <w:rFonts w:ascii="Cambria Math" w:hAnsi="Cambria Math"/>
                                </w:rPr>
                                <m:t>w</m:t>
                              </m:r>
                              <m:ctrlPr>
                                <w:rPr>
                                  <w:rFonts w:ascii="Cambria Math" w:hAnsi="Cambria Math"/>
                                  <w:i/>
                                </w:rPr>
                              </m:ctrlPr>
                            </m:e>
                            <m:sub>
                              <m:r>
                                <m:rPr/>
                                <w:rPr>
                                  <w:rFonts w:ascii="Cambria Math" w:hAnsi="Cambria Math"/>
                                </w:rPr>
                                <m:t>r</m:t>
                              </m:r>
                              <m:ctrlPr>
                                <w:rPr>
                                  <w:rFonts w:ascii="Cambria Math" w:hAnsi="Cambria Math"/>
                                  <w:i/>
                                </w:rPr>
                              </m:ctrlPr>
                            </m:sub>
                          </m:sSub>
                          <m:ctrlPr>
                            <w:rPr>
                              <w:rFonts w:ascii="Cambria Math" w:hAnsi="Cambria Math"/>
                              <w:i/>
                            </w:rPr>
                          </m:ctrlPr>
                        </m:num>
                        <m:den>
                          <m:nary>
                            <m:naryPr>
                              <m:chr m:val="∑"/>
                              <m:limLoc m:val="undOvr"/>
                              <m:ctrlPr>
                                <w:rPr>
                                  <w:rFonts w:ascii="Cambria Math" w:hAnsi="Cambria Math"/>
                                  <w:i/>
                                </w:rPr>
                              </m:ctrlPr>
                            </m:naryPr>
                            <m:sub>
                              <m:r>
                                <m:rPr/>
                                <w:rPr>
                                  <w:rFonts w:ascii="Cambria Math" w:hAnsi="Cambria Math"/>
                                </w:rPr>
                                <m:t>r=1</m:t>
                              </m:r>
                              <m:ctrlPr>
                                <w:rPr>
                                  <w:rFonts w:ascii="Cambria Math" w:hAnsi="Cambria Math"/>
                                  <w:i/>
                                </w:rPr>
                              </m:ctrlPr>
                            </m:sub>
                            <m:sup>
                              <m:r>
                                <m:rPr/>
                                <w:rPr>
                                  <w:rFonts w:ascii="Cambria Math" w:hAnsi="Cambria Math"/>
                                </w:rPr>
                                <m:t>R</m:t>
                              </m:r>
                              <m:ctrlPr>
                                <w:rPr>
                                  <w:rFonts w:ascii="Cambria Math" w:hAnsi="Cambria Math"/>
                                  <w:i/>
                                </w:rPr>
                              </m:ctrlPr>
                            </m:sup>
                            <m:e>
                              <m:sSub>
                                <m:sSubPr>
                                  <m:ctrlPr>
                                    <w:rPr>
                                      <w:rFonts w:ascii="Cambria Math" w:hAnsi="Cambria Math"/>
                                      <w:i/>
                                    </w:rPr>
                                  </m:ctrlPr>
                                </m:sSubPr>
                                <m:e>
                                  <m:r>
                                    <m:rPr/>
                                    <w:rPr>
                                      <w:rFonts w:ascii="Cambria Math" w:hAnsi="Cambria Math"/>
                                    </w:rPr>
                                    <m:t>w</m:t>
                                  </m:r>
                                  <m:ctrlPr>
                                    <w:rPr>
                                      <w:rFonts w:ascii="Cambria Math" w:hAnsi="Cambria Math"/>
                                      <w:i/>
                                    </w:rPr>
                                  </m:ctrlPr>
                                </m:e>
                                <m:sub>
                                  <m:r>
                                    <m:rPr/>
                                    <w:rPr>
                                      <w:rFonts w:ascii="Cambria Math" w:hAnsi="Cambria Math"/>
                                    </w:rPr>
                                    <m:t>r</m:t>
                                  </m:r>
                                  <m:ctrlPr>
                                    <w:rPr>
                                      <w:rFonts w:ascii="Cambria Math" w:hAnsi="Cambria Math"/>
                                      <w:i/>
                                    </w:rPr>
                                  </m:ctrlPr>
                                </m:sub>
                              </m:sSub>
                              <m:ctrlPr>
                                <w:rPr>
                                  <w:rFonts w:ascii="Cambria Math" w:hAnsi="Cambria Math"/>
                                  <w:i/>
                                </w:rPr>
                              </m:ctrlPr>
                            </m:e>
                          </m:nary>
                          <m:ctrlPr>
                            <w:rPr>
                              <w:rFonts w:ascii="Cambria Math" w:hAnsi="Cambria Math"/>
                              <w:i/>
                            </w:rPr>
                          </m:ctrlPr>
                        </m:den>
                      </m:f>
                      <m:ctrlPr>
                        <w:rPr>
                          <w:rFonts w:ascii="Cambria Math" w:hAnsi="Cambria Math"/>
                          <w:i/>
                        </w:rPr>
                      </m:ctrlPr>
                    </m:e>
                  </m:d>
                  <m:sSub>
                    <m:sSubPr>
                      <m:ctrlPr>
                        <w:rPr>
                          <w:rFonts w:ascii="Cambria Math" w:hAnsi="Cambria Math"/>
                          <w:i/>
                        </w:rPr>
                      </m:ctrlPr>
                    </m:sSubPr>
                    <m:e>
                      <m:r>
                        <m:rPr/>
                        <w:rPr>
                          <w:rFonts w:ascii="Cambria Math" w:hAnsi="Cambria Math"/>
                        </w:rPr>
                        <m:t>r</m:t>
                      </m:r>
                      <m:ctrlPr>
                        <w:rPr>
                          <w:rFonts w:ascii="Cambria Math" w:hAnsi="Cambria Math"/>
                          <w:i/>
                        </w:rPr>
                      </m:ctrlPr>
                    </m:e>
                    <m:sub>
                      <m:r>
                        <m:rPr/>
                        <w:rPr>
                          <w:rFonts w:ascii="Cambria Math" w:hAnsi="Cambria Math"/>
                        </w:rPr>
                        <m:t>y</m:t>
                      </m:r>
                      <m:ctrlPr>
                        <w:rPr>
                          <w:rFonts w:ascii="Cambria Math" w:hAnsi="Cambria Math"/>
                          <w:i/>
                        </w:rPr>
                      </m:ctrlPr>
                    </m:sub>
                  </m:sSub>
                  <m:sSub>
                    <m:sSubPr>
                      <m:ctrlPr>
                        <w:rPr>
                          <w:rFonts w:ascii="Cambria Math" w:hAnsi="Cambria Math"/>
                          <w:i/>
                        </w:rPr>
                      </m:ctrlPr>
                    </m:sSubPr>
                    <m:e>
                      <m:r>
                        <m:rPr/>
                        <w:rPr>
                          <w:rFonts w:ascii="Cambria Math" w:hAnsi="Cambria Math"/>
                        </w:rPr>
                        <m:t>i</m:t>
                      </m:r>
                      <m:ctrlPr>
                        <w:rPr>
                          <w:rFonts w:ascii="Cambria Math" w:hAnsi="Cambria Math"/>
                          <w:i/>
                        </w:rPr>
                      </m:ctrlPr>
                    </m:e>
                    <m:sub>
                      <m:r>
                        <m:rPr/>
                        <w:rPr>
                          <w:rFonts w:ascii="Cambria Math" w:hAnsi="Cambria Math"/>
                        </w:rPr>
                        <m:t>rxy</m:t>
                      </m:r>
                      <m:ctrlPr>
                        <w:rPr>
                          <w:rFonts w:ascii="Cambria Math" w:hAnsi="Cambria Math"/>
                          <w:i/>
                        </w:rPr>
                      </m:ctrlPr>
                    </m:sub>
                  </m:sSub>
                  <m:sSub>
                    <m:sSubPr>
                      <m:ctrlPr>
                        <w:rPr>
                          <w:rFonts w:ascii="Cambria Math" w:hAnsi="Cambria Math"/>
                          <w:i/>
                        </w:rPr>
                      </m:ctrlPr>
                    </m:sSubPr>
                    <m:e>
                      <m:r>
                        <m:rPr/>
                        <w:rPr>
                          <w:rFonts w:ascii="Cambria Math" w:hAnsi="Cambria Math"/>
                        </w:rPr>
                        <m:t>β</m:t>
                      </m:r>
                      <m:ctrlPr>
                        <w:rPr>
                          <w:rFonts w:ascii="Cambria Math" w:hAnsi="Cambria Math"/>
                          <w:i/>
                        </w:rPr>
                      </m:ctrlPr>
                    </m:e>
                    <m:sub>
                      <m:r>
                        <m:rPr/>
                        <w:rPr>
                          <w:rFonts w:ascii="Cambria Math" w:hAnsi="Cambria Math"/>
                        </w:rPr>
                        <m:t>x</m:t>
                      </m:r>
                      <m:ctrlPr>
                        <w:rPr>
                          <w:rFonts w:ascii="Cambria Math" w:hAnsi="Cambria Math"/>
                          <w:i/>
                        </w:rPr>
                      </m:ctrlPr>
                    </m:sub>
                  </m:sSub>
                  <m:sSub>
                    <m:sSubPr>
                      <m:ctrlPr>
                        <w:rPr>
                          <w:rFonts w:ascii="Cambria Math" w:hAnsi="Cambria Math"/>
                          <w:i/>
                        </w:rPr>
                      </m:ctrlPr>
                    </m:sSubPr>
                    <m:e>
                      <m:r>
                        <m:rPr/>
                        <w:rPr>
                          <w:rFonts w:ascii="Cambria Math" w:hAnsi="Cambria Math"/>
                        </w:rPr>
                        <m:t>S</m:t>
                      </m:r>
                      <m:ctrlPr>
                        <w:rPr>
                          <w:rFonts w:ascii="Cambria Math" w:hAnsi="Cambria Math"/>
                          <w:i/>
                        </w:rPr>
                      </m:ctrlPr>
                    </m:e>
                    <m:sub>
                      <m:r>
                        <m:rPr/>
                        <w:rPr>
                          <w:rFonts w:ascii="Cambria Math" w:hAnsi="Cambria Math"/>
                        </w:rPr>
                        <m:t>jr</m:t>
                      </m:r>
                      <m:ctrlPr>
                        <w:rPr>
                          <w:rFonts w:ascii="Cambria Math" w:hAnsi="Cambria Math"/>
                          <w:i/>
                        </w:rPr>
                      </m:ctrlPr>
                    </m:sub>
                  </m:sSub>
                  <m:ctrlPr>
                    <w:rPr>
                      <w:rFonts w:ascii="Cambria Math" w:hAnsi="Cambria Math"/>
                      <w:i/>
                    </w:rPr>
                  </m:ctrlPr>
                </m:e>
              </m:nary>
              <m:ctrlPr>
                <w:rPr>
                  <w:rFonts w:ascii="Cambria Math" w:hAnsi="Cambria Math"/>
                  <w:i/>
                </w:rPr>
              </m:ctrlPr>
            </m:e>
          </m:nary>
        </m:oMath>
      </m:oMathPara>
    </w:p>
    <w:p w14:paraId="079EA6A0">
      <w:pPr>
        <w:ind w:firstLine="480"/>
        <w:jc w:val="center"/>
      </w:pPr>
      <m:oMath>
        <m:sSub>
          <m:sSubPr>
            <m:ctrlPr>
              <w:rPr>
                <w:rFonts w:ascii="Cambria Math" w:hAnsi="Cambria Math"/>
                <w:i/>
              </w:rPr>
            </m:ctrlPr>
          </m:sSubPr>
          <m:e>
            <m:r>
              <m:rPr/>
              <w:rPr>
                <w:rFonts w:ascii="Cambria Math" w:hAnsi="Cambria Math"/>
              </w:rPr>
              <m:t>i</m:t>
            </m:r>
            <m:ctrlPr>
              <w:rPr>
                <w:rFonts w:ascii="Cambria Math" w:hAnsi="Cambria Math"/>
                <w:i/>
              </w:rPr>
            </m:ctrlPr>
          </m:e>
          <m:sub>
            <m:r>
              <m:rPr/>
              <w:rPr>
                <w:rFonts w:ascii="Cambria Math" w:hAnsi="Cambria Math"/>
              </w:rPr>
              <m:t>xy</m:t>
            </m:r>
            <m:ctrlPr>
              <w:rPr>
                <w:rFonts w:ascii="Cambria Math" w:hAnsi="Cambria Math"/>
                <w:i/>
              </w:rPr>
            </m:ctrlPr>
          </m:sub>
        </m:sSub>
        <m:r>
          <m:rPr/>
          <w:rPr>
            <w:rFonts w:ascii="Cambria Math" w:hAnsi="Cambria Math"/>
          </w:rPr>
          <m:t>=1−</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m:rPr/>
                      <w:rPr>
                        <w:rFonts w:ascii="Cambria Math" w:hAnsi="Cambria Math"/>
                      </w:rPr>
                      <m:t>d</m:t>
                    </m:r>
                    <m:ctrlPr>
                      <w:rPr>
                        <w:rFonts w:ascii="Cambria Math" w:hAnsi="Cambria Math"/>
                        <w:i/>
                      </w:rPr>
                    </m:ctrlPr>
                  </m:e>
                  <m:sub>
                    <m:r>
                      <m:rPr/>
                      <w:rPr>
                        <w:rFonts w:ascii="Cambria Math" w:hAnsi="Cambria Math"/>
                      </w:rPr>
                      <m:t>xy</m:t>
                    </m:r>
                    <m:ctrlPr>
                      <w:rPr>
                        <w:rFonts w:ascii="Cambria Math" w:hAnsi="Cambria Math"/>
                        <w:i/>
                      </w:rPr>
                    </m:ctrlPr>
                  </m:sub>
                </m:sSub>
                <m:ctrlPr>
                  <w:rPr>
                    <w:rFonts w:ascii="Cambria Math" w:hAnsi="Cambria Math"/>
                    <w:i/>
                  </w:rPr>
                </m:ctrlPr>
              </m:num>
              <m:den>
                <m:sSub>
                  <m:sSubPr>
                    <m:ctrlPr>
                      <w:rPr>
                        <w:rFonts w:ascii="Cambria Math" w:hAnsi="Cambria Math"/>
                        <w:i/>
                      </w:rPr>
                    </m:ctrlPr>
                  </m:sSubPr>
                  <m:e>
                    <m:r>
                      <m:rPr/>
                      <w:rPr>
                        <w:rFonts w:ascii="Cambria Math" w:hAnsi="Cambria Math"/>
                      </w:rPr>
                      <m:t>d</m:t>
                    </m:r>
                    <m:ctrlPr>
                      <w:rPr>
                        <w:rFonts w:ascii="Cambria Math" w:hAnsi="Cambria Math"/>
                        <w:i/>
                      </w:rPr>
                    </m:ctrlPr>
                  </m:e>
                  <m:sub>
                    <m:r>
                      <m:rPr/>
                      <w:rPr>
                        <w:rFonts w:ascii="Cambria Math" w:hAnsi="Cambria Math"/>
                      </w:rPr>
                      <m:t>rmax</m:t>
                    </m:r>
                    <m:ctrlPr>
                      <w:rPr>
                        <w:rFonts w:ascii="Cambria Math" w:hAnsi="Cambria Math"/>
                        <w:i/>
                      </w:rPr>
                    </m:ctrlPr>
                  </m:sub>
                </m:sSub>
                <m:ctrlPr>
                  <w:rPr>
                    <w:rFonts w:ascii="Cambria Math" w:hAnsi="Cambria Math"/>
                    <w:i/>
                  </w:rPr>
                </m:ctrlPr>
              </m:den>
            </m:f>
            <m:ctrlPr>
              <w:rPr>
                <w:rFonts w:ascii="Cambria Math" w:hAnsi="Cambria Math"/>
                <w:i/>
              </w:rPr>
            </m:ctrlPr>
          </m:e>
        </m:d>
      </m:oMath>
      <w:r>
        <w:rPr>
          <w:rFonts w:hAnsi="Cambria Math"/>
        </w:rPr>
        <w:t xml:space="preserve"> </w:t>
      </w:r>
      <w:r>
        <w:rPr>
          <w:rFonts w:hint="eastAsia"/>
        </w:rPr>
        <w:t>(线性衰减)</w:t>
      </w:r>
    </w:p>
    <w:p w14:paraId="6C6AFD3F">
      <w:pPr>
        <w:ind w:firstLine="480"/>
        <w:jc w:val="center"/>
      </w:pPr>
      <m:oMath>
        <m:sSub>
          <m:sSubPr>
            <m:ctrlPr>
              <w:rPr>
                <w:rFonts w:ascii="Cambria Math" w:hAnsi="Cambria Math"/>
                <w:i/>
              </w:rPr>
            </m:ctrlPr>
          </m:sSubPr>
          <m:e>
            <m:r>
              <m:rPr/>
              <w:rPr>
                <w:rFonts w:ascii="Cambria Math" w:hAnsi="Cambria Math"/>
              </w:rPr>
              <m:t>i</m:t>
            </m:r>
            <m:ctrlPr>
              <w:rPr>
                <w:rFonts w:ascii="Cambria Math" w:hAnsi="Cambria Math"/>
                <w:i/>
              </w:rPr>
            </m:ctrlPr>
          </m:e>
          <m:sub>
            <m:r>
              <m:rPr/>
              <w:rPr>
                <w:rFonts w:ascii="Cambria Math" w:hAnsi="Cambria Math"/>
              </w:rPr>
              <m:t>rxy</m:t>
            </m:r>
            <m:ctrlPr>
              <w:rPr>
                <w:rFonts w:ascii="Cambria Math" w:hAnsi="Cambria Math"/>
                <w:i/>
              </w:rPr>
            </m:ctrlPr>
          </m:sub>
        </m:sSub>
        <m:r>
          <m:rPr/>
          <w:rPr>
            <w:rFonts w:ascii="Cambria Math" w:hAnsi="Cambria Math"/>
          </w:rPr>
          <m:t>=exp</m:t>
        </m:r>
        <m:d>
          <m:dPr>
            <m:ctrlPr>
              <w:rPr>
                <w:rFonts w:ascii="Cambria Math" w:hAnsi="Cambria Math"/>
                <w:i/>
              </w:rPr>
            </m:ctrlPr>
          </m:dPr>
          <m:e>
            <m:f>
              <m:fPr>
                <m:ctrlPr>
                  <w:rPr>
                    <w:rFonts w:ascii="Cambria Math" w:hAnsi="Cambria Math"/>
                    <w:i/>
                  </w:rPr>
                </m:ctrlPr>
              </m:fPr>
              <m:num>
                <m:r>
                  <m:rPr/>
                  <w:rPr>
                    <w:rFonts w:ascii="Cambria Math" w:hAnsi="Cambria Math"/>
                  </w:rPr>
                  <m:t>−2.99</m:t>
                </m:r>
                <m:sSub>
                  <m:sSubPr>
                    <m:ctrlPr>
                      <w:rPr>
                        <w:rFonts w:ascii="Cambria Math" w:hAnsi="Cambria Math"/>
                        <w:i/>
                      </w:rPr>
                    </m:ctrlPr>
                  </m:sSubPr>
                  <m:e>
                    <m:r>
                      <m:rPr/>
                      <w:rPr>
                        <w:rFonts w:ascii="Cambria Math" w:hAnsi="Cambria Math"/>
                      </w:rPr>
                      <m:t>d</m:t>
                    </m:r>
                    <m:ctrlPr>
                      <w:rPr>
                        <w:rFonts w:ascii="Cambria Math" w:hAnsi="Cambria Math"/>
                        <w:i/>
                      </w:rPr>
                    </m:ctrlPr>
                  </m:e>
                  <m:sub>
                    <m:r>
                      <m:rPr/>
                      <w:rPr>
                        <w:rFonts w:ascii="Cambria Math" w:hAnsi="Cambria Math"/>
                      </w:rPr>
                      <m:t>xy</m:t>
                    </m:r>
                    <m:ctrlPr>
                      <w:rPr>
                        <w:rFonts w:ascii="Cambria Math" w:hAnsi="Cambria Math"/>
                        <w:i/>
                      </w:rPr>
                    </m:ctrlPr>
                  </m:sub>
                </m:sSub>
                <m:ctrlPr>
                  <w:rPr>
                    <w:rFonts w:ascii="Cambria Math" w:hAnsi="Cambria Math"/>
                    <w:i/>
                  </w:rPr>
                </m:ctrlPr>
              </m:num>
              <m:den>
                <m:sSub>
                  <m:sSubPr>
                    <m:ctrlPr>
                      <w:rPr>
                        <w:rFonts w:ascii="Cambria Math" w:hAnsi="Cambria Math"/>
                        <w:i/>
                      </w:rPr>
                    </m:ctrlPr>
                  </m:sSubPr>
                  <m:e>
                    <m:r>
                      <m:rPr/>
                      <w:rPr>
                        <w:rFonts w:ascii="Cambria Math" w:hAnsi="Cambria Math"/>
                      </w:rPr>
                      <m:t>d</m:t>
                    </m:r>
                    <m:ctrlPr>
                      <w:rPr>
                        <w:rFonts w:ascii="Cambria Math" w:hAnsi="Cambria Math"/>
                        <w:i/>
                      </w:rPr>
                    </m:ctrlPr>
                  </m:e>
                  <m:sub>
                    <m:r>
                      <m:rPr/>
                      <w:rPr>
                        <w:rFonts w:ascii="Cambria Math" w:hAnsi="Cambria Math"/>
                      </w:rPr>
                      <m:t>rmax</m:t>
                    </m:r>
                    <m:ctrlPr>
                      <w:rPr>
                        <w:rFonts w:ascii="Cambria Math" w:hAnsi="Cambria Math"/>
                        <w:i/>
                      </w:rPr>
                    </m:ctrlPr>
                  </m:sub>
                </m:sSub>
                <m:ctrlPr>
                  <w:rPr>
                    <w:rFonts w:ascii="Cambria Math" w:hAnsi="Cambria Math"/>
                    <w:i/>
                  </w:rPr>
                </m:ctrlPr>
              </m:den>
            </m:f>
            <m:ctrlPr>
              <w:rPr>
                <w:rFonts w:ascii="Cambria Math" w:hAnsi="Cambria Math"/>
                <w:i/>
              </w:rPr>
            </m:ctrlPr>
          </m:e>
        </m:d>
      </m:oMath>
      <w:r>
        <w:rPr>
          <w:rFonts w:hint="eastAsia"/>
        </w:rPr>
        <w:t>(指数衰减)</w:t>
      </w:r>
    </w:p>
    <w:p w14:paraId="5F8251C5">
      <w:pPr>
        <w:pStyle w:val="96"/>
        <w:ind w:firstLine="468"/>
      </w:pPr>
      <w:r>
        <w:rPr>
          <w:spacing w:val="-6"/>
        </w:rPr>
        <w:t>式中</w:t>
      </w:r>
      <w:r>
        <w:rPr>
          <w:rFonts w:ascii="新宋体" w:hAnsi="新宋体" w:eastAsia="新宋体" w:cs="新宋体"/>
          <w:spacing w:val="-6"/>
        </w:rPr>
        <w:t>，</w:t>
      </w:r>
      <w:r>
        <w:rPr>
          <w:spacing w:val="-3"/>
        </w:rPr>
        <w:t>D</w:t>
      </w:r>
      <w:r>
        <w:rPr>
          <w:spacing w:val="-3"/>
          <w:position w:val="-3"/>
          <w:sz w:val="11"/>
          <w:szCs w:val="11"/>
        </w:rPr>
        <w:t>xj</w:t>
      </w:r>
      <w:r>
        <w:rPr>
          <w:spacing w:val="-6"/>
        </w:rPr>
        <w:t>为生境类型</w:t>
      </w:r>
      <w:r>
        <w:rPr>
          <w:spacing w:val="-3"/>
        </w:rPr>
        <w:t xml:space="preserve"> j 中 x 栅格的生境退化度 </w:t>
      </w:r>
      <w:r>
        <w:rPr>
          <w:rFonts w:ascii="新宋体" w:hAnsi="新宋体" w:eastAsia="新宋体" w:cs="新宋体"/>
          <w:spacing w:val="-3"/>
        </w:rPr>
        <w:t>;</w:t>
      </w:r>
      <w:r>
        <w:rPr>
          <w:spacing w:val="-3"/>
        </w:rPr>
        <w:t xml:space="preserve">R 为威胁源个数 </w:t>
      </w:r>
      <w:r>
        <w:rPr>
          <w:rFonts w:ascii="新宋体" w:hAnsi="新宋体" w:eastAsia="新宋体" w:cs="新宋体"/>
          <w:spacing w:val="-3"/>
        </w:rPr>
        <w:t xml:space="preserve">; </w:t>
      </w:r>
      <w:r>
        <w:rPr>
          <w:spacing w:val="-3"/>
        </w:rPr>
        <w:t>W</w:t>
      </w:r>
      <w:r>
        <w:rPr>
          <w:spacing w:val="-3"/>
          <w:position w:val="-3"/>
          <w:sz w:val="11"/>
          <w:szCs w:val="11"/>
        </w:rPr>
        <w:t xml:space="preserve">r </w:t>
      </w:r>
      <w:r>
        <w:rPr>
          <w:spacing w:val="-3"/>
        </w:rPr>
        <w:t xml:space="preserve">为威胁源 r 的权重 </w:t>
      </w:r>
      <w:r>
        <w:rPr>
          <w:rFonts w:ascii="新宋体" w:hAnsi="新宋体" w:eastAsia="新宋体" w:cs="新宋体"/>
          <w:spacing w:val="-3"/>
        </w:rPr>
        <w:t xml:space="preserve">; </w:t>
      </w:r>
      <w:r>
        <w:rPr>
          <w:spacing w:val="-3"/>
        </w:rPr>
        <w:t>Y</w:t>
      </w:r>
      <w:r>
        <w:rPr>
          <w:spacing w:val="-3"/>
          <w:position w:val="-3"/>
          <w:sz w:val="11"/>
          <w:szCs w:val="11"/>
        </w:rPr>
        <w:t xml:space="preserve">r </w:t>
      </w:r>
      <w:r>
        <w:rPr>
          <w:spacing w:val="-3"/>
        </w:rPr>
        <w:t xml:space="preserve">为威胁源的栅格数 </w:t>
      </w:r>
      <w:r>
        <w:rPr>
          <w:rFonts w:ascii="新宋体" w:hAnsi="新宋体" w:eastAsia="新宋体" w:cs="新宋体"/>
          <w:spacing w:val="-3"/>
        </w:rPr>
        <w:t>;</w:t>
      </w:r>
      <w:r>
        <w:rPr>
          <w:rFonts w:ascii="新宋体" w:hAnsi="新宋体" w:eastAsia="新宋体" w:cs="新宋体"/>
        </w:rPr>
        <w:t xml:space="preserve"> </w:t>
      </w:r>
      <w:r>
        <w:rPr>
          <w:spacing w:val="-1"/>
        </w:rPr>
        <w:t>r</w:t>
      </w:r>
      <w:r>
        <w:rPr>
          <w:spacing w:val="-1"/>
          <w:position w:val="-3"/>
          <w:sz w:val="11"/>
          <w:szCs w:val="11"/>
        </w:rPr>
        <w:t>y</w:t>
      </w:r>
      <w:r>
        <w:rPr>
          <w:spacing w:val="-2"/>
          <w:position w:val="-3"/>
          <w:sz w:val="11"/>
          <w:szCs w:val="11"/>
        </w:rPr>
        <w:t xml:space="preserve"> </w:t>
      </w:r>
      <w:r>
        <w:rPr>
          <w:spacing w:val="-2"/>
        </w:rPr>
        <w:t xml:space="preserve">为栅格 </w:t>
      </w:r>
      <w:r>
        <w:rPr>
          <w:spacing w:val="-1"/>
        </w:rPr>
        <w:t>y</w:t>
      </w:r>
      <w:r>
        <w:rPr>
          <w:spacing w:val="-2"/>
        </w:rPr>
        <w:t xml:space="preserve"> 的胁迫值 </w:t>
      </w:r>
      <w:r>
        <w:rPr>
          <w:rFonts w:ascii="新宋体" w:hAnsi="新宋体" w:eastAsia="新宋体" w:cs="新宋体"/>
          <w:spacing w:val="-2"/>
        </w:rPr>
        <w:t xml:space="preserve">; </w:t>
      </w:r>
      <w:r>
        <w:rPr>
          <w:spacing w:val="-1"/>
        </w:rPr>
        <w:t>i</w:t>
      </w:r>
      <w:r>
        <w:rPr>
          <w:spacing w:val="-1"/>
          <w:position w:val="-3"/>
          <w:sz w:val="11"/>
          <w:szCs w:val="11"/>
        </w:rPr>
        <w:t>rxy</w:t>
      </w:r>
      <w:r>
        <w:rPr>
          <w:spacing w:val="-2"/>
        </w:rPr>
        <w:t xml:space="preserve">为栅格 </w:t>
      </w:r>
      <w:r>
        <w:rPr>
          <w:spacing w:val="-1"/>
        </w:rPr>
        <w:t>y</w:t>
      </w:r>
      <w:r>
        <w:rPr>
          <w:spacing w:val="-2"/>
        </w:rPr>
        <w:t xml:space="preserve"> 的胁迫值 </w:t>
      </w:r>
      <w:r>
        <w:rPr>
          <w:spacing w:val="-1"/>
        </w:rPr>
        <w:t>r</w:t>
      </w:r>
      <w:r>
        <w:rPr>
          <w:spacing w:val="-1"/>
          <w:position w:val="-3"/>
          <w:sz w:val="11"/>
          <w:szCs w:val="11"/>
        </w:rPr>
        <w:t>y</w:t>
      </w:r>
      <w:r>
        <w:rPr>
          <w:spacing w:val="-2"/>
          <w:position w:val="-3"/>
          <w:sz w:val="11"/>
          <w:szCs w:val="11"/>
        </w:rPr>
        <w:t xml:space="preserve"> </w:t>
      </w:r>
      <w:r>
        <w:rPr>
          <w:spacing w:val="-2"/>
        </w:rPr>
        <w:t xml:space="preserve">对栅格 </w:t>
      </w:r>
      <w:r>
        <w:rPr>
          <w:spacing w:val="-1"/>
        </w:rPr>
        <w:t>x</w:t>
      </w:r>
      <w:r>
        <w:rPr>
          <w:spacing w:val="-2"/>
        </w:rPr>
        <w:t xml:space="preserve"> 的胁迫水平 </w:t>
      </w:r>
      <w:r>
        <w:rPr>
          <w:rFonts w:ascii="新宋体" w:hAnsi="新宋体" w:eastAsia="新宋体" w:cs="新宋体"/>
          <w:spacing w:val="-2"/>
        </w:rPr>
        <w:t xml:space="preserve">; </w:t>
      </w:r>
      <w:r>
        <w:rPr>
          <w:rFonts w:ascii="Arial" w:hAnsi="Arial" w:eastAsia="Arial" w:cs="Arial"/>
          <w:spacing w:val="-2"/>
        </w:rPr>
        <w:t>β</w:t>
      </w:r>
      <w:r>
        <w:rPr>
          <w:spacing w:val="-1"/>
          <w:position w:val="-3"/>
          <w:sz w:val="11"/>
          <w:szCs w:val="11"/>
        </w:rPr>
        <w:t>x</w:t>
      </w:r>
      <w:r>
        <w:rPr>
          <w:spacing w:val="-2"/>
          <w:position w:val="-3"/>
          <w:sz w:val="11"/>
          <w:szCs w:val="11"/>
        </w:rPr>
        <w:t xml:space="preserve"> </w:t>
      </w:r>
      <w:r>
        <w:rPr>
          <w:spacing w:val="-2"/>
        </w:rPr>
        <w:t xml:space="preserve">为威胁源对栅格 </w:t>
      </w:r>
      <w:r>
        <w:rPr>
          <w:spacing w:val="-1"/>
        </w:rPr>
        <w:t>x</w:t>
      </w:r>
      <w:r>
        <w:rPr>
          <w:spacing w:val="-2"/>
        </w:rPr>
        <w:t xml:space="preserve"> 的可达性 </w:t>
      </w:r>
      <w:r>
        <w:rPr>
          <w:rFonts w:ascii="新宋体" w:hAnsi="新宋体" w:eastAsia="新宋体" w:cs="新宋体"/>
          <w:spacing w:val="-2"/>
        </w:rPr>
        <w:t xml:space="preserve">( </w:t>
      </w:r>
      <w:r>
        <w:rPr>
          <w:spacing w:val="-2"/>
        </w:rPr>
        <w:t>受法</w:t>
      </w:r>
      <w:r>
        <w:rPr>
          <w:spacing w:val="-1"/>
        </w:rPr>
        <w:t>律保</w:t>
      </w:r>
      <w:r>
        <w:t xml:space="preserve"> 护的区域为 0</w:t>
      </w:r>
      <w:r>
        <w:rPr>
          <w:rFonts w:ascii="新宋体" w:hAnsi="新宋体" w:eastAsia="新宋体" w:cs="新宋体"/>
          <w:position w:val="1"/>
        </w:rPr>
        <w:t>，</w:t>
      </w:r>
      <w:r>
        <w:t>其余区域为 1</w:t>
      </w:r>
      <w:r>
        <w:rPr>
          <w:rFonts w:ascii="新宋体" w:hAnsi="新宋体" w:eastAsia="新宋体" w:cs="新宋体"/>
          <w:position w:val="1"/>
        </w:rPr>
        <w:t xml:space="preserve">) ; </w:t>
      </w:r>
      <w:r>
        <w:rPr>
          <w:position w:val="1"/>
        </w:rPr>
        <w:t>S</w:t>
      </w:r>
      <w:r>
        <w:rPr>
          <w:position w:val="-3"/>
          <w:sz w:val="11"/>
          <w:szCs w:val="11"/>
        </w:rPr>
        <w:t>jr</w:t>
      </w:r>
      <w:r>
        <w:t xml:space="preserve">为生境类型 j 对威胁源 </w:t>
      </w:r>
      <w:r>
        <w:rPr>
          <w:position w:val="1"/>
        </w:rPr>
        <w:t xml:space="preserve">r </w:t>
      </w:r>
      <w:r>
        <w:t xml:space="preserve">的敏感度 </w:t>
      </w:r>
      <w:r>
        <w:rPr>
          <w:rFonts w:ascii="新宋体" w:hAnsi="新宋体" w:eastAsia="新宋体" w:cs="新宋体"/>
          <w:position w:val="1"/>
        </w:rPr>
        <w:t xml:space="preserve">; </w:t>
      </w:r>
      <w:r>
        <w:rPr>
          <w:position w:val="1"/>
        </w:rPr>
        <w:t>d</w:t>
      </w:r>
      <w:r>
        <w:rPr>
          <w:position w:val="-3"/>
          <w:sz w:val="11"/>
          <w:szCs w:val="11"/>
        </w:rPr>
        <w:t>xy</w:t>
      </w:r>
      <w:r>
        <w:t xml:space="preserve">为栅格 </w:t>
      </w:r>
      <w:r>
        <w:rPr>
          <w:position w:val="1"/>
        </w:rPr>
        <w:t xml:space="preserve">x </w:t>
      </w:r>
      <w:r>
        <w:t xml:space="preserve">与栅格 </w:t>
      </w:r>
      <w:r>
        <w:rPr>
          <w:position w:val="1"/>
        </w:rPr>
        <w:t xml:space="preserve">y </w:t>
      </w:r>
      <w:r>
        <w:t xml:space="preserve">的直线距离 </w:t>
      </w:r>
      <w:r>
        <w:rPr>
          <w:rFonts w:ascii="新宋体" w:hAnsi="新宋体" w:eastAsia="新宋体" w:cs="新宋体"/>
          <w:position w:val="1"/>
        </w:rPr>
        <w:t xml:space="preserve">; </w:t>
      </w:r>
      <w:r>
        <w:rPr>
          <w:position w:val="1"/>
        </w:rPr>
        <w:t>d</w:t>
      </w:r>
      <w:r>
        <w:rPr>
          <w:position w:val="-3"/>
          <w:sz w:val="11"/>
          <w:szCs w:val="11"/>
        </w:rPr>
        <w:t>rm</w:t>
      </w:r>
      <w:r>
        <w:rPr>
          <w:spacing w:val="-3"/>
          <w:position w:val="-3"/>
          <w:sz w:val="11"/>
          <w:szCs w:val="11"/>
        </w:rPr>
        <w:t>a</w:t>
      </w:r>
      <w:r>
        <w:rPr>
          <w:position w:val="-3"/>
          <w:sz w:val="11"/>
          <w:szCs w:val="11"/>
        </w:rPr>
        <w:t>x</w:t>
      </w:r>
      <w:r>
        <w:t>为</w:t>
      </w:r>
      <w:r>
        <w:rPr>
          <w:rFonts w:hint="eastAsia"/>
        </w:rPr>
        <w:t>威胁源 r 的最大胁迫距离。</w:t>
      </w:r>
    </w:p>
    <w:p w14:paraId="2587E462">
      <w:pPr>
        <w:pStyle w:val="96"/>
        <w:ind w:firstLine="480"/>
      </w:pPr>
      <w:r>
        <w:rPr>
          <w:rFonts w:hint="eastAsia"/>
        </w:rPr>
        <w:t>在此基础上计算生境质量 :</w:t>
      </w:r>
    </w:p>
    <w:p w14:paraId="69515A11">
      <w:pPr>
        <w:spacing w:before="85" w:line="232" w:lineRule="auto"/>
        <w:ind w:left="672" w:right="2" w:firstLine="400"/>
        <w:rPr>
          <w:rFonts w:hAnsi="Cambria Math" w:cs="微软雅黑"/>
          <w:spacing w:val="-5"/>
          <w:sz w:val="20"/>
          <w:szCs w:val="20"/>
        </w:rPr>
      </w:pPr>
      <m:oMathPara>
        <m:oMath>
          <m:sSub>
            <m:sSubPr>
              <m:ctrlPr>
                <w:rPr>
                  <w:rFonts w:ascii="Cambria Math" w:hAnsi="Cambria Math" w:cs="微软雅黑"/>
                  <w:i/>
                  <w:spacing w:val="-5"/>
                  <w:sz w:val="20"/>
                  <w:szCs w:val="20"/>
                </w:rPr>
              </m:ctrlPr>
            </m:sSubPr>
            <m:e>
              <m:r>
                <m:rPr/>
                <w:rPr>
                  <w:rFonts w:ascii="Cambria Math" w:hAnsi="Cambria Math" w:cs="微软雅黑"/>
                  <w:spacing w:val="-5"/>
                  <w:sz w:val="20"/>
                  <w:szCs w:val="20"/>
                </w:rPr>
                <m:t>Q</m:t>
              </m:r>
              <m:ctrlPr>
                <w:rPr>
                  <w:rFonts w:ascii="Cambria Math" w:hAnsi="Cambria Math" w:cs="微软雅黑"/>
                  <w:i/>
                  <w:spacing w:val="-5"/>
                  <w:sz w:val="20"/>
                  <w:szCs w:val="20"/>
                </w:rPr>
              </m:ctrlPr>
            </m:e>
            <m:sub>
              <m:r>
                <m:rPr/>
                <w:rPr>
                  <w:rFonts w:ascii="Cambria Math" w:hAnsi="Cambria Math" w:cs="微软雅黑"/>
                  <w:spacing w:val="-5"/>
                  <w:sz w:val="20"/>
                  <w:szCs w:val="20"/>
                </w:rPr>
                <m:t>xj</m:t>
              </m:r>
              <m:ctrlPr>
                <w:rPr>
                  <w:rFonts w:ascii="Cambria Math" w:hAnsi="Cambria Math" w:cs="微软雅黑"/>
                  <w:i/>
                  <w:spacing w:val="-5"/>
                  <w:sz w:val="20"/>
                  <w:szCs w:val="20"/>
                </w:rPr>
              </m:ctrlPr>
            </m:sub>
          </m:sSub>
          <m:r>
            <m:rPr/>
            <w:rPr>
              <w:rFonts w:ascii="Cambria Math" w:hAnsi="Cambria Math" w:cs="微软雅黑"/>
              <w:spacing w:val="-5"/>
              <w:sz w:val="20"/>
              <w:szCs w:val="20"/>
            </w:rPr>
            <m:t>=</m:t>
          </m:r>
          <m:sSub>
            <m:sSubPr>
              <m:ctrlPr>
                <w:rPr>
                  <w:rFonts w:ascii="Cambria Math" w:hAnsi="Cambria Math" w:cs="微软雅黑"/>
                  <w:i/>
                  <w:spacing w:val="-5"/>
                  <w:sz w:val="20"/>
                  <w:szCs w:val="20"/>
                </w:rPr>
              </m:ctrlPr>
            </m:sSubPr>
            <m:e>
              <m:r>
                <m:rPr/>
                <w:rPr>
                  <w:rFonts w:ascii="Cambria Math" w:hAnsi="Cambria Math" w:cs="微软雅黑"/>
                  <w:spacing w:val="-5"/>
                  <w:sz w:val="20"/>
                  <w:szCs w:val="20"/>
                </w:rPr>
                <m:t>H</m:t>
              </m:r>
              <m:ctrlPr>
                <w:rPr>
                  <w:rFonts w:ascii="Cambria Math" w:hAnsi="Cambria Math" w:cs="微软雅黑"/>
                  <w:i/>
                  <w:spacing w:val="-5"/>
                  <w:sz w:val="20"/>
                  <w:szCs w:val="20"/>
                </w:rPr>
              </m:ctrlPr>
            </m:e>
            <m:sub>
              <m:r>
                <m:rPr/>
                <w:rPr>
                  <w:rFonts w:ascii="Cambria Math" w:hAnsi="Cambria Math" w:cs="微软雅黑"/>
                  <w:spacing w:val="-5"/>
                  <w:sz w:val="20"/>
                  <w:szCs w:val="20"/>
                </w:rPr>
                <m:t>j</m:t>
              </m:r>
              <m:ctrlPr>
                <w:rPr>
                  <w:rFonts w:ascii="Cambria Math" w:hAnsi="Cambria Math" w:cs="微软雅黑"/>
                  <w:i/>
                  <w:spacing w:val="-5"/>
                  <w:sz w:val="20"/>
                  <w:szCs w:val="20"/>
                </w:rPr>
              </m:ctrlPr>
            </m:sub>
          </m:sSub>
          <m:d>
            <m:dPr>
              <m:begChr m:val="["/>
              <m:endChr m:val="]"/>
              <m:ctrlPr>
                <w:rPr>
                  <w:rFonts w:ascii="Cambria Math" w:hAnsi="Cambria Math" w:cs="微软雅黑"/>
                  <w:i/>
                  <w:spacing w:val="-5"/>
                  <w:sz w:val="20"/>
                  <w:szCs w:val="20"/>
                </w:rPr>
              </m:ctrlPr>
            </m:dPr>
            <m:e>
              <m:r>
                <m:rPr/>
                <w:rPr>
                  <w:rFonts w:ascii="Cambria Math" w:hAnsi="Cambria Math" w:cs="微软雅黑"/>
                  <w:spacing w:val="-5"/>
                  <w:sz w:val="20"/>
                  <w:szCs w:val="20"/>
                </w:rPr>
                <m:t>1−</m:t>
              </m:r>
              <m:d>
                <m:dPr>
                  <m:ctrlPr>
                    <w:rPr>
                      <w:rFonts w:ascii="Cambria Math" w:hAnsi="Cambria Math" w:cs="微软雅黑"/>
                      <w:i/>
                      <w:spacing w:val="-5"/>
                      <w:sz w:val="20"/>
                      <w:szCs w:val="20"/>
                    </w:rPr>
                  </m:ctrlPr>
                </m:dPr>
                <m:e>
                  <m:f>
                    <m:fPr>
                      <m:ctrlPr>
                        <w:rPr>
                          <w:rFonts w:ascii="Cambria Math" w:hAnsi="Cambria Math" w:cs="微软雅黑"/>
                          <w:i/>
                          <w:spacing w:val="-5"/>
                          <w:sz w:val="20"/>
                          <w:szCs w:val="20"/>
                        </w:rPr>
                      </m:ctrlPr>
                    </m:fPr>
                    <m:num>
                      <m:sSubSup>
                        <m:sSubSupPr>
                          <m:ctrlPr>
                            <w:rPr>
                              <w:rFonts w:ascii="Cambria Math" w:hAnsi="Cambria Math" w:cs="微软雅黑"/>
                              <w:i/>
                              <w:spacing w:val="-5"/>
                              <w:sz w:val="20"/>
                              <w:szCs w:val="20"/>
                            </w:rPr>
                          </m:ctrlPr>
                        </m:sSubSupPr>
                        <m:e>
                          <m:r>
                            <m:rPr/>
                            <w:rPr>
                              <w:rFonts w:ascii="Cambria Math" w:hAnsi="Cambria Math" w:cs="微软雅黑"/>
                              <w:spacing w:val="-5"/>
                              <w:sz w:val="20"/>
                              <w:szCs w:val="20"/>
                            </w:rPr>
                            <m:t>D</m:t>
                          </m:r>
                          <m:ctrlPr>
                            <w:rPr>
                              <w:rFonts w:ascii="Cambria Math" w:hAnsi="Cambria Math" w:cs="微软雅黑"/>
                              <w:i/>
                              <w:spacing w:val="-5"/>
                              <w:sz w:val="20"/>
                              <w:szCs w:val="20"/>
                            </w:rPr>
                          </m:ctrlPr>
                        </m:e>
                        <m:sub>
                          <m:r>
                            <m:rPr/>
                            <w:rPr>
                              <w:rFonts w:ascii="Cambria Math" w:hAnsi="Cambria Math" w:cs="微软雅黑"/>
                              <w:spacing w:val="-5"/>
                              <w:sz w:val="20"/>
                              <w:szCs w:val="20"/>
                            </w:rPr>
                            <m:t>xj</m:t>
                          </m:r>
                          <m:ctrlPr>
                            <w:rPr>
                              <w:rFonts w:ascii="Cambria Math" w:hAnsi="Cambria Math" w:cs="微软雅黑"/>
                              <w:i/>
                              <w:spacing w:val="-5"/>
                              <w:sz w:val="20"/>
                              <w:szCs w:val="20"/>
                            </w:rPr>
                          </m:ctrlPr>
                        </m:sub>
                        <m:sup>
                          <m:r>
                            <m:rPr/>
                            <w:rPr>
                              <w:rFonts w:ascii="Cambria Math" w:hAnsi="Cambria Math" w:cs="微软雅黑"/>
                              <w:spacing w:val="-5"/>
                              <w:sz w:val="20"/>
                              <w:szCs w:val="20"/>
                            </w:rPr>
                            <m:t>z</m:t>
                          </m:r>
                          <m:ctrlPr>
                            <w:rPr>
                              <w:rFonts w:ascii="Cambria Math" w:hAnsi="Cambria Math" w:cs="微软雅黑"/>
                              <w:i/>
                              <w:spacing w:val="-5"/>
                              <w:sz w:val="20"/>
                              <w:szCs w:val="20"/>
                            </w:rPr>
                          </m:ctrlPr>
                        </m:sup>
                      </m:sSubSup>
                      <m:ctrlPr>
                        <w:rPr>
                          <w:rFonts w:ascii="Cambria Math" w:hAnsi="Cambria Math" w:cs="微软雅黑"/>
                          <w:i/>
                          <w:spacing w:val="-5"/>
                          <w:sz w:val="20"/>
                          <w:szCs w:val="20"/>
                        </w:rPr>
                      </m:ctrlPr>
                    </m:num>
                    <m:den>
                      <m:sSubSup>
                        <m:sSubSupPr>
                          <m:ctrlPr>
                            <w:rPr>
                              <w:rFonts w:ascii="Cambria Math" w:hAnsi="Cambria Math" w:cs="微软雅黑"/>
                              <w:i/>
                              <w:spacing w:val="-5"/>
                              <w:sz w:val="20"/>
                              <w:szCs w:val="20"/>
                            </w:rPr>
                          </m:ctrlPr>
                        </m:sSubSupPr>
                        <m:e>
                          <m:r>
                            <m:rPr/>
                            <w:rPr>
                              <w:rFonts w:ascii="Cambria Math" w:hAnsi="Cambria Math" w:cs="微软雅黑"/>
                              <w:spacing w:val="-5"/>
                              <w:sz w:val="20"/>
                              <w:szCs w:val="20"/>
                            </w:rPr>
                            <m:t>D</m:t>
                          </m:r>
                          <m:ctrlPr>
                            <w:rPr>
                              <w:rFonts w:ascii="Cambria Math" w:hAnsi="Cambria Math" w:cs="微软雅黑"/>
                              <w:i/>
                              <w:spacing w:val="-5"/>
                              <w:sz w:val="20"/>
                              <w:szCs w:val="20"/>
                            </w:rPr>
                          </m:ctrlPr>
                        </m:e>
                        <m:sub>
                          <m:r>
                            <m:rPr/>
                            <w:rPr>
                              <w:rFonts w:ascii="Cambria Math" w:hAnsi="Cambria Math" w:cs="微软雅黑"/>
                              <w:spacing w:val="-5"/>
                              <w:sz w:val="20"/>
                              <w:szCs w:val="20"/>
                            </w:rPr>
                            <m:t>xj</m:t>
                          </m:r>
                          <m:ctrlPr>
                            <w:rPr>
                              <w:rFonts w:ascii="Cambria Math" w:hAnsi="Cambria Math" w:cs="微软雅黑"/>
                              <w:i/>
                              <w:spacing w:val="-5"/>
                              <w:sz w:val="20"/>
                              <w:szCs w:val="20"/>
                            </w:rPr>
                          </m:ctrlPr>
                        </m:sub>
                        <m:sup>
                          <m:r>
                            <m:rPr/>
                            <w:rPr>
                              <w:rFonts w:ascii="Cambria Math" w:hAnsi="Cambria Math" w:cs="微软雅黑"/>
                              <w:spacing w:val="-5"/>
                              <w:sz w:val="20"/>
                              <w:szCs w:val="20"/>
                            </w:rPr>
                            <m:t>z</m:t>
                          </m:r>
                          <m:ctrlPr>
                            <w:rPr>
                              <w:rFonts w:ascii="Cambria Math" w:hAnsi="Cambria Math" w:cs="微软雅黑"/>
                              <w:i/>
                              <w:spacing w:val="-5"/>
                              <w:sz w:val="20"/>
                              <w:szCs w:val="20"/>
                            </w:rPr>
                          </m:ctrlPr>
                        </m:sup>
                      </m:sSubSup>
                      <m:r>
                        <m:rPr/>
                        <w:rPr>
                          <w:rFonts w:ascii="Cambria Math" w:hAnsi="Cambria Math" w:cs="微软雅黑"/>
                          <w:spacing w:val="-5"/>
                          <w:sz w:val="20"/>
                          <w:szCs w:val="20"/>
                        </w:rPr>
                        <m:t>+</m:t>
                      </m:r>
                      <m:sSup>
                        <m:sSupPr>
                          <m:ctrlPr>
                            <w:rPr>
                              <w:rFonts w:ascii="Cambria Math" w:hAnsi="Cambria Math" w:cs="微软雅黑"/>
                              <w:i/>
                              <w:spacing w:val="-5"/>
                              <w:sz w:val="20"/>
                              <w:szCs w:val="20"/>
                            </w:rPr>
                          </m:ctrlPr>
                        </m:sSupPr>
                        <m:e>
                          <m:r>
                            <m:rPr/>
                            <w:rPr>
                              <w:rFonts w:ascii="Cambria Math" w:hAnsi="Cambria Math" w:cs="微软雅黑"/>
                              <w:spacing w:val="-5"/>
                              <w:sz w:val="20"/>
                              <w:szCs w:val="20"/>
                            </w:rPr>
                            <m:t>k</m:t>
                          </m:r>
                          <m:ctrlPr>
                            <w:rPr>
                              <w:rFonts w:ascii="Cambria Math" w:hAnsi="Cambria Math" w:cs="微软雅黑"/>
                              <w:i/>
                              <w:spacing w:val="-5"/>
                              <w:sz w:val="20"/>
                              <w:szCs w:val="20"/>
                            </w:rPr>
                          </m:ctrlPr>
                        </m:e>
                        <m:sup>
                          <m:r>
                            <m:rPr/>
                            <w:rPr>
                              <w:rFonts w:ascii="Cambria Math" w:hAnsi="Cambria Math" w:cs="微软雅黑"/>
                              <w:spacing w:val="-5"/>
                              <w:sz w:val="20"/>
                              <w:szCs w:val="20"/>
                            </w:rPr>
                            <m:t>z</m:t>
                          </m:r>
                          <m:ctrlPr>
                            <w:rPr>
                              <w:rFonts w:ascii="Cambria Math" w:hAnsi="Cambria Math" w:cs="微软雅黑"/>
                              <w:i/>
                              <w:spacing w:val="-5"/>
                              <w:sz w:val="20"/>
                              <w:szCs w:val="20"/>
                            </w:rPr>
                          </m:ctrlPr>
                        </m:sup>
                      </m:sSup>
                      <m:ctrlPr>
                        <w:rPr>
                          <w:rFonts w:ascii="Cambria Math" w:hAnsi="Cambria Math" w:cs="微软雅黑"/>
                          <w:i/>
                          <w:spacing w:val="-5"/>
                          <w:sz w:val="20"/>
                          <w:szCs w:val="20"/>
                        </w:rPr>
                      </m:ctrlPr>
                    </m:den>
                  </m:f>
                  <m:ctrlPr>
                    <w:rPr>
                      <w:rFonts w:ascii="Cambria Math" w:hAnsi="Cambria Math" w:cs="微软雅黑"/>
                      <w:i/>
                      <w:spacing w:val="-5"/>
                      <w:sz w:val="20"/>
                      <w:szCs w:val="20"/>
                    </w:rPr>
                  </m:ctrlPr>
                </m:e>
              </m:d>
              <m:ctrlPr>
                <w:rPr>
                  <w:rFonts w:ascii="Cambria Math" w:hAnsi="Cambria Math" w:cs="微软雅黑"/>
                  <w:i/>
                  <w:spacing w:val="-5"/>
                  <w:sz w:val="20"/>
                  <w:szCs w:val="20"/>
                </w:rPr>
              </m:ctrlPr>
            </m:e>
          </m:d>
        </m:oMath>
      </m:oMathPara>
    </w:p>
    <w:p w14:paraId="70F92F8A">
      <w:pPr>
        <w:pStyle w:val="96"/>
        <w:ind w:firstLine="468"/>
        <w:rPr>
          <w:spacing w:val="-8"/>
        </w:rPr>
      </w:pPr>
      <w:r>
        <w:rPr>
          <w:spacing w:val="-6"/>
        </w:rPr>
        <w:t>式中</w:t>
      </w:r>
      <w:r>
        <w:rPr>
          <w:rFonts w:ascii="新宋体" w:hAnsi="新宋体" w:eastAsia="新宋体" w:cs="新宋体"/>
          <w:spacing w:val="-6"/>
        </w:rPr>
        <w:t>，</w:t>
      </w:r>
      <w:r>
        <w:t>Q</w:t>
      </w:r>
      <w:r>
        <w:rPr>
          <w:position w:val="-3"/>
          <w:sz w:val="11"/>
          <w:szCs w:val="11"/>
        </w:rPr>
        <w:t>xj</w:t>
      </w:r>
      <w:r>
        <w:rPr>
          <w:spacing w:val="-6"/>
        </w:rPr>
        <w:t>为生境</w:t>
      </w:r>
      <w:r>
        <w:t>类型 j 中 x 栅格的生境质量指数</w:t>
      </w:r>
      <w:r>
        <w:rPr>
          <w:rFonts w:ascii="新宋体" w:hAnsi="新宋体" w:eastAsia="新宋体" w:cs="新宋体"/>
        </w:rPr>
        <w:t xml:space="preserve">; </w:t>
      </w:r>
      <w:r>
        <w:t>H</w:t>
      </w:r>
      <w:r>
        <w:rPr>
          <w:position w:val="-3"/>
          <w:sz w:val="11"/>
          <w:szCs w:val="11"/>
        </w:rPr>
        <w:t xml:space="preserve">j </w:t>
      </w:r>
      <w:r>
        <w:t>为生境类型 j 的生境适宜度</w:t>
      </w:r>
      <w:r>
        <w:rPr>
          <w:rFonts w:ascii="新宋体" w:hAnsi="新宋体" w:eastAsia="新宋体" w:cs="新宋体"/>
        </w:rPr>
        <w:t>，</w:t>
      </w:r>
      <w:r>
        <w:t xml:space="preserve">值域为 </w:t>
      </w:r>
      <w:r>
        <w:rPr>
          <w:rFonts w:ascii="新宋体" w:hAnsi="新宋体" w:eastAsia="新宋体" w:cs="新宋体"/>
        </w:rPr>
        <w:t>[</w:t>
      </w:r>
      <w:r>
        <w:t>0</w:t>
      </w:r>
      <w:r>
        <w:rPr>
          <w:rFonts w:ascii="新宋体" w:hAnsi="新宋体" w:eastAsia="新宋体" w:cs="新宋体"/>
        </w:rPr>
        <w:t>，</w:t>
      </w:r>
      <w:r>
        <w:t xml:space="preserve">1 </w:t>
      </w:r>
      <w:r>
        <w:rPr>
          <w:rFonts w:ascii="新宋体" w:hAnsi="新宋体" w:eastAsia="新宋体" w:cs="新宋体"/>
        </w:rPr>
        <w:t xml:space="preserve">]; </w:t>
      </w:r>
      <w:r>
        <w:t xml:space="preserve">k 为半饱和常 </w:t>
      </w:r>
      <w:r>
        <w:rPr>
          <w:spacing w:val="-12"/>
        </w:rPr>
        <w:t>数</w:t>
      </w:r>
      <w:r>
        <w:rPr>
          <w:rFonts w:ascii="新宋体" w:hAnsi="新宋体" w:eastAsia="新宋体" w:cs="新宋体"/>
          <w:spacing w:val="-8"/>
        </w:rPr>
        <w:t>，</w:t>
      </w:r>
      <w:r>
        <w:rPr>
          <w:spacing w:val="-8"/>
        </w:rPr>
        <w:t xml:space="preserve">取最大生境退化度 </w:t>
      </w:r>
      <w:r>
        <w:rPr>
          <w:rFonts w:ascii="新宋体" w:hAnsi="新宋体" w:eastAsia="新宋体" w:cs="新宋体"/>
          <w:spacing w:val="-8"/>
        </w:rPr>
        <w:t xml:space="preserve">( </w:t>
      </w:r>
      <w:r>
        <w:rPr>
          <w:spacing w:val="-8"/>
        </w:rPr>
        <w:t>由模型运算一次得到</w:t>
      </w:r>
      <w:r>
        <w:rPr>
          <w:rFonts w:ascii="新宋体" w:hAnsi="新宋体" w:eastAsia="新宋体" w:cs="新宋体"/>
          <w:spacing w:val="-8"/>
        </w:rPr>
        <w:t xml:space="preserve">) </w:t>
      </w:r>
      <w:r>
        <w:rPr>
          <w:spacing w:val="-8"/>
        </w:rPr>
        <w:t xml:space="preserve">的一半 </w:t>
      </w:r>
      <w:r>
        <w:rPr>
          <w:rFonts w:ascii="新宋体" w:hAnsi="新宋体" w:eastAsia="新宋体" w:cs="新宋体"/>
          <w:spacing w:val="-8"/>
        </w:rPr>
        <w:t>;</w:t>
      </w:r>
      <w:r>
        <w:rPr>
          <w:spacing w:val="-8"/>
        </w:rPr>
        <w:t>z 为归一化常量</w:t>
      </w:r>
      <w:r>
        <w:rPr>
          <w:rFonts w:ascii="新宋体" w:hAnsi="新宋体" w:eastAsia="新宋体" w:cs="新宋体"/>
          <w:spacing w:val="-8"/>
        </w:rPr>
        <w:t>，</w:t>
      </w:r>
      <w:r>
        <w:rPr>
          <w:spacing w:val="-8"/>
        </w:rPr>
        <w:t>通常设为 2</w:t>
      </w:r>
      <w:r>
        <w:rPr>
          <w:rFonts w:hint="eastAsia"/>
          <w:spacing w:val="-8"/>
        </w:rPr>
        <w:t>.</w:t>
      </w:r>
      <w:r>
        <w:rPr>
          <w:spacing w:val="-8"/>
        </w:rPr>
        <w:t>5</w:t>
      </w:r>
      <w:r>
        <w:rPr>
          <w:rFonts w:ascii="新宋体" w:hAnsi="新宋体" w:eastAsia="新宋体" w:cs="新宋体"/>
          <w:spacing w:val="-8"/>
          <w:position w:val="10"/>
          <w:sz w:val="11"/>
          <w:szCs w:val="11"/>
        </w:rPr>
        <w:t xml:space="preserve"> </w:t>
      </w:r>
      <w:r>
        <w:rPr>
          <w:spacing w:val="-8"/>
        </w:rPr>
        <w:t>。</w:t>
      </w:r>
    </w:p>
    <w:p w14:paraId="22A1BA85">
      <w:pPr>
        <w:pStyle w:val="96"/>
        <w:ind w:firstLine="480"/>
      </w:pPr>
      <w:r>
        <w:rPr>
          <w:rFonts w:hint="eastAsia"/>
        </w:rPr>
        <w:t>生境质量可以反映地区生物多样性，主要受四个方面因素影响：</w:t>
      </w:r>
      <w:r>
        <w:t>(1)每种威胁因子的相对影响；(2)每种生境类型对每种威胁因子的相对敏感度；(3)栅格单元与威胁因子之间的距离；(4)栅格单元受到的法律保护水平。由于</w:t>
      </w:r>
      <w:r>
        <w:rPr>
          <w:rFonts w:hint="eastAsia"/>
        </w:rPr>
        <w:t>本次评价</w:t>
      </w:r>
      <w:r>
        <w:t>不考虑</w:t>
      </w:r>
      <w:r>
        <w:rPr>
          <w:rFonts w:hint="eastAsia"/>
        </w:rPr>
        <w:t>评价区</w:t>
      </w:r>
      <w:r>
        <w:t>法律保护水平带来的影响，因此模型运行前首先要确 定威胁因子影响力数据和生境适宜性及敏感度数据。</w:t>
      </w:r>
    </w:p>
    <w:p w14:paraId="317D3DAF">
      <w:pPr>
        <w:pStyle w:val="96"/>
        <w:ind w:firstLine="480"/>
      </w:pPr>
      <w:r>
        <w:rPr>
          <w:rFonts w:hint="eastAsia"/>
        </w:rPr>
        <w:t>（</w:t>
      </w:r>
      <w:r>
        <w:t>4</w:t>
      </w:r>
      <w:r>
        <w:rPr>
          <w:rFonts w:hint="eastAsia"/>
        </w:rPr>
        <w:t>）</w:t>
      </w:r>
      <w:r>
        <w:t>威胁因子数据</w:t>
      </w:r>
    </w:p>
    <w:p w14:paraId="2CB43359">
      <w:pPr>
        <w:pStyle w:val="96"/>
        <w:ind w:firstLine="480"/>
      </w:pPr>
      <w:r>
        <w:rPr>
          <w:rFonts w:hint="eastAsia"/>
        </w:rPr>
        <w:t>威胁因子表包括最大影响距离、权重以及衰退类型。本研究结合</w:t>
      </w:r>
      <w:r>
        <w:t xml:space="preserve"> InVEST 模型官方用户手册和现有数据，在综合考虑以往研究成果和</w:t>
      </w:r>
      <w:r>
        <w:rPr>
          <w:rFonts w:hint="eastAsia"/>
        </w:rPr>
        <w:t>评价区</w:t>
      </w:r>
      <w:r>
        <w:t>现实生态风险来源的基础上，最终确定将</w:t>
      </w:r>
      <w:r>
        <w:rPr>
          <w:rFonts w:hint="eastAsia"/>
        </w:rPr>
        <w:t>工矿用地、</w:t>
      </w:r>
      <w:r>
        <w:rPr>
          <w:rFonts w:hint="eastAsia"/>
          <w:spacing w:val="-10"/>
        </w:rPr>
        <w:t>城</w:t>
      </w:r>
      <w:r>
        <w:rPr>
          <w:rFonts w:hint="eastAsia"/>
          <w:spacing w:val="-6"/>
        </w:rPr>
        <w:t>镇用地</w:t>
      </w:r>
      <w:r>
        <w:rPr>
          <w:rFonts w:hint="eastAsia"/>
        </w:rPr>
        <w:t>、村庄居民点、耕地、铁路、公路</w:t>
      </w:r>
      <w:r>
        <w:t>6种用地类型作为威胁因子并对其最大影响距离和权重进行赋值，确定</w:t>
      </w:r>
      <w:r>
        <w:rPr>
          <w:rFonts w:hint="eastAsia"/>
        </w:rPr>
        <w:t>其空间衰减类型（见</w:t>
      </w:r>
      <w:r>
        <w:fldChar w:fldCharType="begin"/>
      </w:r>
      <w:r>
        <w:instrText xml:space="preserve"> </w:instrText>
      </w:r>
      <w:r>
        <w:rPr>
          <w:rFonts w:hint="eastAsia"/>
        </w:rPr>
        <w:instrText xml:space="preserve">REF _Ref162259259 \h</w:instrText>
      </w:r>
      <w:r>
        <w:instrText xml:space="preserve">  \* MERGEFORMAT </w:instrText>
      </w:r>
      <w:r>
        <w:fldChar w:fldCharType="separate"/>
      </w:r>
      <w:r>
        <w:t>表 79</w:t>
      </w:r>
      <w:r>
        <w:fldChar w:fldCharType="end"/>
      </w:r>
      <w:r>
        <w:rPr>
          <w:rFonts w:hint="eastAsia"/>
        </w:rPr>
        <w:t>）</w:t>
      </w:r>
      <w:r>
        <w:t>。</w:t>
      </w:r>
      <w:r>
        <w:rPr>
          <w:rFonts w:hint="eastAsia"/>
        </w:rPr>
        <w:t>最大威胁距离</w:t>
      </w:r>
      <w:r>
        <w:t>即威胁因子对生境完整性的影响距离，一般来说，影响程度会随着栅格距离威胁源距离增加而减小，在该距离之外影响将降低为0，</w:t>
      </w:r>
      <w:r>
        <w:rPr>
          <w:rFonts w:hint="eastAsia"/>
        </w:rPr>
        <w:t>本次评价</w:t>
      </w:r>
      <w:r>
        <w:t>认为受人类活动干预程度越深的威胁因子，其使生境退化的影响范围越大，考虑</w:t>
      </w:r>
      <w:r>
        <w:rPr>
          <w:rFonts w:hint="eastAsia"/>
        </w:rPr>
        <w:t>评价区</w:t>
      </w:r>
      <w:r>
        <w:t>实际情况，将城镇用地的影响距离设置为5km ，工矿用地为4km ，农村居民点人口较少，设为3km ，耕地影响距离最小设为1km；权重是指每种威胁因子对生境完整性的相对破坏性，取值范围为 [0,1]，权重越大表示威胁程度越高，影响力越大，城</w:t>
      </w:r>
      <w:r>
        <w:rPr>
          <w:rFonts w:hint="eastAsia"/>
        </w:rPr>
        <w:t>镇用地由于人口稠密，开</w:t>
      </w:r>
      <w:r>
        <w:t>发程度深，因此将其权重视为1，其他威胁因子较城镇用地来说破坏力相对较小，将其权重大小按照相对影响性强弱适当降低；衰退类型即威胁因子带来生</w:t>
      </w:r>
      <w:r>
        <w:rPr>
          <w:rFonts w:hint="eastAsia"/>
        </w:rPr>
        <w:t>境退化的类型，其影响随距离增加呈线性减少或指数减少，该部分数据主要参</w:t>
      </w:r>
      <w:r>
        <w:t>考InVEST模型使用说明进行确定。</w:t>
      </w:r>
    </w:p>
    <w:p w14:paraId="1822AFD5">
      <w:pPr>
        <w:pStyle w:val="19"/>
        <w:keepNext/>
        <w:ind w:firstLine="480"/>
      </w:pPr>
      <w:bookmarkStart w:id="153" w:name="_Ref162259259"/>
      <w:r>
        <w:t xml:space="preserve">表 </w:t>
      </w:r>
      <w:r>
        <w:fldChar w:fldCharType="begin"/>
      </w:r>
      <w:r>
        <w:instrText xml:space="preserve"> SEQ 表 \* ARABIC </w:instrText>
      </w:r>
      <w:r>
        <w:fldChar w:fldCharType="separate"/>
      </w:r>
      <w:r>
        <w:t>79</w:t>
      </w:r>
      <w:r>
        <w:fldChar w:fldCharType="end"/>
      </w:r>
      <w:bookmarkEnd w:id="153"/>
      <w:r>
        <w:rPr>
          <w:rFonts w:hint="eastAsia"/>
        </w:rPr>
        <w:t>威胁源及其最大威胁距离、权重及衰减类型</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206"/>
        <w:gridCol w:w="3090"/>
        <w:gridCol w:w="1632"/>
        <w:gridCol w:w="2754"/>
      </w:tblGrid>
      <w:tr w14:paraId="28C63B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3132" w:type="dxa"/>
            <w:vAlign w:val="center"/>
          </w:tcPr>
          <w:p w14:paraId="05C03156">
            <w:pPr>
              <w:pStyle w:val="94"/>
              <w:rPr>
                <w:color w:val="auto"/>
              </w:rPr>
            </w:pPr>
            <w:r>
              <w:rPr>
                <w:rFonts w:hint="eastAsia"/>
                <w:color w:val="auto"/>
              </w:rPr>
              <w:t>威胁</w:t>
            </w:r>
            <w:r>
              <w:rPr>
                <w:rFonts w:hint="eastAsia"/>
                <w:color w:val="auto"/>
                <w:spacing w:val="5"/>
              </w:rPr>
              <w:t>源</w:t>
            </w:r>
          </w:p>
        </w:tc>
        <w:tc>
          <w:tcPr>
            <w:tcW w:w="3019" w:type="dxa"/>
            <w:vAlign w:val="center"/>
          </w:tcPr>
          <w:p w14:paraId="39315123">
            <w:pPr>
              <w:pStyle w:val="94"/>
              <w:rPr>
                <w:color w:val="auto"/>
              </w:rPr>
            </w:pPr>
            <w:r>
              <w:rPr>
                <w:rFonts w:hint="eastAsia"/>
                <w:color w:val="auto"/>
                <w:spacing w:val="-4"/>
              </w:rPr>
              <w:t>最大威胁</w:t>
            </w:r>
            <w:r>
              <w:rPr>
                <w:rFonts w:hint="eastAsia"/>
                <w:color w:val="auto"/>
                <w:spacing w:val="-3"/>
              </w:rPr>
              <w:t>距</w:t>
            </w:r>
            <w:r>
              <w:rPr>
                <w:rFonts w:hint="eastAsia"/>
                <w:color w:val="auto"/>
                <w:spacing w:val="-2"/>
              </w:rPr>
              <w:t>离 / km</w:t>
            </w:r>
          </w:p>
        </w:tc>
        <w:tc>
          <w:tcPr>
            <w:tcW w:w="1594" w:type="dxa"/>
            <w:vAlign w:val="center"/>
          </w:tcPr>
          <w:p w14:paraId="34027B97">
            <w:pPr>
              <w:pStyle w:val="94"/>
              <w:rPr>
                <w:color w:val="auto"/>
              </w:rPr>
            </w:pPr>
            <w:r>
              <w:rPr>
                <w:rFonts w:hint="eastAsia"/>
                <w:color w:val="auto"/>
                <w:spacing w:val="4"/>
              </w:rPr>
              <w:t>权重</w:t>
            </w:r>
          </w:p>
        </w:tc>
        <w:tc>
          <w:tcPr>
            <w:tcW w:w="2691" w:type="dxa"/>
            <w:vAlign w:val="center"/>
          </w:tcPr>
          <w:p w14:paraId="5E4C1B75">
            <w:pPr>
              <w:pStyle w:val="94"/>
              <w:rPr>
                <w:color w:val="auto"/>
              </w:rPr>
            </w:pPr>
            <w:bookmarkStart w:id="154" w:name="_Hlk162271395"/>
            <w:r>
              <w:rPr>
                <w:rFonts w:hint="eastAsia"/>
                <w:color w:val="auto"/>
                <w:spacing w:val="10"/>
              </w:rPr>
              <w:t>空</w:t>
            </w:r>
            <w:r>
              <w:rPr>
                <w:rFonts w:hint="eastAsia"/>
                <w:color w:val="auto"/>
              </w:rPr>
              <w:t>间衰减类型</w:t>
            </w:r>
            <w:bookmarkEnd w:id="154"/>
          </w:p>
        </w:tc>
      </w:tr>
      <w:tr w14:paraId="6B39FD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3132" w:type="dxa"/>
            <w:vAlign w:val="center"/>
          </w:tcPr>
          <w:p w14:paraId="57F51C68">
            <w:pPr>
              <w:pStyle w:val="94"/>
              <w:rPr>
                <w:color w:val="auto"/>
              </w:rPr>
            </w:pPr>
            <w:r>
              <w:rPr>
                <w:rFonts w:hint="eastAsia"/>
                <w:color w:val="auto"/>
                <w:spacing w:val="-6"/>
              </w:rPr>
              <w:t>工矿用地</w:t>
            </w:r>
          </w:p>
        </w:tc>
        <w:tc>
          <w:tcPr>
            <w:tcW w:w="3019" w:type="dxa"/>
            <w:vAlign w:val="center"/>
          </w:tcPr>
          <w:p w14:paraId="714F958C">
            <w:pPr>
              <w:pStyle w:val="94"/>
              <w:rPr>
                <w:color w:val="auto"/>
              </w:rPr>
            </w:pPr>
            <w:r>
              <w:rPr>
                <w:rFonts w:hint="eastAsia"/>
                <w:color w:val="auto"/>
              </w:rPr>
              <w:t>4</w:t>
            </w:r>
          </w:p>
        </w:tc>
        <w:tc>
          <w:tcPr>
            <w:tcW w:w="1594" w:type="dxa"/>
            <w:vAlign w:val="center"/>
          </w:tcPr>
          <w:p w14:paraId="15291EE9">
            <w:pPr>
              <w:pStyle w:val="94"/>
              <w:rPr>
                <w:color w:val="auto"/>
              </w:rPr>
            </w:pPr>
            <w:r>
              <w:rPr>
                <w:rFonts w:hint="eastAsia"/>
                <w:color w:val="auto"/>
                <w:spacing w:val="-5"/>
              </w:rPr>
              <w:t>0.5</w:t>
            </w:r>
          </w:p>
        </w:tc>
        <w:tc>
          <w:tcPr>
            <w:tcW w:w="2691" w:type="dxa"/>
            <w:vAlign w:val="center"/>
          </w:tcPr>
          <w:p w14:paraId="65939EA5">
            <w:pPr>
              <w:pStyle w:val="94"/>
              <w:rPr>
                <w:color w:val="auto"/>
              </w:rPr>
            </w:pPr>
            <w:r>
              <w:rPr>
                <w:rFonts w:hint="eastAsia"/>
                <w:color w:val="auto"/>
                <w:spacing w:val="3"/>
              </w:rPr>
              <w:t>指数</w:t>
            </w:r>
          </w:p>
        </w:tc>
      </w:tr>
      <w:tr w14:paraId="00B2E5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3132" w:type="dxa"/>
            <w:vAlign w:val="center"/>
          </w:tcPr>
          <w:p w14:paraId="2AB19983">
            <w:pPr>
              <w:pStyle w:val="94"/>
              <w:rPr>
                <w:color w:val="auto"/>
              </w:rPr>
            </w:pPr>
            <w:r>
              <w:rPr>
                <w:rFonts w:hint="eastAsia"/>
                <w:color w:val="auto"/>
                <w:spacing w:val="-10"/>
              </w:rPr>
              <w:t>城</w:t>
            </w:r>
            <w:r>
              <w:rPr>
                <w:rFonts w:hint="eastAsia"/>
                <w:color w:val="auto"/>
                <w:spacing w:val="-6"/>
              </w:rPr>
              <w:t>镇用地</w:t>
            </w:r>
          </w:p>
        </w:tc>
        <w:tc>
          <w:tcPr>
            <w:tcW w:w="3019" w:type="dxa"/>
            <w:vAlign w:val="center"/>
          </w:tcPr>
          <w:p w14:paraId="7A5AF00E">
            <w:pPr>
              <w:pStyle w:val="94"/>
              <w:rPr>
                <w:color w:val="auto"/>
              </w:rPr>
            </w:pPr>
            <w:r>
              <w:rPr>
                <w:rFonts w:hint="eastAsia"/>
                <w:color w:val="auto"/>
              </w:rPr>
              <w:t>5</w:t>
            </w:r>
          </w:p>
        </w:tc>
        <w:tc>
          <w:tcPr>
            <w:tcW w:w="1594" w:type="dxa"/>
            <w:vAlign w:val="center"/>
          </w:tcPr>
          <w:p w14:paraId="0DB85581">
            <w:pPr>
              <w:pStyle w:val="94"/>
              <w:rPr>
                <w:color w:val="auto"/>
              </w:rPr>
            </w:pPr>
            <w:r>
              <w:rPr>
                <w:rFonts w:hint="eastAsia"/>
                <w:color w:val="auto"/>
              </w:rPr>
              <w:t>1</w:t>
            </w:r>
          </w:p>
        </w:tc>
        <w:tc>
          <w:tcPr>
            <w:tcW w:w="2691" w:type="dxa"/>
            <w:vAlign w:val="center"/>
          </w:tcPr>
          <w:p w14:paraId="73B4F89F">
            <w:pPr>
              <w:pStyle w:val="94"/>
              <w:rPr>
                <w:color w:val="auto"/>
              </w:rPr>
            </w:pPr>
            <w:r>
              <w:rPr>
                <w:rFonts w:hint="eastAsia"/>
                <w:color w:val="auto"/>
                <w:spacing w:val="3"/>
              </w:rPr>
              <w:t>指数</w:t>
            </w:r>
          </w:p>
        </w:tc>
      </w:tr>
      <w:tr w14:paraId="0E2D59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3132" w:type="dxa"/>
            <w:vAlign w:val="center"/>
          </w:tcPr>
          <w:p w14:paraId="6A2A5F06">
            <w:pPr>
              <w:pStyle w:val="94"/>
              <w:rPr>
                <w:color w:val="auto"/>
              </w:rPr>
            </w:pPr>
            <w:r>
              <w:rPr>
                <w:rFonts w:hint="eastAsia"/>
                <w:color w:val="auto"/>
                <w:spacing w:val="-4"/>
              </w:rPr>
              <w:t>村庄</w:t>
            </w:r>
            <w:r>
              <w:rPr>
                <w:rFonts w:hint="eastAsia"/>
                <w:color w:val="auto"/>
                <w:spacing w:val="-6"/>
              </w:rPr>
              <w:t>居民点</w:t>
            </w:r>
          </w:p>
        </w:tc>
        <w:tc>
          <w:tcPr>
            <w:tcW w:w="3019" w:type="dxa"/>
            <w:vAlign w:val="center"/>
          </w:tcPr>
          <w:p w14:paraId="768C6B67">
            <w:pPr>
              <w:pStyle w:val="94"/>
              <w:rPr>
                <w:color w:val="auto"/>
              </w:rPr>
            </w:pPr>
            <w:r>
              <w:rPr>
                <w:rFonts w:hint="eastAsia"/>
                <w:color w:val="auto"/>
              </w:rPr>
              <w:t>3</w:t>
            </w:r>
          </w:p>
        </w:tc>
        <w:tc>
          <w:tcPr>
            <w:tcW w:w="1594" w:type="dxa"/>
            <w:vAlign w:val="center"/>
          </w:tcPr>
          <w:p w14:paraId="04014E40">
            <w:pPr>
              <w:pStyle w:val="94"/>
              <w:rPr>
                <w:color w:val="auto"/>
              </w:rPr>
            </w:pPr>
            <w:r>
              <w:rPr>
                <w:rFonts w:hint="eastAsia"/>
                <w:color w:val="auto"/>
              </w:rPr>
              <w:t>1</w:t>
            </w:r>
          </w:p>
        </w:tc>
        <w:tc>
          <w:tcPr>
            <w:tcW w:w="2691" w:type="dxa"/>
            <w:vAlign w:val="center"/>
          </w:tcPr>
          <w:p w14:paraId="41239C3B">
            <w:pPr>
              <w:pStyle w:val="94"/>
              <w:rPr>
                <w:color w:val="auto"/>
              </w:rPr>
            </w:pPr>
            <w:r>
              <w:rPr>
                <w:rFonts w:hint="eastAsia"/>
                <w:color w:val="auto"/>
                <w:spacing w:val="3"/>
              </w:rPr>
              <w:t>指数</w:t>
            </w:r>
          </w:p>
        </w:tc>
      </w:tr>
      <w:tr w14:paraId="5AA9D1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3132" w:type="dxa"/>
            <w:vAlign w:val="center"/>
          </w:tcPr>
          <w:p w14:paraId="7CBC3F78">
            <w:pPr>
              <w:pStyle w:val="94"/>
              <w:rPr>
                <w:color w:val="auto"/>
              </w:rPr>
            </w:pPr>
            <w:r>
              <w:rPr>
                <w:rFonts w:hint="eastAsia"/>
                <w:color w:val="auto"/>
                <w:spacing w:val="-5"/>
              </w:rPr>
              <w:t>公路</w:t>
            </w:r>
          </w:p>
        </w:tc>
        <w:tc>
          <w:tcPr>
            <w:tcW w:w="3019" w:type="dxa"/>
            <w:vAlign w:val="center"/>
          </w:tcPr>
          <w:p w14:paraId="5CDBE311">
            <w:pPr>
              <w:pStyle w:val="94"/>
              <w:rPr>
                <w:color w:val="auto"/>
              </w:rPr>
            </w:pPr>
            <w:r>
              <w:rPr>
                <w:rFonts w:hint="eastAsia"/>
                <w:color w:val="auto"/>
              </w:rPr>
              <w:t>3</w:t>
            </w:r>
          </w:p>
        </w:tc>
        <w:tc>
          <w:tcPr>
            <w:tcW w:w="1594" w:type="dxa"/>
            <w:vAlign w:val="center"/>
          </w:tcPr>
          <w:p w14:paraId="7AA2E268">
            <w:pPr>
              <w:pStyle w:val="94"/>
              <w:rPr>
                <w:color w:val="auto"/>
              </w:rPr>
            </w:pPr>
            <w:r>
              <w:rPr>
                <w:rFonts w:hint="eastAsia"/>
                <w:color w:val="auto"/>
                <w:spacing w:val="-5"/>
              </w:rPr>
              <w:t>0.6</w:t>
            </w:r>
          </w:p>
        </w:tc>
        <w:tc>
          <w:tcPr>
            <w:tcW w:w="2691" w:type="dxa"/>
            <w:vAlign w:val="center"/>
          </w:tcPr>
          <w:p w14:paraId="55D4AAD0">
            <w:pPr>
              <w:pStyle w:val="94"/>
              <w:rPr>
                <w:color w:val="auto"/>
              </w:rPr>
            </w:pPr>
            <w:r>
              <w:rPr>
                <w:rFonts w:hint="eastAsia"/>
                <w:color w:val="auto"/>
                <w:spacing w:val="3"/>
              </w:rPr>
              <w:t>线性</w:t>
            </w:r>
          </w:p>
        </w:tc>
      </w:tr>
    </w:tbl>
    <w:p w14:paraId="3FCEFB05">
      <w:pPr>
        <w:pStyle w:val="96"/>
        <w:ind w:firstLine="480"/>
      </w:pPr>
      <w:bookmarkStart w:id="155" w:name="_Ref162259261"/>
      <w:r>
        <w:rPr>
          <w:rFonts w:hint="eastAsia"/>
        </w:rPr>
        <w:t>（5）生境适宜性和敏感度数据</w:t>
      </w:r>
    </w:p>
    <w:p w14:paraId="0280C151">
      <w:pPr>
        <w:pStyle w:val="96"/>
        <w:ind w:firstLine="480"/>
      </w:pPr>
      <w:r>
        <w:rPr>
          <w:rFonts w:hint="eastAsia"/>
        </w:rPr>
        <w:t>每种土地利用类型的生境质量是由其自身生境适宜度和对各威胁因子的敏感性综合决定的。生境适宜度为每种土地利用类型的生境得分，一般而言，越接近自然的系统生境适宜度越大，相对复杂的系统拥有相对较大的适宜性，纯人工环境不具备生境适宜性；</w:t>
      </w:r>
      <w:r>
        <w:t>敏感度是指各土地利用类型对威胁因子的相对敏感性，敏感度越高，受威胁源影响的退化程度越大，自然环境对于外来威胁因子的敏感度最大，其次是半人工环境，而人工环境对外界生态威胁因子影响的敏感度相对较小或根本不受影响。基于上述原则，结合InVEST模型推荐数值</w:t>
      </w:r>
      <w:r>
        <w:rPr>
          <w:rFonts w:hint="eastAsia"/>
        </w:rPr>
        <w:t>，</w:t>
      </w:r>
      <w:r>
        <w:t>综</w:t>
      </w:r>
      <w:r>
        <w:rPr>
          <w:rFonts w:hint="eastAsia"/>
        </w:rPr>
        <w:t>合前人研究结果</w:t>
      </w:r>
      <w:r>
        <w:t>并考量研究区实际情况，确定各土地利用类型的生境适宜度及其对各威胁因子的敏感度表</w:t>
      </w:r>
      <w:r>
        <w:rPr>
          <w:rFonts w:hint="eastAsia"/>
        </w:rPr>
        <w:t>。</w:t>
      </w:r>
    </w:p>
    <w:p w14:paraId="2084F361">
      <w:pPr>
        <w:pStyle w:val="19"/>
        <w:keepNext/>
        <w:ind w:firstLine="480"/>
      </w:pPr>
      <w:r>
        <w:t xml:space="preserve">表 </w:t>
      </w:r>
      <w:r>
        <w:fldChar w:fldCharType="begin"/>
      </w:r>
      <w:r>
        <w:instrText xml:space="preserve"> SEQ 表 \* ARABIC </w:instrText>
      </w:r>
      <w:r>
        <w:fldChar w:fldCharType="separate"/>
      </w:r>
      <w:r>
        <w:t>80</w:t>
      </w:r>
      <w:r>
        <w:fldChar w:fldCharType="end"/>
      </w:r>
      <w:bookmarkEnd w:id="155"/>
      <w:r>
        <w:rPr>
          <w:rFonts w:hint="eastAsia"/>
        </w:rPr>
        <w:t>生境适宜度及其对不同威胁源的相对敏感程度</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506"/>
        <w:gridCol w:w="2034"/>
        <w:gridCol w:w="1079"/>
        <w:gridCol w:w="1698"/>
        <w:gridCol w:w="1109"/>
        <w:gridCol w:w="1256"/>
      </w:tblGrid>
      <w:tr w14:paraId="43D0FA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98" w:hRule="atLeast"/>
        </w:trPr>
        <w:tc>
          <w:tcPr>
            <w:tcW w:w="1641" w:type="pct"/>
            <w:vAlign w:val="center"/>
          </w:tcPr>
          <w:p w14:paraId="27799780">
            <w:pPr>
              <w:pStyle w:val="94"/>
              <w:rPr>
                <w:color w:val="auto"/>
              </w:rPr>
            </w:pPr>
            <w:r>
              <w:rPr>
                <w:rFonts w:hint="eastAsia"/>
                <w:color w:val="auto"/>
                <w:spacing w:val="7"/>
              </w:rPr>
              <w:t>生</w:t>
            </w:r>
            <w:r>
              <w:rPr>
                <w:rFonts w:hint="eastAsia"/>
                <w:color w:val="auto"/>
              </w:rPr>
              <w:t>境类型</w:t>
            </w:r>
          </w:p>
        </w:tc>
        <w:tc>
          <w:tcPr>
            <w:tcW w:w="952" w:type="pct"/>
            <w:vAlign w:val="center"/>
          </w:tcPr>
          <w:p w14:paraId="7EB5CA02">
            <w:pPr>
              <w:pStyle w:val="94"/>
              <w:rPr>
                <w:color w:val="auto"/>
              </w:rPr>
            </w:pPr>
            <w:r>
              <w:rPr>
                <w:rFonts w:hint="eastAsia"/>
                <w:color w:val="auto"/>
                <w:spacing w:val="7"/>
              </w:rPr>
              <w:t>生境适宜</w:t>
            </w:r>
            <w:r>
              <w:rPr>
                <w:rFonts w:hint="eastAsia"/>
                <w:color w:val="auto"/>
              </w:rPr>
              <w:t>度</w:t>
            </w:r>
          </w:p>
        </w:tc>
        <w:tc>
          <w:tcPr>
            <w:tcW w:w="505" w:type="pct"/>
            <w:vAlign w:val="center"/>
          </w:tcPr>
          <w:p w14:paraId="1F13BDFE">
            <w:pPr>
              <w:pStyle w:val="94"/>
              <w:rPr>
                <w:color w:val="auto"/>
              </w:rPr>
            </w:pPr>
            <w:r>
              <w:rPr>
                <w:rFonts w:hint="eastAsia"/>
                <w:color w:val="auto"/>
                <w:spacing w:val="4"/>
              </w:rPr>
              <w:t>村</w:t>
            </w:r>
            <w:r>
              <w:rPr>
                <w:rFonts w:hint="eastAsia"/>
                <w:color w:val="auto"/>
                <w:spacing w:val="3"/>
              </w:rPr>
              <w:t>庄</w:t>
            </w:r>
          </w:p>
        </w:tc>
        <w:tc>
          <w:tcPr>
            <w:tcW w:w="795" w:type="pct"/>
            <w:vAlign w:val="center"/>
          </w:tcPr>
          <w:p w14:paraId="536C7823">
            <w:pPr>
              <w:pStyle w:val="94"/>
              <w:rPr>
                <w:color w:val="auto"/>
              </w:rPr>
            </w:pPr>
            <w:r>
              <w:rPr>
                <w:rFonts w:hint="eastAsia"/>
                <w:color w:val="auto"/>
              </w:rPr>
              <w:t>工矿用地</w:t>
            </w:r>
          </w:p>
        </w:tc>
        <w:tc>
          <w:tcPr>
            <w:tcW w:w="519" w:type="pct"/>
            <w:vAlign w:val="center"/>
          </w:tcPr>
          <w:p w14:paraId="0349BFC5">
            <w:pPr>
              <w:pStyle w:val="94"/>
              <w:rPr>
                <w:color w:val="auto"/>
              </w:rPr>
            </w:pPr>
            <w:r>
              <w:rPr>
                <w:rFonts w:hint="eastAsia"/>
                <w:color w:val="auto"/>
                <w:spacing w:val="4"/>
              </w:rPr>
              <w:t>城镇</w:t>
            </w:r>
          </w:p>
        </w:tc>
        <w:tc>
          <w:tcPr>
            <w:tcW w:w="588" w:type="pct"/>
            <w:vAlign w:val="center"/>
          </w:tcPr>
          <w:p w14:paraId="3F4E8F01">
            <w:pPr>
              <w:pStyle w:val="94"/>
              <w:rPr>
                <w:color w:val="auto"/>
              </w:rPr>
            </w:pPr>
            <w:r>
              <w:rPr>
                <w:rFonts w:hint="eastAsia"/>
                <w:color w:val="auto"/>
                <w:spacing w:val="2"/>
              </w:rPr>
              <w:t>公</w:t>
            </w:r>
            <w:r>
              <w:rPr>
                <w:rFonts w:hint="eastAsia"/>
                <w:color w:val="auto"/>
                <w:spacing w:val="1"/>
              </w:rPr>
              <w:t>路</w:t>
            </w:r>
          </w:p>
        </w:tc>
      </w:tr>
      <w:tr w14:paraId="31B56D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1641" w:type="pct"/>
            <w:vAlign w:val="center"/>
          </w:tcPr>
          <w:p w14:paraId="431A4E8A">
            <w:pPr>
              <w:pStyle w:val="94"/>
              <w:rPr>
                <w:color w:val="auto"/>
              </w:rPr>
            </w:pPr>
            <w:r>
              <w:rPr>
                <w:rFonts w:hint="eastAsia"/>
                <w:color w:val="auto"/>
                <w:spacing w:val="-10"/>
              </w:rPr>
              <w:t>乔木林</w:t>
            </w:r>
            <w:r>
              <w:rPr>
                <w:rFonts w:hint="eastAsia"/>
                <w:color w:val="auto"/>
                <w:spacing w:val="-6"/>
              </w:rPr>
              <w:t>地</w:t>
            </w:r>
          </w:p>
        </w:tc>
        <w:tc>
          <w:tcPr>
            <w:tcW w:w="952" w:type="pct"/>
            <w:vAlign w:val="center"/>
          </w:tcPr>
          <w:p w14:paraId="6343D4D4">
            <w:pPr>
              <w:pStyle w:val="94"/>
              <w:rPr>
                <w:color w:val="auto"/>
              </w:rPr>
            </w:pPr>
            <w:r>
              <w:rPr>
                <w:rFonts w:hint="eastAsia"/>
                <w:color w:val="auto"/>
              </w:rPr>
              <w:t>1</w:t>
            </w:r>
          </w:p>
        </w:tc>
        <w:tc>
          <w:tcPr>
            <w:tcW w:w="505" w:type="pct"/>
            <w:vAlign w:val="center"/>
          </w:tcPr>
          <w:p w14:paraId="3C48BAE8">
            <w:pPr>
              <w:pStyle w:val="94"/>
              <w:rPr>
                <w:color w:val="auto"/>
              </w:rPr>
            </w:pPr>
            <w:r>
              <w:rPr>
                <w:rFonts w:hint="eastAsia"/>
                <w:color w:val="auto"/>
                <w:spacing w:val="-5"/>
              </w:rPr>
              <w:t>0.8</w:t>
            </w:r>
          </w:p>
        </w:tc>
        <w:tc>
          <w:tcPr>
            <w:tcW w:w="795" w:type="pct"/>
            <w:vAlign w:val="center"/>
          </w:tcPr>
          <w:p w14:paraId="4D3733B7">
            <w:pPr>
              <w:pStyle w:val="94"/>
              <w:rPr>
                <w:color w:val="auto"/>
              </w:rPr>
            </w:pPr>
            <w:r>
              <w:rPr>
                <w:rFonts w:hint="eastAsia"/>
                <w:color w:val="auto"/>
                <w:spacing w:val="-5"/>
              </w:rPr>
              <w:t>0.8</w:t>
            </w:r>
          </w:p>
        </w:tc>
        <w:tc>
          <w:tcPr>
            <w:tcW w:w="519" w:type="pct"/>
            <w:vAlign w:val="center"/>
          </w:tcPr>
          <w:p w14:paraId="59C7E0BA">
            <w:pPr>
              <w:pStyle w:val="94"/>
              <w:rPr>
                <w:color w:val="auto"/>
              </w:rPr>
            </w:pPr>
            <w:r>
              <w:rPr>
                <w:rFonts w:hint="eastAsia"/>
                <w:color w:val="auto"/>
                <w:spacing w:val="-5"/>
              </w:rPr>
              <w:t>0.7</w:t>
            </w:r>
          </w:p>
        </w:tc>
        <w:tc>
          <w:tcPr>
            <w:tcW w:w="588" w:type="pct"/>
            <w:vAlign w:val="center"/>
          </w:tcPr>
          <w:p w14:paraId="640512F7">
            <w:pPr>
              <w:pStyle w:val="94"/>
              <w:rPr>
                <w:color w:val="auto"/>
              </w:rPr>
            </w:pPr>
            <w:r>
              <w:rPr>
                <w:rFonts w:hint="eastAsia"/>
                <w:color w:val="auto"/>
                <w:spacing w:val="-5"/>
              </w:rPr>
              <w:t>0.6</w:t>
            </w:r>
          </w:p>
        </w:tc>
      </w:tr>
      <w:tr w14:paraId="7FFC24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8" w:hRule="atLeast"/>
        </w:trPr>
        <w:tc>
          <w:tcPr>
            <w:tcW w:w="1641" w:type="pct"/>
            <w:vAlign w:val="center"/>
          </w:tcPr>
          <w:p w14:paraId="184772B9">
            <w:pPr>
              <w:pStyle w:val="94"/>
              <w:rPr>
                <w:color w:val="auto"/>
              </w:rPr>
            </w:pPr>
            <w:r>
              <w:rPr>
                <w:rFonts w:hint="eastAsia"/>
                <w:color w:val="auto"/>
                <w:spacing w:val="-6"/>
              </w:rPr>
              <w:t>灌木林</w:t>
            </w:r>
            <w:r>
              <w:rPr>
                <w:rFonts w:hint="eastAsia"/>
                <w:color w:val="auto"/>
                <w:spacing w:val="-5"/>
              </w:rPr>
              <w:t>地</w:t>
            </w:r>
          </w:p>
        </w:tc>
        <w:tc>
          <w:tcPr>
            <w:tcW w:w="952" w:type="pct"/>
            <w:vAlign w:val="center"/>
          </w:tcPr>
          <w:p w14:paraId="0808D137">
            <w:pPr>
              <w:pStyle w:val="94"/>
              <w:rPr>
                <w:color w:val="auto"/>
              </w:rPr>
            </w:pPr>
            <w:r>
              <w:rPr>
                <w:rFonts w:hint="eastAsia"/>
                <w:color w:val="auto"/>
                <w:spacing w:val="-5"/>
              </w:rPr>
              <w:t>0.7</w:t>
            </w:r>
          </w:p>
        </w:tc>
        <w:tc>
          <w:tcPr>
            <w:tcW w:w="505" w:type="pct"/>
            <w:vAlign w:val="center"/>
          </w:tcPr>
          <w:p w14:paraId="554EF2B0">
            <w:pPr>
              <w:pStyle w:val="94"/>
              <w:rPr>
                <w:color w:val="auto"/>
              </w:rPr>
            </w:pPr>
            <w:r>
              <w:rPr>
                <w:rFonts w:hint="eastAsia"/>
                <w:color w:val="auto"/>
                <w:spacing w:val="-5"/>
              </w:rPr>
              <w:t>0.7</w:t>
            </w:r>
          </w:p>
        </w:tc>
        <w:tc>
          <w:tcPr>
            <w:tcW w:w="795" w:type="pct"/>
            <w:vAlign w:val="center"/>
          </w:tcPr>
          <w:p w14:paraId="50C11D42">
            <w:pPr>
              <w:pStyle w:val="94"/>
              <w:rPr>
                <w:color w:val="auto"/>
              </w:rPr>
            </w:pPr>
            <w:r>
              <w:rPr>
                <w:rFonts w:hint="eastAsia"/>
                <w:color w:val="auto"/>
                <w:spacing w:val="-5"/>
              </w:rPr>
              <w:t>0.8</w:t>
            </w:r>
          </w:p>
        </w:tc>
        <w:tc>
          <w:tcPr>
            <w:tcW w:w="519" w:type="pct"/>
            <w:vAlign w:val="center"/>
          </w:tcPr>
          <w:p w14:paraId="1B8C4638">
            <w:pPr>
              <w:pStyle w:val="94"/>
              <w:rPr>
                <w:color w:val="auto"/>
              </w:rPr>
            </w:pPr>
            <w:r>
              <w:rPr>
                <w:rFonts w:hint="eastAsia"/>
                <w:color w:val="auto"/>
                <w:spacing w:val="-5"/>
              </w:rPr>
              <w:t>0.8</w:t>
            </w:r>
          </w:p>
        </w:tc>
        <w:tc>
          <w:tcPr>
            <w:tcW w:w="588" w:type="pct"/>
            <w:vAlign w:val="center"/>
          </w:tcPr>
          <w:p w14:paraId="6F6E92A1">
            <w:pPr>
              <w:pStyle w:val="94"/>
              <w:rPr>
                <w:color w:val="auto"/>
              </w:rPr>
            </w:pPr>
            <w:r>
              <w:rPr>
                <w:rFonts w:hint="eastAsia"/>
                <w:color w:val="auto"/>
                <w:spacing w:val="-5"/>
              </w:rPr>
              <w:t>0.5</w:t>
            </w:r>
          </w:p>
        </w:tc>
      </w:tr>
      <w:tr w14:paraId="4100A0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8" w:hRule="atLeast"/>
        </w:trPr>
        <w:tc>
          <w:tcPr>
            <w:tcW w:w="1641" w:type="pct"/>
            <w:vAlign w:val="center"/>
          </w:tcPr>
          <w:p w14:paraId="071E6424">
            <w:pPr>
              <w:pStyle w:val="94"/>
              <w:rPr>
                <w:color w:val="auto"/>
              </w:rPr>
            </w:pPr>
            <w:r>
              <w:rPr>
                <w:rFonts w:hint="eastAsia"/>
                <w:color w:val="auto"/>
                <w:spacing w:val="-10"/>
              </w:rPr>
              <w:t>其</w:t>
            </w:r>
            <w:r>
              <w:rPr>
                <w:rFonts w:hint="eastAsia"/>
                <w:color w:val="auto"/>
                <w:spacing w:val="-6"/>
              </w:rPr>
              <w:t>他林地</w:t>
            </w:r>
          </w:p>
        </w:tc>
        <w:tc>
          <w:tcPr>
            <w:tcW w:w="952" w:type="pct"/>
            <w:vAlign w:val="center"/>
          </w:tcPr>
          <w:p w14:paraId="33F45B52">
            <w:pPr>
              <w:pStyle w:val="94"/>
              <w:rPr>
                <w:color w:val="auto"/>
              </w:rPr>
            </w:pPr>
            <w:r>
              <w:rPr>
                <w:rFonts w:hint="eastAsia"/>
                <w:color w:val="auto"/>
                <w:spacing w:val="-5"/>
              </w:rPr>
              <w:t>0.6</w:t>
            </w:r>
          </w:p>
        </w:tc>
        <w:tc>
          <w:tcPr>
            <w:tcW w:w="505" w:type="pct"/>
            <w:vAlign w:val="center"/>
          </w:tcPr>
          <w:p w14:paraId="40603301">
            <w:pPr>
              <w:pStyle w:val="94"/>
              <w:rPr>
                <w:color w:val="auto"/>
              </w:rPr>
            </w:pPr>
            <w:r>
              <w:rPr>
                <w:rFonts w:hint="eastAsia"/>
                <w:color w:val="auto"/>
                <w:spacing w:val="-5"/>
              </w:rPr>
              <w:t>0.6</w:t>
            </w:r>
          </w:p>
        </w:tc>
        <w:tc>
          <w:tcPr>
            <w:tcW w:w="795" w:type="pct"/>
            <w:vAlign w:val="center"/>
          </w:tcPr>
          <w:p w14:paraId="45917B83">
            <w:pPr>
              <w:pStyle w:val="94"/>
              <w:rPr>
                <w:color w:val="auto"/>
              </w:rPr>
            </w:pPr>
            <w:r>
              <w:rPr>
                <w:rFonts w:hint="eastAsia"/>
                <w:color w:val="auto"/>
                <w:spacing w:val="-5"/>
              </w:rPr>
              <w:t>0.5</w:t>
            </w:r>
          </w:p>
        </w:tc>
        <w:tc>
          <w:tcPr>
            <w:tcW w:w="519" w:type="pct"/>
            <w:vAlign w:val="center"/>
          </w:tcPr>
          <w:p w14:paraId="793C3BBC">
            <w:pPr>
              <w:pStyle w:val="94"/>
              <w:rPr>
                <w:color w:val="auto"/>
              </w:rPr>
            </w:pPr>
            <w:r>
              <w:rPr>
                <w:rFonts w:hint="eastAsia"/>
                <w:color w:val="auto"/>
                <w:spacing w:val="-5"/>
              </w:rPr>
              <w:t>0.7</w:t>
            </w:r>
          </w:p>
        </w:tc>
        <w:tc>
          <w:tcPr>
            <w:tcW w:w="588" w:type="pct"/>
            <w:vAlign w:val="center"/>
          </w:tcPr>
          <w:p w14:paraId="16CC91C3">
            <w:pPr>
              <w:pStyle w:val="94"/>
              <w:rPr>
                <w:color w:val="auto"/>
              </w:rPr>
            </w:pPr>
            <w:r>
              <w:rPr>
                <w:rFonts w:hint="eastAsia"/>
                <w:color w:val="auto"/>
                <w:spacing w:val="-5"/>
              </w:rPr>
              <w:t>0.8</w:t>
            </w:r>
          </w:p>
        </w:tc>
      </w:tr>
      <w:tr w14:paraId="634F8B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8" w:hRule="atLeast"/>
        </w:trPr>
        <w:tc>
          <w:tcPr>
            <w:tcW w:w="1641" w:type="pct"/>
            <w:vAlign w:val="center"/>
          </w:tcPr>
          <w:p w14:paraId="50093E75">
            <w:pPr>
              <w:pStyle w:val="94"/>
              <w:rPr>
                <w:color w:val="auto"/>
              </w:rPr>
            </w:pPr>
            <w:r>
              <w:rPr>
                <w:rFonts w:hint="eastAsia"/>
                <w:color w:val="auto"/>
                <w:spacing w:val="-7"/>
              </w:rPr>
              <w:t>其</w:t>
            </w:r>
            <w:r>
              <w:rPr>
                <w:rFonts w:hint="eastAsia"/>
                <w:color w:val="auto"/>
                <w:spacing w:val="-6"/>
              </w:rPr>
              <w:t>他草地</w:t>
            </w:r>
          </w:p>
        </w:tc>
        <w:tc>
          <w:tcPr>
            <w:tcW w:w="952" w:type="pct"/>
            <w:vAlign w:val="center"/>
          </w:tcPr>
          <w:p w14:paraId="0DADF4A2">
            <w:pPr>
              <w:pStyle w:val="94"/>
              <w:rPr>
                <w:color w:val="auto"/>
              </w:rPr>
            </w:pPr>
            <w:r>
              <w:rPr>
                <w:rFonts w:hint="eastAsia"/>
                <w:color w:val="auto"/>
                <w:spacing w:val="-5"/>
              </w:rPr>
              <w:t>0.4</w:t>
            </w:r>
          </w:p>
        </w:tc>
        <w:tc>
          <w:tcPr>
            <w:tcW w:w="505" w:type="pct"/>
            <w:vAlign w:val="center"/>
          </w:tcPr>
          <w:p w14:paraId="658EB46E">
            <w:pPr>
              <w:pStyle w:val="94"/>
              <w:rPr>
                <w:color w:val="auto"/>
              </w:rPr>
            </w:pPr>
            <w:r>
              <w:rPr>
                <w:rFonts w:hint="eastAsia"/>
                <w:color w:val="auto"/>
                <w:spacing w:val="-5"/>
              </w:rPr>
              <w:t>0.7</w:t>
            </w:r>
          </w:p>
        </w:tc>
        <w:tc>
          <w:tcPr>
            <w:tcW w:w="795" w:type="pct"/>
            <w:vAlign w:val="center"/>
          </w:tcPr>
          <w:p w14:paraId="2EACC80A">
            <w:pPr>
              <w:pStyle w:val="94"/>
              <w:rPr>
                <w:color w:val="auto"/>
              </w:rPr>
            </w:pPr>
            <w:r>
              <w:rPr>
                <w:rFonts w:hint="eastAsia"/>
                <w:color w:val="auto"/>
                <w:spacing w:val="-5"/>
              </w:rPr>
              <w:t>0.6</w:t>
            </w:r>
          </w:p>
        </w:tc>
        <w:tc>
          <w:tcPr>
            <w:tcW w:w="519" w:type="pct"/>
            <w:vAlign w:val="center"/>
          </w:tcPr>
          <w:p w14:paraId="3582E693">
            <w:pPr>
              <w:pStyle w:val="94"/>
              <w:rPr>
                <w:color w:val="auto"/>
              </w:rPr>
            </w:pPr>
            <w:r>
              <w:rPr>
                <w:rFonts w:hint="eastAsia"/>
                <w:color w:val="auto"/>
                <w:spacing w:val="-5"/>
              </w:rPr>
              <w:t>0.7</w:t>
            </w:r>
          </w:p>
        </w:tc>
        <w:tc>
          <w:tcPr>
            <w:tcW w:w="588" w:type="pct"/>
            <w:vAlign w:val="center"/>
          </w:tcPr>
          <w:p w14:paraId="79D45F0E">
            <w:pPr>
              <w:pStyle w:val="94"/>
              <w:rPr>
                <w:color w:val="auto"/>
              </w:rPr>
            </w:pPr>
            <w:r>
              <w:rPr>
                <w:rFonts w:hint="eastAsia"/>
                <w:color w:val="auto"/>
                <w:spacing w:val="-5"/>
              </w:rPr>
              <w:t>0.4</w:t>
            </w:r>
          </w:p>
        </w:tc>
      </w:tr>
      <w:tr w14:paraId="716A65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trPr>
        <w:tc>
          <w:tcPr>
            <w:tcW w:w="1641" w:type="pct"/>
            <w:vAlign w:val="center"/>
          </w:tcPr>
          <w:p w14:paraId="7D995251">
            <w:pPr>
              <w:pStyle w:val="94"/>
              <w:rPr>
                <w:color w:val="auto"/>
              </w:rPr>
            </w:pPr>
            <w:r>
              <w:rPr>
                <w:rFonts w:hint="eastAsia"/>
                <w:color w:val="auto"/>
                <w:spacing w:val="1"/>
              </w:rPr>
              <w:t>河</w:t>
            </w:r>
            <w:r>
              <w:rPr>
                <w:rFonts w:hint="eastAsia"/>
                <w:color w:val="auto"/>
              </w:rPr>
              <w:t>流</w:t>
            </w:r>
          </w:p>
        </w:tc>
        <w:tc>
          <w:tcPr>
            <w:tcW w:w="952" w:type="pct"/>
            <w:vAlign w:val="center"/>
          </w:tcPr>
          <w:p w14:paraId="7DF7EBC0">
            <w:pPr>
              <w:pStyle w:val="94"/>
              <w:rPr>
                <w:color w:val="auto"/>
              </w:rPr>
            </w:pPr>
            <w:r>
              <w:rPr>
                <w:rFonts w:hint="eastAsia"/>
                <w:color w:val="auto"/>
                <w:spacing w:val="-5"/>
              </w:rPr>
              <w:t>0.8</w:t>
            </w:r>
          </w:p>
        </w:tc>
        <w:tc>
          <w:tcPr>
            <w:tcW w:w="505" w:type="pct"/>
            <w:vAlign w:val="center"/>
          </w:tcPr>
          <w:p w14:paraId="2B1C2E8B">
            <w:pPr>
              <w:pStyle w:val="94"/>
              <w:rPr>
                <w:color w:val="auto"/>
              </w:rPr>
            </w:pPr>
            <w:r>
              <w:rPr>
                <w:rFonts w:hint="eastAsia"/>
                <w:color w:val="auto"/>
                <w:spacing w:val="-5"/>
              </w:rPr>
              <w:t>0.6</w:t>
            </w:r>
          </w:p>
        </w:tc>
        <w:tc>
          <w:tcPr>
            <w:tcW w:w="795" w:type="pct"/>
            <w:vAlign w:val="center"/>
          </w:tcPr>
          <w:p w14:paraId="733265D5">
            <w:pPr>
              <w:pStyle w:val="94"/>
              <w:rPr>
                <w:color w:val="auto"/>
              </w:rPr>
            </w:pPr>
            <w:r>
              <w:rPr>
                <w:rFonts w:hint="eastAsia"/>
                <w:color w:val="auto"/>
                <w:spacing w:val="-5"/>
              </w:rPr>
              <w:t>0.8</w:t>
            </w:r>
          </w:p>
        </w:tc>
        <w:tc>
          <w:tcPr>
            <w:tcW w:w="519" w:type="pct"/>
            <w:vAlign w:val="center"/>
          </w:tcPr>
          <w:p w14:paraId="6F798653">
            <w:pPr>
              <w:pStyle w:val="94"/>
              <w:rPr>
                <w:color w:val="auto"/>
              </w:rPr>
            </w:pPr>
            <w:r>
              <w:rPr>
                <w:rFonts w:hint="eastAsia"/>
                <w:color w:val="auto"/>
                <w:spacing w:val="-5"/>
              </w:rPr>
              <w:t>0.8</w:t>
            </w:r>
          </w:p>
        </w:tc>
        <w:tc>
          <w:tcPr>
            <w:tcW w:w="588" w:type="pct"/>
            <w:vAlign w:val="center"/>
          </w:tcPr>
          <w:p w14:paraId="2423185D">
            <w:pPr>
              <w:pStyle w:val="94"/>
              <w:rPr>
                <w:color w:val="auto"/>
              </w:rPr>
            </w:pPr>
            <w:r>
              <w:rPr>
                <w:rFonts w:hint="eastAsia"/>
                <w:color w:val="auto"/>
                <w:spacing w:val="-5"/>
              </w:rPr>
              <w:t>0.6</w:t>
            </w:r>
          </w:p>
        </w:tc>
      </w:tr>
      <w:tr w14:paraId="1B3506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2" w:hRule="atLeast"/>
        </w:trPr>
        <w:tc>
          <w:tcPr>
            <w:tcW w:w="1641" w:type="pct"/>
            <w:vAlign w:val="center"/>
          </w:tcPr>
          <w:p w14:paraId="19B759F1">
            <w:pPr>
              <w:pStyle w:val="94"/>
              <w:rPr>
                <w:color w:val="auto"/>
              </w:rPr>
            </w:pPr>
            <w:r>
              <w:rPr>
                <w:rFonts w:hint="eastAsia"/>
                <w:color w:val="auto"/>
                <w:spacing w:val="-12"/>
              </w:rPr>
              <w:t>水库</w:t>
            </w:r>
            <w:r>
              <w:rPr>
                <w:rFonts w:hint="eastAsia"/>
                <w:color w:val="auto"/>
                <w:spacing w:val="-8"/>
              </w:rPr>
              <w:t>坑</w:t>
            </w:r>
            <w:r>
              <w:rPr>
                <w:rFonts w:hint="eastAsia"/>
                <w:color w:val="auto"/>
                <w:spacing w:val="-6"/>
              </w:rPr>
              <w:t>塘</w:t>
            </w:r>
          </w:p>
        </w:tc>
        <w:tc>
          <w:tcPr>
            <w:tcW w:w="952" w:type="pct"/>
            <w:vAlign w:val="center"/>
          </w:tcPr>
          <w:p w14:paraId="2A024533">
            <w:pPr>
              <w:pStyle w:val="94"/>
              <w:rPr>
                <w:color w:val="auto"/>
              </w:rPr>
            </w:pPr>
            <w:r>
              <w:rPr>
                <w:rFonts w:hint="eastAsia"/>
                <w:color w:val="auto"/>
                <w:spacing w:val="-5"/>
              </w:rPr>
              <w:t>0.7</w:t>
            </w:r>
          </w:p>
        </w:tc>
        <w:tc>
          <w:tcPr>
            <w:tcW w:w="505" w:type="pct"/>
            <w:vAlign w:val="center"/>
          </w:tcPr>
          <w:p w14:paraId="3425766B">
            <w:pPr>
              <w:pStyle w:val="94"/>
              <w:rPr>
                <w:color w:val="auto"/>
              </w:rPr>
            </w:pPr>
            <w:r>
              <w:rPr>
                <w:rFonts w:hint="eastAsia"/>
                <w:color w:val="auto"/>
                <w:spacing w:val="-5"/>
              </w:rPr>
              <w:t>0.5</w:t>
            </w:r>
          </w:p>
        </w:tc>
        <w:tc>
          <w:tcPr>
            <w:tcW w:w="795" w:type="pct"/>
            <w:vAlign w:val="center"/>
          </w:tcPr>
          <w:p w14:paraId="1C3CA5E3">
            <w:pPr>
              <w:pStyle w:val="94"/>
              <w:rPr>
                <w:color w:val="auto"/>
              </w:rPr>
            </w:pPr>
            <w:r>
              <w:rPr>
                <w:rFonts w:hint="eastAsia"/>
                <w:color w:val="auto"/>
                <w:spacing w:val="-5"/>
              </w:rPr>
              <w:t>0.7</w:t>
            </w:r>
          </w:p>
        </w:tc>
        <w:tc>
          <w:tcPr>
            <w:tcW w:w="519" w:type="pct"/>
            <w:vAlign w:val="center"/>
          </w:tcPr>
          <w:p w14:paraId="5DB4C616">
            <w:pPr>
              <w:pStyle w:val="94"/>
              <w:rPr>
                <w:color w:val="auto"/>
              </w:rPr>
            </w:pPr>
            <w:r>
              <w:rPr>
                <w:rFonts w:hint="eastAsia"/>
                <w:color w:val="auto"/>
                <w:spacing w:val="-5"/>
              </w:rPr>
              <w:t>0.8</w:t>
            </w:r>
          </w:p>
        </w:tc>
        <w:tc>
          <w:tcPr>
            <w:tcW w:w="588" w:type="pct"/>
            <w:vAlign w:val="center"/>
          </w:tcPr>
          <w:p w14:paraId="7B2024E9">
            <w:pPr>
              <w:pStyle w:val="94"/>
              <w:rPr>
                <w:color w:val="auto"/>
              </w:rPr>
            </w:pPr>
            <w:r>
              <w:rPr>
                <w:rFonts w:hint="eastAsia"/>
                <w:color w:val="auto"/>
                <w:spacing w:val="-5"/>
              </w:rPr>
              <w:t>0.5</w:t>
            </w:r>
          </w:p>
        </w:tc>
      </w:tr>
      <w:tr w14:paraId="46E8FF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5" w:hRule="atLeast"/>
        </w:trPr>
        <w:tc>
          <w:tcPr>
            <w:tcW w:w="1641" w:type="pct"/>
            <w:vAlign w:val="center"/>
          </w:tcPr>
          <w:p w14:paraId="5C49AF55">
            <w:pPr>
              <w:pStyle w:val="94"/>
              <w:rPr>
                <w:color w:val="auto"/>
              </w:rPr>
            </w:pPr>
            <w:r>
              <w:rPr>
                <w:rFonts w:hint="eastAsia"/>
                <w:color w:val="auto"/>
                <w:spacing w:val="-10"/>
              </w:rPr>
              <w:t>内</w:t>
            </w:r>
            <w:r>
              <w:rPr>
                <w:rFonts w:hint="eastAsia"/>
                <w:color w:val="auto"/>
                <w:spacing w:val="-8"/>
              </w:rPr>
              <w:t>陆</w:t>
            </w:r>
            <w:r>
              <w:rPr>
                <w:rFonts w:hint="eastAsia"/>
                <w:color w:val="auto"/>
                <w:spacing w:val="-5"/>
              </w:rPr>
              <w:t>滩涂</w:t>
            </w:r>
          </w:p>
        </w:tc>
        <w:tc>
          <w:tcPr>
            <w:tcW w:w="952" w:type="pct"/>
            <w:vAlign w:val="center"/>
          </w:tcPr>
          <w:p w14:paraId="11D834BC">
            <w:pPr>
              <w:pStyle w:val="94"/>
              <w:rPr>
                <w:color w:val="auto"/>
              </w:rPr>
            </w:pPr>
            <w:r>
              <w:rPr>
                <w:rFonts w:hint="eastAsia"/>
                <w:color w:val="auto"/>
                <w:spacing w:val="-5"/>
              </w:rPr>
              <w:t>0.6</w:t>
            </w:r>
          </w:p>
        </w:tc>
        <w:tc>
          <w:tcPr>
            <w:tcW w:w="505" w:type="pct"/>
            <w:vAlign w:val="center"/>
          </w:tcPr>
          <w:p w14:paraId="2E6BD682">
            <w:pPr>
              <w:pStyle w:val="94"/>
              <w:rPr>
                <w:color w:val="auto"/>
              </w:rPr>
            </w:pPr>
            <w:r>
              <w:rPr>
                <w:rFonts w:hint="eastAsia"/>
                <w:color w:val="auto"/>
                <w:spacing w:val="-5"/>
              </w:rPr>
              <w:t>0.7</w:t>
            </w:r>
          </w:p>
        </w:tc>
        <w:tc>
          <w:tcPr>
            <w:tcW w:w="795" w:type="pct"/>
            <w:vAlign w:val="center"/>
          </w:tcPr>
          <w:p w14:paraId="7A10F444">
            <w:pPr>
              <w:pStyle w:val="94"/>
              <w:rPr>
                <w:color w:val="auto"/>
              </w:rPr>
            </w:pPr>
            <w:r>
              <w:rPr>
                <w:rFonts w:hint="eastAsia"/>
                <w:color w:val="auto"/>
                <w:spacing w:val="-5"/>
              </w:rPr>
              <w:t>0.7</w:t>
            </w:r>
          </w:p>
        </w:tc>
        <w:tc>
          <w:tcPr>
            <w:tcW w:w="519" w:type="pct"/>
            <w:vAlign w:val="center"/>
          </w:tcPr>
          <w:p w14:paraId="7777D9FF">
            <w:pPr>
              <w:pStyle w:val="94"/>
              <w:rPr>
                <w:color w:val="auto"/>
              </w:rPr>
            </w:pPr>
            <w:r>
              <w:rPr>
                <w:rFonts w:hint="eastAsia"/>
                <w:color w:val="auto"/>
                <w:spacing w:val="-5"/>
              </w:rPr>
              <w:t>0.8</w:t>
            </w:r>
          </w:p>
        </w:tc>
        <w:tc>
          <w:tcPr>
            <w:tcW w:w="588" w:type="pct"/>
            <w:vAlign w:val="center"/>
          </w:tcPr>
          <w:p w14:paraId="4BF3113C">
            <w:pPr>
              <w:pStyle w:val="94"/>
              <w:rPr>
                <w:color w:val="auto"/>
              </w:rPr>
            </w:pPr>
            <w:r>
              <w:rPr>
                <w:rFonts w:hint="eastAsia"/>
                <w:color w:val="auto"/>
                <w:spacing w:val="-5"/>
              </w:rPr>
              <w:t>0.6</w:t>
            </w:r>
          </w:p>
        </w:tc>
      </w:tr>
      <w:tr w14:paraId="1672C4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trPr>
        <w:tc>
          <w:tcPr>
            <w:tcW w:w="1641" w:type="pct"/>
            <w:vAlign w:val="center"/>
          </w:tcPr>
          <w:p w14:paraId="73A03BAE">
            <w:pPr>
              <w:pStyle w:val="94"/>
              <w:rPr>
                <w:color w:val="auto"/>
              </w:rPr>
            </w:pPr>
            <w:r>
              <w:rPr>
                <w:rFonts w:hint="eastAsia"/>
                <w:color w:val="auto"/>
                <w:spacing w:val="-4"/>
              </w:rPr>
              <w:t>旱地</w:t>
            </w:r>
          </w:p>
        </w:tc>
        <w:tc>
          <w:tcPr>
            <w:tcW w:w="952" w:type="pct"/>
            <w:vAlign w:val="center"/>
          </w:tcPr>
          <w:p w14:paraId="651E674A">
            <w:pPr>
              <w:pStyle w:val="94"/>
              <w:rPr>
                <w:color w:val="auto"/>
              </w:rPr>
            </w:pPr>
            <w:r>
              <w:rPr>
                <w:rFonts w:hint="eastAsia"/>
                <w:color w:val="auto"/>
                <w:spacing w:val="-5"/>
              </w:rPr>
              <w:t>0.</w:t>
            </w:r>
            <w:r>
              <w:rPr>
                <w:color w:val="auto"/>
                <w:spacing w:val="-5"/>
              </w:rPr>
              <w:t>5</w:t>
            </w:r>
          </w:p>
        </w:tc>
        <w:tc>
          <w:tcPr>
            <w:tcW w:w="505" w:type="pct"/>
            <w:vAlign w:val="center"/>
          </w:tcPr>
          <w:p w14:paraId="5A6D5D12">
            <w:pPr>
              <w:pStyle w:val="94"/>
              <w:rPr>
                <w:color w:val="auto"/>
              </w:rPr>
            </w:pPr>
            <w:r>
              <w:rPr>
                <w:rFonts w:hint="eastAsia"/>
                <w:color w:val="auto"/>
                <w:spacing w:val="-5"/>
              </w:rPr>
              <w:t>0.7</w:t>
            </w:r>
          </w:p>
        </w:tc>
        <w:tc>
          <w:tcPr>
            <w:tcW w:w="795" w:type="pct"/>
            <w:vAlign w:val="center"/>
          </w:tcPr>
          <w:p w14:paraId="3098578D">
            <w:pPr>
              <w:pStyle w:val="94"/>
              <w:rPr>
                <w:color w:val="auto"/>
              </w:rPr>
            </w:pPr>
            <w:r>
              <w:rPr>
                <w:rFonts w:hint="eastAsia"/>
                <w:color w:val="auto"/>
                <w:spacing w:val="-5"/>
              </w:rPr>
              <w:t>0.5</w:t>
            </w:r>
          </w:p>
        </w:tc>
        <w:tc>
          <w:tcPr>
            <w:tcW w:w="519" w:type="pct"/>
            <w:vAlign w:val="center"/>
          </w:tcPr>
          <w:p w14:paraId="5F639828">
            <w:pPr>
              <w:pStyle w:val="94"/>
              <w:rPr>
                <w:color w:val="auto"/>
              </w:rPr>
            </w:pPr>
            <w:r>
              <w:rPr>
                <w:rFonts w:hint="eastAsia"/>
                <w:color w:val="auto"/>
                <w:spacing w:val="-5"/>
              </w:rPr>
              <w:t>0.7</w:t>
            </w:r>
          </w:p>
        </w:tc>
        <w:tc>
          <w:tcPr>
            <w:tcW w:w="588" w:type="pct"/>
            <w:vAlign w:val="center"/>
          </w:tcPr>
          <w:p w14:paraId="0AD131DE">
            <w:pPr>
              <w:pStyle w:val="94"/>
              <w:rPr>
                <w:color w:val="auto"/>
              </w:rPr>
            </w:pPr>
            <w:r>
              <w:rPr>
                <w:rFonts w:hint="eastAsia"/>
                <w:color w:val="auto"/>
                <w:spacing w:val="-5"/>
              </w:rPr>
              <w:t>0.5</w:t>
            </w:r>
          </w:p>
        </w:tc>
      </w:tr>
      <w:tr w14:paraId="5D9277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4" w:hRule="atLeast"/>
        </w:trPr>
        <w:tc>
          <w:tcPr>
            <w:tcW w:w="1641" w:type="pct"/>
            <w:vAlign w:val="center"/>
          </w:tcPr>
          <w:p w14:paraId="4BE46F97">
            <w:pPr>
              <w:pStyle w:val="94"/>
              <w:rPr>
                <w:color w:val="auto"/>
              </w:rPr>
            </w:pPr>
            <w:r>
              <w:rPr>
                <w:rFonts w:hint="eastAsia"/>
                <w:color w:val="auto"/>
                <w:spacing w:val="-6"/>
              </w:rPr>
              <w:t>果</w:t>
            </w:r>
            <w:r>
              <w:rPr>
                <w:rFonts w:hint="eastAsia"/>
                <w:color w:val="auto"/>
                <w:spacing w:val="-5"/>
              </w:rPr>
              <w:t>园</w:t>
            </w:r>
          </w:p>
        </w:tc>
        <w:tc>
          <w:tcPr>
            <w:tcW w:w="952" w:type="pct"/>
            <w:vAlign w:val="center"/>
          </w:tcPr>
          <w:p w14:paraId="1599D018">
            <w:pPr>
              <w:pStyle w:val="94"/>
              <w:rPr>
                <w:color w:val="auto"/>
              </w:rPr>
            </w:pPr>
            <w:r>
              <w:rPr>
                <w:rFonts w:hint="eastAsia"/>
                <w:color w:val="auto"/>
                <w:spacing w:val="-5"/>
              </w:rPr>
              <w:t>0.4</w:t>
            </w:r>
          </w:p>
        </w:tc>
        <w:tc>
          <w:tcPr>
            <w:tcW w:w="505" w:type="pct"/>
            <w:vAlign w:val="center"/>
          </w:tcPr>
          <w:p w14:paraId="48D0F332">
            <w:pPr>
              <w:pStyle w:val="94"/>
              <w:rPr>
                <w:color w:val="auto"/>
              </w:rPr>
            </w:pPr>
            <w:r>
              <w:rPr>
                <w:rFonts w:hint="eastAsia"/>
                <w:color w:val="auto"/>
                <w:spacing w:val="-5"/>
              </w:rPr>
              <w:t>0.7</w:t>
            </w:r>
          </w:p>
        </w:tc>
        <w:tc>
          <w:tcPr>
            <w:tcW w:w="795" w:type="pct"/>
            <w:vAlign w:val="center"/>
          </w:tcPr>
          <w:p w14:paraId="130EB423">
            <w:pPr>
              <w:pStyle w:val="94"/>
              <w:rPr>
                <w:color w:val="auto"/>
              </w:rPr>
            </w:pPr>
            <w:r>
              <w:rPr>
                <w:rFonts w:hint="eastAsia"/>
                <w:color w:val="auto"/>
                <w:spacing w:val="-5"/>
              </w:rPr>
              <w:t>0.5</w:t>
            </w:r>
          </w:p>
        </w:tc>
        <w:tc>
          <w:tcPr>
            <w:tcW w:w="519" w:type="pct"/>
            <w:vAlign w:val="center"/>
          </w:tcPr>
          <w:p w14:paraId="36215691">
            <w:pPr>
              <w:pStyle w:val="94"/>
              <w:rPr>
                <w:color w:val="auto"/>
              </w:rPr>
            </w:pPr>
            <w:r>
              <w:rPr>
                <w:rFonts w:hint="eastAsia"/>
                <w:color w:val="auto"/>
                <w:spacing w:val="-5"/>
              </w:rPr>
              <w:t>0.7</w:t>
            </w:r>
          </w:p>
        </w:tc>
        <w:tc>
          <w:tcPr>
            <w:tcW w:w="588" w:type="pct"/>
            <w:vAlign w:val="center"/>
          </w:tcPr>
          <w:p w14:paraId="3802C6D4">
            <w:pPr>
              <w:pStyle w:val="94"/>
              <w:rPr>
                <w:color w:val="auto"/>
              </w:rPr>
            </w:pPr>
            <w:r>
              <w:rPr>
                <w:rFonts w:hint="eastAsia"/>
                <w:color w:val="auto"/>
                <w:spacing w:val="-5"/>
              </w:rPr>
              <w:t>0.5</w:t>
            </w:r>
          </w:p>
        </w:tc>
      </w:tr>
    </w:tbl>
    <w:p w14:paraId="570AC392">
      <w:pPr>
        <w:pStyle w:val="96"/>
        <w:ind w:firstLine="480"/>
      </w:pPr>
      <w:r>
        <w:rPr>
          <w:rFonts w:hint="eastAsia"/>
        </w:rPr>
        <w:t>（6）</w:t>
      </w:r>
      <w:r>
        <w:t>生境质量指数分析</w:t>
      </w:r>
    </w:p>
    <w:p w14:paraId="52FD988C">
      <w:pPr>
        <w:pStyle w:val="96"/>
        <w:ind w:firstLine="480"/>
      </w:pPr>
      <w:r>
        <w:rPr>
          <w:rFonts w:hint="eastAsia"/>
        </w:rPr>
        <w:t>生境质量指数是指某一个地区生境破碎化程度及生境退化能力强弱的评估指标</w:t>
      </w:r>
      <w:r>
        <w:t>，是评估生境质量的重要指标。生境质量指数越大，说明生境质量越好，反之则生境质量越差。通过使用InVEST模型生境质量模块分别对</w:t>
      </w:r>
      <w:r>
        <w:rPr>
          <w:rFonts w:hint="eastAsia"/>
        </w:rPr>
        <w:t>评价区</w:t>
      </w:r>
      <w:r>
        <w:t>的生境质</w:t>
      </w:r>
      <w:r>
        <w:rPr>
          <w:rFonts w:hint="eastAsia"/>
        </w:rPr>
        <w:t>量指数进行计算，得到相应的栅格图</w:t>
      </w:r>
      <w:r>
        <w:t>。运用 ArcGIS 软件的重分类工具将生境质量指数分为五类，具体分类情况如</w:t>
      </w:r>
      <w:r>
        <w:fldChar w:fldCharType="begin"/>
      </w:r>
      <w:r>
        <w:instrText xml:space="preserve"> REF _Ref162273205 \h  \* MERGEFORMAT </w:instrText>
      </w:r>
      <w:r>
        <w:fldChar w:fldCharType="separate"/>
      </w:r>
      <w:r>
        <w:t>表 81</w:t>
      </w:r>
      <w:r>
        <w:fldChar w:fldCharType="end"/>
      </w:r>
      <w:r>
        <w:t>所示。</w:t>
      </w:r>
    </w:p>
    <w:p w14:paraId="65D20AE6">
      <w:pPr>
        <w:pStyle w:val="19"/>
        <w:keepNext/>
        <w:ind w:firstLine="480"/>
      </w:pPr>
      <w:bookmarkStart w:id="156" w:name="_Ref162273205"/>
      <w:r>
        <w:t xml:space="preserve">表 </w:t>
      </w:r>
      <w:r>
        <w:fldChar w:fldCharType="begin"/>
      </w:r>
      <w:r>
        <w:instrText xml:space="preserve"> SEQ 表 \* ARABIC </w:instrText>
      </w:r>
      <w:r>
        <w:fldChar w:fldCharType="separate"/>
      </w:r>
      <w:r>
        <w:t>81</w:t>
      </w:r>
      <w:r>
        <w:fldChar w:fldCharType="end"/>
      </w:r>
      <w:bookmarkEnd w:id="156"/>
      <w:r>
        <w:rPr>
          <w:rFonts w:hint="eastAsia"/>
        </w:rPr>
        <w:t>生境质量指数等级划分</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732"/>
        <w:gridCol w:w="4245"/>
        <w:gridCol w:w="3705"/>
      </w:tblGrid>
      <w:tr w14:paraId="5CB880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279" w:type="pct"/>
            <w:vAlign w:val="center"/>
          </w:tcPr>
          <w:p w14:paraId="45F903CE">
            <w:pPr>
              <w:pStyle w:val="94"/>
              <w:rPr>
                <w:rFonts w:cs="Arial"/>
                <w:color w:val="auto"/>
              </w:rPr>
            </w:pPr>
            <w:r>
              <w:rPr>
                <w:rFonts w:hint="eastAsia"/>
                <w:color w:val="auto"/>
              </w:rPr>
              <w:t>序号</w:t>
            </w:r>
          </w:p>
        </w:tc>
        <w:tc>
          <w:tcPr>
            <w:tcW w:w="1987" w:type="pct"/>
            <w:vAlign w:val="center"/>
          </w:tcPr>
          <w:p w14:paraId="7D13BF0A">
            <w:pPr>
              <w:pStyle w:val="94"/>
              <w:rPr>
                <w:color w:val="auto"/>
              </w:rPr>
            </w:pPr>
            <w:r>
              <w:rPr>
                <w:rFonts w:hint="eastAsia"/>
                <w:color w:val="auto"/>
                <w:spacing w:val="15"/>
              </w:rPr>
              <w:t>生</w:t>
            </w:r>
            <w:r>
              <w:rPr>
                <w:rFonts w:hint="eastAsia"/>
                <w:color w:val="auto"/>
                <w:spacing w:val="8"/>
              </w:rPr>
              <w:t>境质量指数划分范围</w:t>
            </w:r>
          </w:p>
        </w:tc>
        <w:tc>
          <w:tcPr>
            <w:tcW w:w="1734" w:type="pct"/>
            <w:vAlign w:val="center"/>
          </w:tcPr>
          <w:p w14:paraId="7994CE3A">
            <w:pPr>
              <w:pStyle w:val="94"/>
              <w:rPr>
                <w:color w:val="auto"/>
              </w:rPr>
            </w:pPr>
            <w:r>
              <w:rPr>
                <w:rFonts w:hint="eastAsia"/>
                <w:color w:val="auto"/>
                <w:spacing w:val="11"/>
              </w:rPr>
              <w:t>生</w:t>
            </w:r>
            <w:r>
              <w:rPr>
                <w:rFonts w:hint="eastAsia"/>
                <w:color w:val="auto"/>
                <w:spacing w:val="8"/>
              </w:rPr>
              <w:t>境质量指数等级</w:t>
            </w:r>
          </w:p>
        </w:tc>
      </w:tr>
      <w:tr w14:paraId="03AD8E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279" w:type="pct"/>
            <w:vAlign w:val="center"/>
          </w:tcPr>
          <w:p w14:paraId="2D38E50B">
            <w:pPr>
              <w:pStyle w:val="94"/>
              <w:rPr>
                <w:color w:val="auto"/>
              </w:rPr>
            </w:pPr>
            <w:r>
              <w:rPr>
                <w:color w:val="auto"/>
              </w:rPr>
              <w:t>1</w:t>
            </w:r>
          </w:p>
        </w:tc>
        <w:tc>
          <w:tcPr>
            <w:tcW w:w="1987" w:type="pct"/>
            <w:vAlign w:val="center"/>
          </w:tcPr>
          <w:p w14:paraId="7AB791E3">
            <w:pPr>
              <w:pStyle w:val="94"/>
              <w:rPr>
                <w:color w:val="auto"/>
              </w:rPr>
            </w:pPr>
            <w:r>
              <w:rPr>
                <w:color w:val="auto"/>
                <w:spacing w:val="4"/>
              </w:rPr>
              <w:t>0</w:t>
            </w:r>
            <w:r>
              <w:rPr>
                <w:color w:val="auto"/>
                <w:spacing w:val="3"/>
              </w:rPr>
              <w:t>-0.09</w:t>
            </w:r>
          </w:p>
        </w:tc>
        <w:tc>
          <w:tcPr>
            <w:tcW w:w="1734" w:type="pct"/>
            <w:vAlign w:val="center"/>
          </w:tcPr>
          <w:p w14:paraId="6F64A8D3">
            <w:pPr>
              <w:pStyle w:val="94"/>
              <w:rPr>
                <w:rFonts w:cs="Arial"/>
                <w:color w:val="auto"/>
              </w:rPr>
            </w:pPr>
            <w:r>
              <w:rPr>
                <w:color w:val="auto"/>
              </w:rPr>
              <w:t>差</w:t>
            </w:r>
          </w:p>
        </w:tc>
      </w:tr>
      <w:tr w14:paraId="481254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279" w:type="pct"/>
            <w:vAlign w:val="center"/>
          </w:tcPr>
          <w:p w14:paraId="34325BFC">
            <w:pPr>
              <w:pStyle w:val="94"/>
              <w:rPr>
                <w:color w:val="auto"/>
              </w:rPr>
            </w:pPr>
            <w:r>
              <w:rPr>
                <w:color w:val="auto"/>
              </w:rPr>
              <w:t>2</w:t>
            </w:r>
          </w:p>
        </w:tc>
        <w:tc>
          <w:tcPr>
            <w:tcW w:w="1987" w:type="pct"/>
            <w:vAlign w:val="center"/>
          </w:tcPr>
          <w:p w14:paraId="0AFF9DC7">
            <w:pPr>
              <w:pStyle w:val="94"/>
              <w:rPr>
                <w:color w:val="auto"/>
              </w:rPr>
            </w:pPr>
            <w:r>
              <w:rPr>
                <w:color w:val="auto"/>
                <w:spacing w:val="4"/>
              </w:rPr>
              <w:t>0</w:t>
            </w:r>
            <w:r>
              <w:rPr>
                <w:color w:val="auto"/>
                <w:spacing w:val="3"/>
              </w:rPr>
              <w:t>.09-0.35</w:t>
            </w:r>
          </w:p>
        </w:tc>
        <w:tc>
          <w:tcPr>
            <w:tcW w:w="1734" w:type="pct"/>
            <w:vAlign w:val="center"/>
          </w:tcPr>
          <w:p w14:paraId="0B549CDC">
            <w:pPr>
              <w:pStyle w:val="94"/>
              <w:rPr>
                <w:rFonts w:cs="Arial"/>
                <w:color w:val="auto"/>
              </w:rPr>
            </w:pPr>
            <w:r>
              <w:rPr>
                <w:color w:val="auto"/>
              </w:rPr>
              <w:t>较差</w:t>
            </w:r>
          </w:p>
        </w:tc>
      </w:tr>
      <w:tr w14:paraId="2D7C06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279" w:type="pct"/>
            <w:vAlign w:val="center"/>
          </w:tcPr>
          <w:p w14:paraId="0250DA00">
            <w:pPr>
              <w:pStyle w:val="94"/>
              <w:rPr>
                <w:color w:val="auto"/>
              </w:rPr>
            </w:pPr>
            <w:r>
              <w:rPr>
                <w:color w:val="auto"/>
              </w:rPr>
              <w:t>3</w:t>
            </w:r>
          </w:p>
        </w:tc>
        <w:tc>
          <w:tcPr>
            <w:tcW w:w="1987" w:type="pct"/>
            <w:vAlign w:val="center"/>
          </w:tcPr>
          <w:p w14:paraId="72C7D391">
            <w:pPr>
              <w:pStyle w:val="94"/>
              <w:rPr>
                <w:color w:val="auto"/>
              </w:rPr>
            </w:pPr>
            <w:r>
              <w:rPr>
                <w:color w:val="auto"/>
                <w:spacing w:val="4"/>
              </w:rPr>
              <w:t>0</w:t>
            </w:r>
            <w:r>
              <w:rPr>
                <w:color w:val="auto"/>
                <w:spacing w:val="3"/>
              </w:rPr>
              <w:t>.35-0.54</w:t>
            </w:r>
          </w:p>
        </w:tc>
        <w:tc>
          <w:tcPr>
            <w:tcW w:w="1734" w:type="pct"/>
            <w:vAlign w:val="center"/>
          </w:tcPr>
          <w:p w14:paraId="770C49E6">
            <w:pPr>
              <w:pStyle w:val="94"/>
              <w:rPr>
                <w:rFonts w:cs="Arial"/>
                <w:color w:val="auto"/>
              </w:rPr>
            </w:pPr>
            <w:r>
              <w:rPr>
                <w:color w:val="auto"/>
              </w:rPr>
              <w:t>中等</w:t>
            </w:r>
          </w:p>
        </w:tc>
      </w:tr>
      <w:tr w14:paraId="49FCC2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279" w:type="pct"/>
            <w:vAlign w:val="center"/>
          </w:tcPr>
          <w:p w14:paraId="0A1D9EE6">
            <w:pPr>
              <w:pStyle w:val="94"/>
              <w:rPr>
                <w:color w:val="auto"/>
              </w:rPr>
            </w:pPr>
            <w:r>
              <w:rPr>
                <w:color w:val="auto"/>
                <w:spacing w:val="1"/>
              </w:rPr>
              <w:t>4</w:t>
            </w:r>
          </w:p>
        </w:tc>
        <w:tc>
          <w:tcPr>
            <w:tcW w:w="1987" w:type="pct"/>
            <w:vAlign w:val="center"/>
          </w:tcPr>
          <w:p w14:paraId="2D65886A">
            <w:pPr>
              <w:pStyle w:val="94"/>
              <w:rPr>
                <w:color w:val="auto"/>
              </w:rPr>
            </w:pPr>
            <w:r>
              <w:rPr>
                <w:color w:val="auto"/>
                <w:spacing w:val="4"/>
              </w:rPr>
              <w:t>0</w:t>
            </w:r>
            <w:r>
              <w:rPr>
                <w:color w:val="auto"/>
                <w:spacing w:val="3"/>
              </w:rPr>
              <w:t>.54-0.71</w:t>
            </w:r>
          </w:p>
        </w:tc>
        <w:tc>
          <w:tcPr>
            <w:tcW w:w="1734" w:type="pct"/>
            <w:vAlign w:val="center"/>
          </w:tcPr>
          <w:p w14:paraId="2B2F2074">
            <w:pPr>
              <w:pStyle w:val="94"/>
              <w:rPr>
                <w:rFonts w:cs="Arial"/>
                <w:color w:val="auto"/>
              </w:rPr>
            </w:pPr>
            <w:r>
              <w:rPr>
                <w:color w:val="auto"/>
              </w:rPr>
              <w:t>较好</w:t>
            </w:r>
          </w:p>
        </w:tc>
      </w:tr>
      <w:tr w14:paraId="0F6A6B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279" w:type="pct"/>
            <w:vAlign w:val="center"/>
          </w:tcPr>
          <w:p w14:paraId="00C74971">
            <w:pPr>
              <w:pStyle w:val="94"/>
              <w:rPr>
                <w:color w:val="auto"/>
              </w:rPr>
            </w:pPr>
            <w:r>
              <w:rPr>
                <w:color w:val="auto"/>
              </w:rPr>
              <w:t>5</w:t>
            </w:r>
          </w:p>
        </w:tc>
        <w:tc>
          <w:tcPr>
            <w:tcW w:w="1987" w:type="pct"/>
            <w:vAlign w:val="center"/>
          </w:tcPr>
          <w:p w14:paraId="78592ECB">
            <w:pPr>
              <w:pStyle w:val="94"/>
              <w:rPr>
                <w:color w:val="auto"/>
              </w:rPr>
            </w:pPr>
            <w:r>
              <w:rPr>
                <w:color w:val="auto"/>
                <w:spacing w:val="-2"/>
              </w:rPr>
              <w:t xml:space="preserve">0.71- </w:t>
            </w:r>
            <w:r>
              <w:rPr>
                <w:color w:val="auto"/>
                <w:spacing w:val="-1"/>
              </w:rPr>
              <w:t>1</w:t>
            </w:r>
          </w:p>
        </w:tc>
        <w:tc>
          <w:tcPr>
            <w:tcW w:w="1734" w:type="pct"/>
            <w:vAlign w:val="center"/>
          </w:tcPr>
          <w:p w14:paraId="10650B2D">
            <w:pPr>
              <w:pStyle w:val="94"/>
              <w:rPr>
                <w:rFonts w:cs="Arial"/>
                <w:color w:val="auto"/>
              </w:rPr>
            </w:pPr>
            <w:r>
              <w:rPr>
                <w:color w:val="auto"/>
              </w:rPr>
              <w:t>好</w:t>
            </w:r>
          </w:p>
        </w:tc>
      </w:tr>
    </w:tbl>
    <w:p w14:paraId="00B968DD">
      <w:pPr>
        <w:pStyle w:val="19"/>
        <w:keepNext/>
        <w:ind w:firstLine="480"/>
      </w:pPr>
      <w:r>
        <w:t xml:space="preserve">表 </w:t>
      </w:r>
      <w:r>
        <w:fldChar w:fldCharType="begin"/>
      </w:r>
      <w:r>
        <w:instrText xml:space="preserve"> SEQ 表 \* ARABIC </w:instrText>
      </w:r>
      <w:r>
        <w:fldChar w:fldCharType="separate"/>
      </w:r>
      <w:r>
        <w:t>82</w:t>
      </w:r>
      <w:r>
        <w:fldChar w:fldCharType="end"/>
      </w:r>
      <w:r>
        <w:rPr>
          <w:rFonts w:hint="eastAsia"/>
        </w:rPr>
        <w:t>本项目评价范围内各等级生境质量指数面积与比例</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77"/>
        <w:gridCol w:w="5384"/>
        <w:gridCol w:w="1944"/>
        <w:gridCol w:w="1677"/>
      </w:tblGrid>
      <w:tr w14:paraId="173E3B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85" w:type="pct"/>
            <w:noWrap/>
            <w:vAlign w:val="center"/>
          </w:tcPr>
          <w:p w14:paraId="63F89CC2">
            <w:pPr>
              <w:pStyle w:val="94"/>
              <w:rPr>
                <w:rFonts w:asciiTheme="minorEastAsia" w:hAnsiTheme="minorEastAsia" w:eastAsiaTheme="minorEastAsia"/>
                <w:color w:val="auto"/>
              </w:rPr>
            </w:pPr>
            <w:r>
              <w:rPr>
                <w:rFonts w:hint="eastAsia" w:asciiTheme="minorEastAsia" w:hAnsiTheme="minorEastAsia" w:eastAsiaTheme="minorEastAsia"/>
                <w:color w:val="auto"/>
              </w:rPr>
              <w:t>序号</w:t>
            </w:r>
          </w:p>
        </w:tc>
        <w:tc>
          <w:tcPr>
            <w:tcW w:w="2520" w:type="pct"/>
            <w:noWrap/>
            <w:vAlign w:val="center"/>
          </w:tcPr>
          <w:p w14:paraId="53A29A57">
            <w:pPr>
              <w:pStyle w:val="94"/>
              <w:rPr>
                <w:rFonts w:asciiTheme="minorEastAsia" w:hAnsiTheme="minorEastAsia" w:eastAsiaTheme="minorEastAsia"/>
                <w:color w:val="auto"/>
              </w:rPr>
            </w:pPr>
            <w:r>
              <w:rPr>
                <w:rFonts w:asciiTheme="minorEastAsia" w:hAnsiTheme="minorEastAsia" w:eastAsiaTheme="minorEastAsia"/>
                <w:color w:val="auto"/>
              </w:rPr>
              <w:t>生境质量指数等级</w:t>
            </w:r>
          </w:p>
        </w:tc>
        <w:tc>
          <w:tcPr>
            <w:tcW w:w="910" w:type="pct"/>
            <w:noWrap/>
            <w:vAlign w:val="center"/>
          </w:tcPr>
          <w:p w14:paraId="2007D512">
            <w:pPr>
              <w:pStyle w:val="94"/>
              <w:rPr>
                <w:rFonts w:asciiTheme="minorEastAsia" w:hAnsiTheme="minorEastAsia" w:eastAsiaTheme="minorEastAsia"/>
                <w:color w:val="auto"/>
              </w:rPr>
            </w:pPr>
            <w:r>
              <w:rPr>
                <w:rFonts w:hint="eastAsia" w:asciiTheme="minorEastAsia" w:hAnsiTheme="minorEastAsia" w:eastAsiaTheme="minorEastAsia"/>
                <w:color w:val="auto"/>
              </w:rPr>
              <w:t>面积ha</w:t>
            </w:r>
          </w:p>
        </w:tc>
        <w:tc>
          <w:tcPr>
            <w:tcW w:w="785" w:type="pct"/>
            <w:noWrap/>
            <w:vAlign w:val="center"/>
          </w:tcPr>
          <w:p w14:paraId="6785E8BB">
            <w:pPr>
              <w:pStyle w:val="94"/>
              <w:rPr>
                <w:rFonts w:asciiTheme="minorEastAsia" w:hAnsiTheme="minorEastAsia" w:eastAsiaTheme="minorEastAsia"/>
                <w:color w:val="auto"/>
              </w:rPr>
            </w:pPr>
            <w:r>
              <w:rPr>
                <w:rFonts w:hint="eastAsia" w:asciiTheme="minorEastAsia" w:hAnsiTheme="minorEastAsia" w:eastAsiaTheme="minorEastAsia"/>
                <w:color w:val="auto"/>
              </w:rPr>
              <w:t>百分比</w:t>
            </w:r>
            <w:r>
              <w:rPr>
                <w:rFonts w:asciiTheme="minorEastAsia" w:hAnsiTheme="minorEastAsia" w:eastAsiaTheme="minorEastAsia"/>
                <w:color w:val="auto"/>
              </w:rPr>
              <w:t>%</w:t>
            </w:r>
          </w:p>
        </w:tc>
      </w:tr>
      <w:tr w14:paraId="69247D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85" w:type="pct"/>
            <w:noWrap/>
            <w:vAlign w:val="center"/>
          </w:tcPr>
          <w:p w14:paraId="498DE5D0">
            <w:pPr>
              <w:pStyle w:val="94"/>
              <w:rPr>
                <w:rFonts w:asciiTheme="minorEastAsia" w:hAnsiTheme="minorEastAsia" w:eastAsiaTheme="minorEastAsia"/>
                <w:color w:val="auto"/>
              </w:rPr>
            </w:pPr>
            <w:r>
              <w:rPr>
                <w:rFonts w:asciiTheme="minorEastAsia" w:hAnsiTheme="minorEastAsia" w:eastAsiaTheme="minorEastAsia"/>
                <w:color w:val="auto"/>
              </w:rPr>
              <w:t>1</w:t>
            </w:r>
          </w:p>
        </w:tc>
        <w:tc>
          <w:tcPr>
            <w:tcW w:w="2520" w:type="pct"/>
            <w:noWrap/>
            <w:vAlign w:val="bottom"/>
          </w:tcPr>
          <w:p w14:paraId="63B639EC">
            <w:pPr>
              <w:pStyle w:val="94"/>
              <w:rPr>
                <w:color w:val="auto"/>
              </w:rPr>
            </w:pPr>
            <w:r>
              <w:rPr>
                <w:color w:val="auto"/>
              </w:rPr>
              <w:t>差</w:t>
            </w:r>
          </w:p>
        </w:tc>
        <w:tc>
          <w:tcPr>
            <w:tcW w:w="910" w:type="pct"/>
            <w:noWrap/>
            <w:vAlign w:val="bottom"/>
          </w:tcPr>
          <w:p w14:paraId="60D8F903">
            <w:pPr>
              <w:pStyle w:val="94"/>
              <w:rPr>
                <w:color w:val="auto"/>
              </w:rPr>
            </w:pPr>
            <w:r>
              <w:rPr>
                <w:color w:val="auto"/>
              </w:rPr>
              <w:t xml:space="preserve">54.44 </w:t>
            </w:r>
          </w:p>
        </w:tc>
        <w:tc>
          <w:tcPr>
            <w:tcW w:w="785" w:type="pct"/>
            <w:noWrap/>
            <w:vAlign w:val="bottom"/>
          </w:tcPr>
          <w:p w14:paraId="7ED5BF9A">
            <w:pPr>
              <w:pStyle w:val="94"/>
              <w:rPr>
                <w:color w:val="auto"/>
              </w:rPr>
            </w:pPr>
            <w:r>
              <w:rPr>
                <w:color w:val="auto"/>
              </w:rPr>
              <w:t xml:space="preserve">10.36 </w:t>
            </w:r>
          </w:p>
        </w:tc>
      </w:tr>
      <w:tr w14:paraId="4407EB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85" w:type="pct"/>
            <w:noWrap/>
            <w:vAlign w:val="center"/>
          </w:tcPr>
          <w:p w14:paraId="37E1B435">
            <w:pPr>
              <w:pStyle w:val="94"/>
              <w:rPr>
                <w:rFonts w:asciiTheme="minorEastAsia" w:hAnsiTheme="minorEastAsia" w:eastAsiaTheme="minorEastAsia"/>
                <w:color w:val="auto"/>
              </w:rPr>
            </w:pPr>
            <w:r>
              <w:rPr>
                <w:rFonts w:asciiTheme="minorEastAsia" w:hAnsiTheme="minorEastAsia" w:eastAsiaTheme="minorEastAsia"/>
                <w:color w:val="auto"/>
              </w:rPr>
              <w:t>2</w:t>
            </w:r>
          </w:p>
        </w:tc>
        <w:tc>
          <w:tcPr>
            <w:tcW w:w="2520" w:type="pct"/>
            <w:noWrap/>
            <w:vAlign w:val="bottom"/>
          </w:tcPr>
          <w:p w14:paraId="68CB1ED5">
            <w:pPr>
              <w:pStyle w:val="94"/>
              <w:rPr>
                <w:color w:val="auto"/>
              </w:rPr>
            </w:pPr>
            <w:r>
              <w:rPr>
                <w:color w:val="auto"/>
              </w:rPr>
              <w:t>较差</w:t>
            </w:r>
          </w:p>
        </w:tc>
        <w:tc>
          <w:tcPr>
            <w:tcW w:w="910" w:type="pct"/>
            <w:noWrap/>
            <w:vAlign w:val="bottom"/>
          </w:tcPr>
          <w:p w14:paraId="536AB974">
            <w:pPr>
              <w:pStyle w:val="94"/>
              <w:rPr>
                <w:color w:val="auto"/>
              </w:rPr>
            </w:pPr>
            <w:r>
              <w:rPr>
                <w:color w:val="auto"/>
              </w:rPr>
              <w:t xml:space="preserve">127.90 </w:t>
            </w:r>
          </w:p>
        </w:tc>
        <w:tc>
          <w:tcPr>
            <w:tcW w:w="785" w:type="pct"/>
            <w:noWrap/>
            <w:vAlign w:val="bottom"/>
          </w:tcPr>
          <w:p w14:paraId="40597C72">
            <w:pPr>
              <w:pStyle w:val="94"/>
              <w:rPr>
                <w:color w:val="auto"/>
              </w:rPr>
            </w:pPr>
            <w:r>
              <w:rPr>
                <w:color w:val="auto"/>
              </w:rPr>
              <w:t xml:space="preserve">24.34 </w:t>
            </w:r>
          </w:p>
        </w:tc>
      </w:tr>
      <w:tr w14:paraId="546F42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85" w:type="pct"/>
            <w:noWrap/>
            <w:vAlign w:val="center"/>
          </w:tcPr>
          <w:p w14:paraId="7ED1DA37">
            <w:pPr>
              <w:pStyle w:val="94"/>
              <w:rPr>
                <w:rFonts w:asciiTheme="minorEastAsia" w:hAnsiTheme="minorEastAsia" w:eastAsiaTheme="minorEastAsia"/>
                <w:color w:val="auto"/>
              </w:rPr>
            </w:pPr>
            <w:r>
              <w:rPr>
                <w:rFonts w:asciiTheme="minorEastAsia" w:hAnsiTheme="minorEastAsia" w:eastAsiaTheme="minorEastAsia"/>
                <w:color w:val="auto"/>
              </w:rPr>
              <w:t>3</w:t>
            </w:r>
          </w:p>
        </w:tc>
        <w:tc>
          <w:tcPr>
            <w:tcW w:w="2520" w:type="pct"/>
            <w:noWrap/>
            <w:vAlign w:val="bottom"/>
          </w:tcPr>
          <w:p w14:paraId="53AD7786">
            <w:pPr>
              <w:pStyle w:val="94"/>
              <w:rPr>
                <w:color w:val="auto"/>
              </w:rPr>
            </w:pPr>
            <w:r>
              <w:rPr>
                <w:color w:val="auto"/>
              </w:rPr>
              <w:t>中等</w:t>
            </w:r>
          </w:p>
        </w:tc>
        <w:tc>
          <w:tcPr>
            <w:tcW w:w="910" w:type="pct"/>
            <w:noWrap/>
            <w:vAlign w:val="bottom"/>
          </w:tcPr>
          <w:p w14:paraId="40CF4026">
            <w:pPr>
              <w:pStyle w:val="94"/>
              <w:rPr>
                <w:color w:val="auto"/>
              </w:rPr>
            </w:pPr>
            <w:r>
              <w:rPr>
                <w:color w:val="auto"/>
              </w:rPr>
              <w:t xml:space="preserve">302.80 </w:t>
            </w:r>
          </w:p>
        </w:tc>
        <w:tc>
          <w:tcPr>
            <w:tcW w:w="785" w:type="pct"/>
            <w:noWrap/>
            <w:vAlign w:val="bottom"/>
          </w:tcPr>
          <w:p w14:paraId="69DCBDEE">
            <w:pPr>
              <w:pStyle w:val="94"/>
              <w:rPr>
                <w:color w:val="auto"/>
              </w:rPr>
            </w:pPr>
            <w:r>
              <w:rPr>
                <w:color w:val="auto"/>
              </w:rPr>
              <w:t xml:space="preserve">57.62 </w:t>
            </w:r>
          </w:p>
        </w:tc>
      </w:tr>
      <w:tr w14:paraId="34BC9F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85" w:type="pct"/>
            <w:noWrap/>
            <w:vAlign w:val="center"/>
          </w:tcPr>
          <w:p w14:paraId="4B4E906F">
            <w:pPr>
              <w:pStyle w:val="94"/>
              <w:rPr>
                <w:rFonts w:asciiTheme="minorEastAsia" w:hAnsiTheme="minorEastAsia" w:eastAsiaTheme="minorEastAsia"/>
                <w:color w:val="auto"/>
              </w:rPr>
            </w:pPr>
          </w:p>
        </w:tc>
        <w:tc>
          <w:tcPr>
            <w:tcW w:w="2520" w:type="pct"/>
            <w:noWrap/>
            <w:vAlign w:val="bottom"/>
          </w:tcPr>
          <w:p w14:paraId="2007C8B8">
            <w:pPr>
              <w:pStyle w:val="94"/>
              <w:rPr>
                <w:color w:val="auto"/>
              </w:rPr>
            </w:pPr>
            <w:r>
              <w:rPr>
                <w:color w:val="auto"/>
              </w:rPr>
              <w:t>较好</w:t>
            </w:r>
          </w:p>
        </w:tc>
        <w:tc>
          <w:tcPr>
            <w:tcW w:w="910" w:type="pct"/>
            <w:noWrap/>
            <w:vAlign w:val="bottom"/>
          </w:tcPr>
          <w:p w14:paraId="65ABFEE0">
            <w:pPr>
              <w:pStyle w:val="94"/>
              <w:rPr>
                <w:color w:val="auto"/>
              </w:rPr>
            </w:pPr>
            <w:r>
              <w:rPr>
                <w:color w:val="auto"/>
              </w:rPr>
              <w:t xml:space="preserve">40.35 </w:t>
            </w:r>
          </w:p>
        </w:tc>
        <w:tc>
          <w:tcPr>
            <w:tcW w:w="785" w:type="pct"/>
            <w:noWrap/>
            <w:vAlign w:val="bottom"/>
          </w:tcPr>
          <w:p w14:paraId="125DD4E2">
            <w:pPr>
              <w:pStyle w:val="94"/>
              <w:rPr>
                <w:color w:val="auto"/>
              </w:rPr>
            </w:pPr>
            <w:r>
              <w:rPr>
                <w:color w:val="auto"/>
              </w:rPr>
              <w:t xml:space="preserve">7.68 </w:t>
            </w:r>
          </w:p>
        </w:tc>
      </w:tr>
      <w:tr w14:paraId="34C3D0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305" w:type="pct"/>
            <w:gridSpan w:val="2"/>
            <w:noWrap/>
            <w:vAlign w:val="center"/>
          </w:tcPr>
          <w:p w14:paraId="43303003">
            <w:pPr>
              <w:pStyle w:val="94"/>
              <w:rPr>
                <w:color w:val="auto"/>
              </w:rPr>
            </w:pPr>
            <w:r>
              <w:rPr>
                <w:rFonts w:hint="eastAsia"/>
                <w:color w:val="auto"/>
              </w:rPr>
              <w:t>合计</w:t>
            </w:r>
          </w:p>
        </w:tc>
        <w:tc>
          <w:tcPr>
            <w:tcW w:w="910" w:type="pct"/>
            <w:noWrap/>
            <w:vAlign w:val="top"/>
          </w:tcPr>
          <w:p w14:paraId="2AAECA31">
            <w:pPr>
              <w:pStyle w:val="94"/>
              <w:rPr>
                <w:rFonts w:asciiTheme="minorEastAsia" w:hAnsiTheme="minorEastAsia" w:eastAsiaTheme="minorEastAsia"/>
                <w:color w:val="auto"/>
              </w:rPr>
            </w:pPr>
            <w:r>
              <w:rPr>
                <w:color w:val="auto"/>
              </w:rPr>
              <w:t xml:space="preserve">525.49 </w:t>
            </w:r>
          </w:p>
        </w:tc>
        <w:tc>
          <w:tcPr>
            <w:tcW w:w="785" w:type="pct"/>
            <w:noWrap/>
            <w:vAlign w:val="top"/>
          </w:tcPr>
          <w:p w14:paraId="0E8F913F">
            <w:pPr>
              <w:pStyle w:val="94"/>
              <w:rPr>
                <w:rFonts w:asciiTheme="minorEastAsia" w:hAnsiTheme="minorEastAsia" w:eastAsiaTheme="minorEastAsia"/>
                <w:color w:val="auto"/>
              </w:rPr>
            </w:pPr>
            <w:r>
              <w:rPr>
                <w:color w:val="auto"/>
              </w:rPr>
              <w:t xml:space="preserve">100.00 </w:t>
            </w:r>
          </w:p>
        </w:tc>
      </w:tr>
    </w:tbl>
    <w:p w14:paraId="571E5023">
      <w:pPr>
        <w:pStyle w:val="19"/>
        <w:keepNext/>
        <w:ind w:firstLine="480"/>
      </w:pPr>
      <w:r>
        <w:t xml:space="preserve">表 </w:t>
      </w:r>
      <w:r>
        <w:fldChar w:fldCharType="begin"/>
      </w:r>
      <w:r>
        <w:instrText xml:space="preserve"> SEQ 表 \* ARABIC </w:instrText>
      </w:r>
      <w:r>
        <w:fldChar w:fldCharType="separate"/>
      </w:r>
      <w:r>
        <w:t>83</w:t>
      </w:r>
      <w:r>
        <w:fldChar w:fldCharType="end"/>
      </w:r>
      <w:r>
        <w:rPr>
          <w:rFonts w:hint="eastAsia"/>
        </w:rPr>
        <w:t>本项目矿界范围内各等级生境质量指数面积与比例</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41"/>
        <w:gridCol w:w="2115"/>
        <w:gridCol w:w="2805"/>
        <w:gridCol w:w="1942"/>
        <w:gridCol w:w="2179"/>
      </w:tblGrid>
      <w:tr w14:paraId="5F5045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68" w:type="pct"/>
            <w:noWrap/>
            <w:vAlign w:val="center"/>
          </w:tcPr>
          <w:p w14:paraId="40F53751">
            <w:pPr>
              <w:pStyle w:val="94"/>
              <w:rPr>
                <w:color w:val="auto"/>
              </w:rPr>
            </w:pPr>
            <w:r>
              <w:rPr>
                <w:rFonts w:hint="eastAsia"/>
                <w:color w:val="auto"/>
              </w:rPr>
              <w:t>序号</w:t>
            </w:r>
          </w:p>
        </w:tc>
        <w:tc>
          <w:tcPr>
            <w:tcW w:w="990" w:type="pct"/>
            <w:noWrap/>
            <w:vAlign w:val="center"/>
          </w:tcPr>
          <w:p w14:paraId="1A57E7C9">
            <w:pPr>
              <w:pStyle w:val="94"/>
              <w:rPr>
                <w:color w:val="auto"/>
              </w:rPr>
            </w:pPr>
            <w:r>
              <w:rPr>
                <w:color w:val="auto"/>
              </w:rPr>
              <w:t>名称</w:t>
            </w:r>
          </w:p>
        </w:tc>
        <w:tc>
          <w:tcPr>
            <w:tcW w:w="1313" w:type="pct"/>
            <w:noWrap/>
            <w:vAlign w:val="center"/>
          </w:tcPr>
          <w:p w14:paraId="3963B6D4">
            <w:pPr>
              <w:pStyle w:val="94"/>
              <w:rPr>
                <w:color w:val="auto"/>
              </w:rPr>
            </w:pPr>
            <w:r>
              <w:rPr>
                <w:color w:val="auto"/>
              </w:rPr>
              <w:t>生境质量指数分级</w:t>
            </w:r>
          </w:p>
        </w:tc>
        <w:tc>
          <w:tcPr>
            <w:tcW w:w="909" w:type="pct"/>
            <w:noWrap/>
            <w:vAlign w:val="center"/>
          </w:tcPr>
          <w:p w14:paraId="4169AE52">
            <w:pPr>
              <w:pStyle w:val="94"/>
              <w:rPr>
                <w:color w:val="auto"/>
              </w:rPr>
            </w:pPr>
            <w:r>
              <w:rPr>
                <w:rFonts w:hint="eastAsia"/>
                <w:color w:val="auto"/>
              </w:rPr>
              <w:t>面积ha</w:t>
            </w:r>
          </w:p>
        </w:tc>
        <w:tc>
          <w:tcPr>
            <w:tcW w:w="1020" w:type="pct"/>
            <w:noWrap/>
            <w:vAlign w:val="center"/>
          </w:tcPr>
          <w:p w14:paraId="0E514853">
            <w:pPr>
              <w:pStyle w:val="94"/>
              <w:rPr>
                <w:color w:val="auto"/>
              </w:rPr>
            </w:pPr>
            <w:r>
              <w:rPr>
                <w:rFonts w:hint="eastAsia"/>
                <w:color w:val="auto"/>
              </w:rPr>
              <w:t>占比%</w:t>
            </w:r>
          </w:p>
        </w:tc>
      </w:tr>
      <w:tr w14:paraId="7FA02D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68" w:type="pct"/>
            <w:noWrap/>
            <w:vAlign w:val="center"/>
          </w:tcPr>
          <w:p w14:paraId="25753C8B">
            <w:pPr>
              <w:pStyle w:val="94"/>
              <w:rPr>
                <w:color w:val="auto"/>
              </w:rPr>
            </w:pPr>
            <w:r>
              <w:rPr>
                <w:color w:val="auto"/>
              </w:rPr>
              <w:t>1</w:t>
            </w:r>
          </w:p>
        </w:tc>
        <w:tc>
          <w:tcPr>
            <w:tcW w:w="990" w:type="pct"/>
            <w:vMerge w:val="restart"/>
            <w:noWrap/>
            <w:vAlign w:val="center"/>
          </w:tcPr>
          <w:p w14:paraId="1DA064E8">
            <w:pPr>
              <w:pStyle w:val="94"/>
              <w:rPr>
                <w:color w:val="auto"/>
              </w:rPr>
            </w:pPr>
            <w:r>
              <w:rPr>
                <w:rFonts w:hint="eastAsia"/>
                <w:color w:val="auto"/>
              </w:rPr>
              <w:t>井场</w:t>
            </w:r>
          </w:p>
        </w:tc>
        <w:tc>
          <w:tcPr>
            <w:tcW w:w="1313" w:type="pct"/>
            <w:noWrap/>
            <w:vAlign w:val="bottom"/>
          </w:tcPr>
          <w:p w14:paraId="2D4BEBE7">
            <w:pPr>
              <w:pStyle w:val="94"/>
              <w:rPr>
                <w:color w:val="auto"/>
              </w:rPr>
            </w:pPr>
            <w:r>
              <w:rPr>
                <w:color w:val="auto"/>
              </w:rPr>
              <w:t>差</w:t>
            </w:r>
          </w:p>
        </w:tc>
        <w:tc>
          <w:tcPr>
            <w:tcW w:w="909" w:type="pct"/>
            <w:noWrap/>
            <w:vAlign w:val="bottom"/>
          </w:tcPr>
          <w:p w14:paraId="54A5CBAB">
            <w:pPr>
              <w:pStyle w:val="94"/>
              <w:rPr>
                <w:color w:val="auto"/>
              </w:rPr>
            </w:pPr>
            <w:r>
              <w:rPr>
                <w:color w:val="auto"/>
              </w:rPr>
              <w:t xml:space="preserve">4.75 </w:t>
            </w:r>
          </w:p>
        </w:tc>
        <w:tc>
          <w:tcPr>
            <w:tcW w:w="1020" w:type="pct"/>
            <w:noWrap/>
            <w:vAlign w:val="bottom"/>
          </w:tcPr>
          <w:p w14:paraId="77833549">
            <w:pPr>
              <w:pStyle w:val="94"/>
              <w:rPr>
                <w:color w:val="auto"/>
              </w:rPr>
            </w:pPr>
            <w:r>
              <w:rPr>
                <w:color w:val="auto"/>
              </w:rPr>
              <w:t xml:space="preserve">21.91 </w:t>
            </w:r>
          </w:p>
        </w:tc>
      </w:tr>
      <w:tr w14:paraId="784EC4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68" w:type="pct"/>
            <w:noWrap/>
            <w:vAlign w:val="center"/>
          </w:tcPr>
          <w:p w14:paraId="3EF99F75">
            <w:pPr>
              <w:pStyle w:val="94"/>
              <w:rPr>
                <w:color w:val="auto"/>
              </w:rPr>
            </w:pPr>
            <w:r>
              <w:rPr>
                <w:color w:val="auto"/>
              </w:rPr>
              <w:t>2</w:t>
            </w:r>
          </w:p>
        </w:tc>
        <w:tc>
          <w:tcPr>
            <w:tcW w:w="990" w:type="pct"/>
            <w:vMerge w:val="continue"/>
            <w:noWrap/>
            <w:vAlign w:val="center"/>
          </w:tcPr>
          <w:p w14:paraId="09670E6B">
            <w:pPr>
              <w:pStyle w:val="94"/>
              <w:rPr>
                <w:color w:val="auto"/>
              </w:rPr>
            </w:pPr>
          </w:p>
        </w:tc>
        <w:tc>
          <w:tcPr>
            <w:tcW w:w="1313" w:type="pct"/>
            <w:noWrap/>
            <w:vAlign w:val="bottom"/>
          </w:tcPr>
          <w:p w14:paraId="51A0DA37">
            <w:pPr>
              <w:pStyle w:val="94"/>
              <w:rPr>
                <w:color w:val="auto"/>
              </w:rPr>
            </w:pPr>
            <w:r>
              <w:rPr>
                <w:color w:val="auto"/>
              </w:rPr>
              <w:t>较差</w:t>
            </w:r>
          </w:p>
        </w:tc>
        <w:tc>
          <w:tcPr>
            <w:tcW w:w="909" w:type="pct"/>
            <w:noWrap/>
            <w:vAlign w:val="bottom"/>
          </w:tcPr>
          <w:p w14:paraId="22E0446D">
            <w:pPr>
              <w:pStyle w:val="94"/>
              <w:rPr>
                <w:color w:val="auto"/>
              </w:rPr>
            </w:pPr>
            <w:r>
              <w:rPr>
                <w:color w:val="auto"/>
              </w:rPr>
              <w:t xml:space="preserve">7.12 </w:t>
            </w:r>
          </w:p>
        </w:tc>
        <w:tc>
          <w:tcPr>
            <w:tcW w:w="1020" w:type="pct"/>
            <w:noWrap/>
            <w:vAlign w:val="bottom"/>
          </w:tcPr>
          <w:p w14:paraId="10ADD847">
            <w:pPr>
              <w:pStyle w:val="94"/>
              <w:rPr>
                <w:color w:val="auto"/>
              </w:rPr>
            </w:pPr>
            <w:r>
              <w:rPr>
                <w:color w:val="auto"/>
              </w:rPr>
              <w:t xml:space="preserve">32.85 </w:t>
            </w:r>
          </w:p>
        </w:tc>
      </w:tr>
      <w:tr w14:paraId="415EC9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68" w:type="pct"/>
            <w:noWrap/>
            <w:vAlign w:val="center"/>
          </w:tcPr>
          <w:p w14:paraId="00DA2E1B">
            <w:pPr>
              <w:pStyle w:val="94"/>
              <w:rPr>
                <w:color w:val="auto"/>
              </w:rPr>
            </w:pPr>
            <w:r>
              <w:rPr>
                <w:color w:val="auto"/>
              </w:rPr>
              <w:t>3</w:t>
            </w:r>
          </w:p>
        </w:tc>
        <w:tc>
          <w:tcPr>
            <w:tcW w:w="990" w:type="pct"/>
            <w:vMerge w:val="continue"/>
            <w:noWrap/>
            <w:vAlign w:val="center"/>
          </w:tcPr>
          <w:p w14:paraId="4D277E93">
            <w:pPr>
              <w:pStyle w:val="94"/>
              <w:rPr>
                <w:color w:val="auto"/>
              </w:rPr>
            </w:pPr>
          </w:p>
        </w:tc>
        <w:tc>
          <w:tcPr>
            <w:tcW w:w="1313" w:type="pct"/>
            <w:noWrap/>
            <w:vAlign w:val="bottom"/>
          </w:tcPr>
          <w:p w14:paraId="7F2FB327">
            <w:pPr>
              <w:pStyle w:val="94"/>
              <w:rPr>
                <w:color w:val="auto"/>
              </w:rPr>
            </w:pPr>
            <w:r>
              <w:rPr>
                <w:color w:val="auto"/>
              </w:rPr>
              <w:t>中等</w:t>
            </w:r>
          </w:p>
        </w:tc>
        <w:tc>
          <w:tcPr>
            <w:tcW w:w="909" w:type="pct"/>
            <w:noWrap/>
            <w:vAlign w:val="bottom"/>
          </w:tcPr>
          <w:p w14:paraId="63F8DE18">
            <w:pPr>
              <w:pStyle w:val="94"/>
              <w:rPr>
                <w:color w:val="auto"/>
              </w:rPr>
            </w:pPr>
            <w:r>
              <w:rPr>
                <w:color w:val="auto"/>
              </w:rPr>
              <w:t>8.92</w:t>
            </w:r>
          </w:p>
        </w:tc>
        <w:tc>
          <w:tcPr>
            <w:tcW w:w="1020" w:type="pct"/>
            <w:noWrap/>
            <w:vAlign w:val="bottom"/>
          </w:tcPr>
          <w:p w14:paraId="5D6D3388">
            <w:pPr>
              <w:pStyle w:val="94"/>
              <w:rPr>
                <w:color w:val="auto"/>
              </w:rPr>
            </w:pPr>
            <w:r>
              <w:rPr>
                <w:color w:val="auto"/>
              </w:rPr>
              <w:t xml:space="preserve">41.11 </w:t>
            </w:r>
          </w:p>
        </w:tc>
      </w:tr>
      <w:tr w14:paraId="5948E8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68" w:type="pct"/>
            <w:noWrap/>
            <w:vAlign w:val="center"/>
          </w:tcPr>
          <w:p w14:paraId="6C5450CA">
            <w:pPr>
              <w:pStyle w:val="94"/>
              <w:rPr>
                <w:color w:val="auto"/>
              </w:rPr>
            </w:pPr>
            <w:r>
              <w:rPr>
                <w:rFonts w:hint="eastAsia"/>
                <w:color w:val="auto"/>
              </w:rPr>
              <w:t>4</w:t>
            </w:r>
          </w:p>
        </w:tc>
        <w:tc>
          <w:tcPr>
            <w:tcW w:w="990" w:type="pct"/>
            <w:vMerge w:val="continue"/>
            <w:noWrap/>
            <w:vAlign w:val="center"/>
          </w:tcPr>
          <w:p w14:paraId="79AC3763">
            <w:pPr>
              <w:pStyle w:val="94"/>
              <w:rPr>
                <w:color w:val="auto"/>
              </w:rPr>
            </w:pPr>
          </w:p>
        </w:tc>
        <w:tc>
          <w:tcPr>
            <w:tcW w:w="1313" w:type="pct"/>
            <w:noWrap/>
            <w:vAlign w:val="bottom"/>
          </w:tcPr>
          <w:p w14:paraId="5ED5C148">
            <w:pPr>
              <w:pStyle w:val="94"/>
              <w:rPr>
                <w:color w:val="auto"/>
              </w:rPr>
            </w:pPr>
            <w:r>
              <w:rPr>
                <w:color w:val="auto"/>
              </w:rPr>
              <w:t>较好</w:t>
            </w:r>
          </w:p>
        </w:tc>
        <w:tc>
          <w:tcPr>
            <w:tcW w:w="909" w:type="pct"/>
            <w:noWrap/>
            <w:vAlign w:val="bottom"/>
          </w:tcPr>
          <w:p w14:paraId="4964CBC9">
            <w:pPr>
              <w:pStyle w:val="94"/>
              <w:rPr>
                <w:color w:val="auto"/>
              </w:rPr>
            </w:pPr>
            <w:r>
              <w:rPr>
                <w:color w:val="auto"/>
              </w:rPr>
              <w:t xml:space="preserve">0.90 </w:t>
            </w:r>
          </w:p>
        </w:tc>
        <w:tc>
          <w:tcPr>
            <w:tcW w:w="1020" w:type="pct"/>
            <w:noWrap/>
            <w:vAlign w:val="bottom"/>
          </w:tcPr>
          <w:p w14:paraId="3AEAB5B0">
            <w:pPr>
              <w:pStyle w:val="94"/>
              <w:rPr>
                <w:color w:val="auto"/>
              </w:rPr>
            </w:pPr>
            <w:r>
              <w:rPr>
                <w:color w:val="auto"/>
              </w:rPr>
              <w:t xml:space="preserve">4.13 </w:t>
            </w:r>
          </w:p>
        </w:tc>
      </w:tr>
      <w:tr w14:paraId="67A02763">
        <w:tblPrEx>
          <w:tblCellMar>
            <w:top w:w="0" w:type="dxa"/>
            <w:left w:w="108" w:type="dxa"/>
            <w:bottom w:w="0" w:type="dxa"/>
            <w:right w:w="108" w:type="dxa"/>
          </w:tblCellMar>
        </w:tblPrEx>
        <w:trPr>
          <w:trHeight w:val="255" w:hRule="atLeast"/>
        </w:trPr>
        <w:tc>
          <w:tcPr>
            <w:tcW w:w="3071" w:type="pct"/>
            <w:gridSpan w:val="3"/>
            <w:noWrap/>
            <w:vAlign w:val="center"/>
          </w:tcPr>
          <w:p w14:paraId="5D0655C7">
            <w:pPr>
              <w:pStyle w:val="94"/>
              <w:rPr>
                <w:color w:val="auto"/>
              </w:rPr>
            </w:pPr>
            <w:r>
              <w:rPr>
                <w:rFonts w:hint="eastAsia"/>
                <w:color w:val="auto"/>
              </w:rPr>
              <w:t>小计</w:t>
            </w:r>
          </w:p>
        </w:tc>
        <w:tc>
          <w:tcPr>
            <w:tcW w:w="909" w:type="pct"/>
            <w:noWrap/>
            <w:vAlign w:val="bottom"/>
          </w:tcPr>
          <w:p w14:paraId="57159D04">
            <w:pPr>
              <w:pStyle w:val="94"/>
              <w:rPr>
                <w:color w:val="auto"/>
              </w:rPr>
            </w:pPr>
            <w:r>
              <w:rPr>
                <w:color w:val="auto"/>
              </w:rPr>
              <w:t>21.69</w:t>
            </w:r>
          </w:p>
        </w:tc>
        <w:tc>
          <w:tcPr>
            <w:tcW w:w="1020" w:type="pct"/>
            <w:noWrap/>
            <w:vAlign w:val="bottom"/>
          </w:tcPr>
          <w:p w14:paraId="7335879B">
            <w:pPr>
              <w:pStyle w:val="94"/>
              <w:rPr>
                <w:color w:val="auto"/>
              </w:rPr>
            </w:pPr>
            <w:r>
              <w:rPr>
                <w:color w:val="auto"/>
              </w:rPr>
              <w:t xml:space="preserve">100.00 </w:t>
            </w:r>
          </w:p>
        </w:tc>
      </w:tr>
      <w:tr w14:paraId="05D3C6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68" w:type="pct"/>
            <w:noWrap/>
            <w:vAlign w:val="center"/>
          </w:tcPr>
          <w:p w14:paraId="0613F854">
            <w:pPr>
              <w:pStyle w:val="94"/>
              <w:rPr>
                <w:color w:val="auto"/>
              </w:rPr>
            </w:pPr>
            <w:r>
              <w:rPr>
                <w:color w:val="auto"/>
              </w:rPr>
              <w:t>1</w:t>
            </w:r>
          </w:p>
        </w:tc>
        <w:tc>
          <w:tcPr>
            <w:tcW w:w="990" w:type="pct"/>
            <w:vMerge w:val="restart"/>
            <w:noWrap/>
            <w:vAlign w:val="center"/>
          </w:tcPr>
          <w:p w14:paraId="472A6F8E">
            <w:pPr>
              <w:pStyle w:val="94"/>
              <w:rPr>
                <w:color w:val="auto"/>
              </w:rPr>
            </w:pPr>
            <w:r>
              <w:rPr>
                <w:color w:val="auto"/>
              </w:rPr>
              <w:t>井场</w:t>
            </w:r>
            <w:r>
              <w:rPr>
                <w:rFonts w:hint="eastAsia"/>
                <w:color w:val="auto"/>
              </w:rPr>
              <w:t>道路</w:t>
            </w:r>
          </w:p>
        </w:tc>
        <w:tc>
          <w:tcPr>
            <w:tcW w:w="1313" w:type="pct"/>
            <w:noWrap/>
            <w:vAlign w:val="bottom"/>
          </w:tcPr>
          <w:p w14:paraId="4206678A">
            <w:pPr>
              <w:pStyle w:val="94"/>
              <w:rPr>
                <w:color w:val="auto"/>
              </w:rPr>
            </w:pPr>
            <w:r>
              <w:rPr>
                <w:color w:val="auto"/>
              </w:rPr>
              <w:t>差</w:t>
            </w:r>
          </w:p>
        </w:tc>
        <w:tc>
          <w:tcPr>
            <w:tcW w:w="909" w:type="pct"/>
            <w:noWrap/>
            <w:vAlign w:val="bottom"/>
          </w:tcPr>
          <w:p w14:paraId="0ABEE184">
            <w:pPr>
              <w:pStyle w:val="94"/>
              <w:rPr>
                <w:color w:val="auto"/>
              </w:rPr>
            </w:pPr>
            <w:r>
              <w:rPr>
                <w:color w:val="auto"/>
              </w:rPr>
              <w:t xml:space="preserve">0.14 </w:t>
            </w:r>
          </w:p>
        </w:tc>
        <w:tc>
          <w:tcPr>
            <w:tcW w:w="1020" w:type="pct"/>
            <w:noWrap/>
            <w:vAlign w:val="bottom"/>
          </w:tcPr>
          <w:p w14:paraId="57DE4A43">
            <w:pPr>
              <w:pStyle w:val="94"/>
              <w:rPr>
                <w:color w:val="auto"/>
              </w:rPr>
            </w:pPr>
            <w:r>
              <w:rPr>
                <w:color w:val="auto"/>
              </w:rPr>
              <w:t xml:space="preserve">11.52 </w:t>
            </w:r>
          </w:p>
        </w:tc>
      </w:tr>
      <w:tr w14:paraId="402784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68" w:type="pct"/>
            <w:noWrap/>
            <w:vAlign w:val="center"/>
          </w:tcPr>
          <w:p w14:paraId="28808338">
            <w:pPr>
              <w:pStyle w:val="94"/>
              <w:rPr>
                <w:color w:val="auto"/>
              </w:rPr>
            </w:pPr>
            <w:r>
              <w:rPr>
                <w:color w:val="auto"/>
              </w:rPr>
              <w:t>2</w:t>
            </w:r>
          </w:p>
        </w:tc>
        <w:tc>
          <w:tcPr>
            <w:tcW w:w="990" w:type="pct"/>
            <w:vMerge w:val="continue"/>
            <w:noWrap/>
            <w:vAlign w:val="center"/>
          </w:tcPr>
          <w:p w14:paraId="6536D601">
            <w:pPr>
              <w:pStyle w:val="94"/>
              <w:rPr>
                <w:color w:val="auto"/>
              </w:rPr>
            </w:pPr>
          </w:p>
        </w:tc>
        <w:tc>
          <w:tcPr>
            <w:tcW w:w="1313" w:type="pct"/>
            <w:noWrap/>
            <w:vAlign w:val="bottom"/>
          </w:tcPr>
          <w:p w14:paraId="03BCDC54">
            <w:pPr>
              <w:pStyle w:val="94"/>
              <w:rPr>
                <w:color w:val="auto"/>
              </w:rPr>
            </w:pPr>
            <w:r>
              <w:rPr>
                <w:color w:val="auto"/>
              </w:rPr>
              <w:t>较差</w:t>
            </w:r>
          </w:p>
        </w:tc>
        <w:tc>
          <w:tcPr>
            <w:tcW w:w="909" w:type="pct"/>
            <w:noWrap/>
            <w:vAlign w:val="bottom"/>
          </w:tcPr>
          <w:p w14:paraId="7F5D2E92">
            <w:pPr>
              <w:pStyle w:val="94"/>
              <w:rPr>
                <w:color w:val="auto"/>
              </w:rPr>
            </w:pPr>
            <w:r>
              <w:rPr>
                <w:color w:val="auto"/>
              </w:rPr>
              <w:t xml:space="preserve">0.20 </w:t>
            </w:r>
          </w:p>
        </w:tc>
        <w:tc>
          <w:tcPr>
            <w:tcW w:w="1020" w:type="pct"/>
            <w:noWrap/>
            <w:vAlign w:val="bottom"/>
          </w:tcPr>
          <w:p w14:paraId="34D08FC0">
            <w:pPr>
              <w:pStyle w:val="94"/>
              <w:rPr>
                <w:color w:val="auto"/>
              </w:rPr>
            </w:pPr>
            <w:r>
              <w:rPr>
                <w:color w:val="auto"/>
              </w:rPr>
              <w:t xml:space="preserve">16.09 </w:t>
            </w:r>
          </w:p>
        </w:tc>
      </w:tr>
      <w:tr w14:paraId="43B0CB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68" w:type="pct"/>
            <w:noWrap/>
            <w:vAlign w:val="center"/>
          </w:tcPr>
          <w:p w14:paraId="4707955C">
            <w:pPr>
              <w:pStyle w:val="94"/>
              <w:rPr>
                <w:color w:val="auto"/>
              </w:rPr>
            </w:pPr>
            <w:r>
              <w:rPr>
                <w:color w:val="auto"/>
              </w:rPr>
              <w:t>3</w:t>
            </w:r>
          </w:p>
        </w:tc>
        <w:tc>
          <w:tcPr>
            <w:tcW w:w="990" w:type="pct"/>
            <w:vMerge w:val="continue"/>
            <w:noWrap/>
            <w:vAlign w:val="center"/>
          </w:tcPr>
          <w:p w14:paraId="08F9B56E">
            <w:pPr>
              <w:pStyle w:val="94"/>
              <w:rPr>
                <w:color w:val="auto"/>
              </w:rPr>
            </w:pPr>
          </w:p>
        </w:tc>
        <w:tc>
          <w:tcPr>
            <w:tcW w:w="1313" w:type="pct"/>
            <w:noWrap/>
            <w:vAlign w:val="bottom"/>
          </w:tcPr>
          <w:p w14:paraId="6EB1E99E">
            <w:pPr>
              <w:pStyle w:val="94"/>
              <w:rPr>
                <w:color w:val="auto"/>
              </w:rPr>
            </w:pPr>
            <w:r>
              <w:rPr>
                <w:color w:val="auto"/>
              </w:rPr>
              <w:t>中等</w:t>
            </w:r>
          </w:p>
        </w:tc>
        <w:tc>
          <w:tcPr>
            <w:tcW w:w="909" w:type="pct"/>
            <w:noWrap/>
            <w:vAlign w:val="bottom"/>
          </w:tcPr>
          <w:p w14:paraId="3A5C3621">
            <w:pPr>
              <w:pStyle w:val="94"/>
              <w:rPr>
                <w:color w:val="auto"/>
              </w:rPr>
            </w:pPr>
            <w:r>
              <w:rPr>
                <w:color w:val="auto"/>
              </w:rPr>
              <w:t xml:space="preserve">0.75 </w:t>
            </w:r>
          </w:p>
        </w:tc>
        <w:tc>
          <w:tcPr>
            <w:tcW w:w="1020" w:type="pct"/>
            <w:noWrap/>
            <w:vAlign w:val="bottom"/>
          </w:tcPr>
          <w:p w14:paraId="7E9560D5">
            <w:pPr>
              <w:pStyle w:val="94"/>
              <w:rPr>
                <w:color w:val="auto"/>
              </w:rPr>
            </w:pPr>
            <w:r>
              <w:rPr>
                <w:color w:val="auto"/>
              </w:rPr>
              <w:t xml:space="preserve">60.65 </w:t>
            </w:r>
          </w:p>
        </w:tc>
      </w:tr>
      <w:tr w14:paraId="1DE65F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68" w:type="pct"/>
            <w:noWrap/>
            <w:vAlign w:val="center"/>
          </w:tcPr>
          <w:p w14:paraId="70708598">
            <w:pPr>
              <w:pStyle w:val="94"/>
              <w:rPr>
                <w:color w:val="auto"/>
              </w:rPr>
            </w:pPr>
            <w:r>
              <w:rPr>
                <w:rFonts w:hint="eastAsia"/>
                <w:color w:val="auto"/>
              </w:rPr>
              <w:t>4</w:t>
            </w:r>
          </w:p>
        </w:tc>
        <w:tc>
          <w:tcPr>
            <w:tcW w:w="990" w:type="pct"/>
            <w:vMerge w:val="continue"/>
            <w:noWrap/>
            <w:vAlign w:val="center"/>
          </w:tcPr>
          <w:p w14:paraId="27C21427">
            <w:pPr>
              <w:pStyle w:val="94"/>
              <w:rPr>
                <w:color w:val="auto"/>
              </w:rPr>
            </w:pPr>
          </w:p>
        </w:tc>
        <w:tc>
          <w:tcPr>
            <w:tcW w:w="1313" w:type="pct"/>
            <w:noWrap/>
            <w:vAlign w:val="bottom"/>
          </w:tcPr>
          <w:p w14:paraId="5B8BE06D">
            <w:pPr>
              <w:pStyle w:val="94"/>
              <w:rPr>
                <w:color w:val="auto"/>
              </w:rPr>
            </w:pPr>
            <w:r>
              <w:rPr>
                <w:color w:val="auto"/>
              </w:rPr>
              <w:t>较好</w:t>
            </w:r>
          </w:p>
        </w:tc>
        <w:tc>
          <w:tcPr>
            <w:tcW w:w="909" w:type="pct"/>
            <w:noWrap/>
            <w:vAlign w:val="bottom"/>
          </w:tcPr>
          <w:p w14:paraId="202DA1A6">
            <w:pPr>
              <w:pStyle w:val="94"/>
              <w:rPr>
                <w:color w:val="auto"/>
              </w:rPr>
            </w:pPr>
            <w:r>
              <w:rPr>
                <w:color w:val="auto"/>
              </w:rPr>
              <w:t>0.13</w:t>
            </w:r>
          </w:p>
        </w:tc>
        <w:tc>
          <w:tcPr>
            <w:tcW w:w="1020" w:type="pct"/>
            <w:noWrap/>
            <w:vAlign w:val="bottom"/>
          </w:tcPr>
          <w:p w14:paraId="119F0DF0">
            <w:pPr>
              <w:pStyle w:val="94"/>
              <w:rPr>
                <w:color w:val="auto"/>
              </w:rPr>
            </w:pPr>
            <w:r>
              <w:rPr>
                <w:color w:val="auto"/>
              </w:rPr>
              <w:t xml:space="preserve">11.74 </w:t>
            </w:r>
          </w:p>
        </w:tc>
      </w:tr>
      <w:tr w14:paraId="6EB36F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071" w:type="pct"/>
            <w:gridSpan w:val="3"/>
            <w:noWrap/>
            <w:vAlign w:val="center"/>
          </w:tcPr>
          <w:p w14:paraId="29E0AA10">
            <w:pPr>
              <w:pStyle w:val="94"/>
              <w:rPr>
                <w:color w:val="auto"/>
              </w:rPr>
            </w:pPr>
            <w:r>
              <w:rPr>
                <w:rFonts w:hint="eastAsia"/>
                <w:color w:val="auto"/>
              </w:rPr>
              <w:t>小计</w:t>
            </w:r>
          </w:p>
        </w:tc>
        <w:tc>
          <w:tcPr>
            <w:tcW w:w="909" w:type="pct"/>
            <w:noWrap/>
            <w:vAlign w:val="center"/>
          </w:tcPr>
          <w:p w14:paraId="2AE8E7CE">
            <w:pPr>
              <w:pStyle w:val="94"/>
              <w:rPr>
                <w:color w:val="auto"/>
              </w:rPr>
            </w:pPr>
            <w:r>
              <w:rPr>
                <w:color w:val="auto"/>
              </w:rPr>
              <w:t>1.23</w:t>
            </w:r>
          </w:p>
        </w:tc>
        <w:tc>
          <w:tcPr>
            <w:tcW w:w="1020" w:type="pct"/>
            <w:noWrap/>
            <w:vAlign w:val="center"/>
          </w:tcPr>
          <w:p w14:paraId="441181F5">
            <w:pPr>
              <w:pStyle w:val="94"/>
              <w:rPr>
                <w:color w:val="auto"/>
              </w:rPr>
            </w:pPr>
            <w:r>
              <w:rPr>
                <w:color w:val="auto"/>
              </w:rPr>
              <w:t xml:space="preserve">100.00 </w:t>
            </w:r>
          </w:p>
        </w:tc>
      </w:tr>
      <w:tr w14:paraId="2D0136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2" w:hRule="atLeast"/>
        </w:trPr>
        <w:tc>
          <w:tcPr>
            <w:tcW w:w="3071" w:type="pct"/>
            <w:gridSpan w:val="3"/>
            <w:noWrap/>
            <w:vAlign w:val="center"/>
          </w:tcPr>
          <w:p w14:paraId="74D1A5E8">
            <w:pPr>
              <w:pStyle w:val="94"/>
              <w:rPr>
                <w:color w:val="auto"/>
              </w:rPr>
            </w:pPr>
            <w:r>
              <w:rPr>
                <w:rFonts w:hint="eastAsia"/>
                <w:color w:val="auto"/>
              </w:rPr>
              <w:t>合计</w:t>
            </w:r>
          </w:p>
        </w:tc>
        <w:tc>
          <w:tcPr>
            <w:tcW w:w="909" w:type="pct"/>
            <w:noWrap/>
            <w:vAlign w:val="center"/>
          </w:tcPr>
          <w:p w14:paraId="29D69AD0">
            <w:pPr>
              <w:pStyle w:val="94"/>
              <w:rPr>
                <w:color w:val="auto"/>
              </w:rPr>
            </w:pPr>
            <w:r>
              <w:rPr>
                <w:color w:val="auto"/>
              </w:rPr>
              <w:t>22.91</w:t>
            </w:r>
          </w:p>
        </w:tc>
        <w:tc>
          <w:tcPr>
            <w:tcW w:w="1020" w:type="pct"/>
            <w:noWrap/>
            <w:vAlign w:val="center"/>
          </w:tcPr>
          <w:p w14:paraId="28FDD5D6">
            <w:pPr>
              <w:pStyle w:val="94"/>
              <w:rPr>
                <w:color w:val="auto"/>
              </w:rPr>
            </w:pPr>
            <w:r>
              <w:rPr>
                <w:color w:val="auto"/>
              </w:rPr>
              <w:t>100</w:t>
            </w:r>
          </w:p>
        </w:tc>
      </w:tr>
    </w:tbl>
    <w:p w14:paraId="228288BB">
      <w:pPr>
        <w:pStyle w:val="96"/>
        <w:ind w:firstLine="480"/>
      </w:pPr>
      <w:r>
        <w:rPr>
          <w:rFonts w:hint="eastAsia"/>
        </w:rPr>
        <w:t>从上表中可知，本项目评价范围生境质量整体中等，中等生境质量占比为</w:t>
      </w:r>
      <w:r>
        <w:t>57.62</w:t>
      </w:r>
      <w:r>
        <w:rPr>
          <w:rFonts w:hint="eastAsia"/>
        </w:rPr>
        <w:t>%，占比最大。井场道路占地范围内中等生境质量占比为</w:t>
      </w:r>
      <w:r>
        <w:t>60.65</w:t>
      </w:r>
      <w:r>
        <w:rPr>
          <w:rFonts w:hint="eastAsia"/>
        </w:rPr>
        <w:t>%，占比最大，井场占地范围内中等生境质量占比为</w:t>
      </w:r>
      <w:r>
        <w:t>41.11</w:t>
      </w:r>
      <w:r>
        <w:rPr>
          <w:rFonts w:hint="eastAsia"/>
        </w:rPr>
        <w:t>%，占比最大。</w:t>
      </w:r>
    </w:p>
    <w:p w14:paraId="001E7D25">
      <w:pPr>
        <w:sectPr>
          <w:pgSz w:w="11906" w:h="16838"/>
          <w:pgMar w:top="720" w:right="720" w:bottom="720" w:left="720" w:header="851" w:footer="1077" w:gutter="0"/>
          <w:cols w:space="425" w:num="1"/>
          <w:docGrid w:linePitch="312" w:charSpace="0"/>
        </w:sectPr>
      </w:pPr>
    </w:p>
    <w:p w14:paraId="751CD57A">
      <w:pPr>
        <w:keepNext/>
        <w:jc w:val="center"/>
      </w:pPr>
      <w:r>
        <w:drawing>
          <wp:inline distT="0" distB="0" distL="0" distR="0">
            <wp:extent cx="12592050" cy="8909685"/>
            <wp:effectExtent l="0" t="0" r="0"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2606267" cy="8920075"/>
                    </a:xfrm>
                    <a:prstGeom prst="rect">
                      <a:avLst/>
                    </a:prstGeom>
                  </pic:spPr>
                </pic:pic>
              </a:graphicData>
            </a:graphic>
          </wp:inline>
        </w:drawing>
      </w:r>
    </w:p>
    <w:p w14:paraId="6E368D46">
      <w:pPr>
        <w:pStyle w:val="19"/>
      </w:pPr>
      <w:r>
        <w:t xml:space="preserve">图 </w:t>
      </w:r>
      <w:r>
        <w:fldChar w:fldCharType="begin"/>
      </w:r>
      <w:r>
        <w:instrText xml:space="preserve"> SEQ 图 \* ARABIC </w:instrText>
      </w:r>
      <w:r>
        <w:fldChar w:fldCharType="separate"/>
      </w:r>
      <w:r>
        <w:t>9</w:t>
      </w:r>
      <w:r>
        <w:fldChar w:fldCharType="end"/>
      </w:r>
      <w:r>
        <w:rPr>
          <w:rFonts w:hint="eastAsia"/>
        </w:rPr>
        <w:t>本项目野生动物生境质量指数分布图</w:t>
      </w:r>
    </w:p>
    <w:p w14:paraId="18EDFDE2">
      <w:pPr>
        <w:pStyle w:val="4"/>
        <w:sectPr>
          <w:pgSz w:w="23808" w:h="16840" w:orient="landscape"/>
          <w:pgMar w:top="720" w:right="720" w:bottom="720" w:left="720" w:header="851" w:footer="1077" w:gutter="0"/>
          <w:cols w:space="425" w:num="1"/>
          <w:docGrid w:linePitch="312" w:charSpace="0"/>
        </w:sectPr>
      </w:pPr>
    </w:p>
    <w:p w14:paraId="6D35641E">
      <w:pPr>
        <w:pStyle w:val="4"/>
      </w:pPr>
      <w:bookmarkStart w:id="157" w:name="_Toc171579825"/>
      <w:r>
        <w:t>水土流失现状与评价</w:t>
      </w:r>
      <w:bookmarkEnd w:id="157"/>
    </w:p>
    <w:p w14:paraId="344ED26D">
      <w:pPr>
        <w:pStyle w:val="5"/>
      </w:pPr>
      <w:r>
        <w:t>区域水土流失防治区划</w:t>
      </w:r>
    </w:p>
    <w:p w14:paraId="4EEB7F6E">
      <w:pPr>
        <w:pStyle w:val="96"/>
        <w:ind w:firstLine="480"/>
      </w:pPr>
      <w:r>
        <w:rPr>
          <w:rFonts w:hint="eastAsia"/>
        </w:rPr>
        <w:t>本项目建设工程位于兴县，根据《全国水土保持区域（试行）》（办水保〔</w:t>
      </w:r>
      <w:r>
        <w:t>2012〕512 号）和《山西省水土保持规划》（2016-2030年），项目实施区域属于“</w:t>
      </w:r>
      <w:r>
        <w:rPr>
          <w:rFonts w:hint="eastAsia"/>
        </w:rPr>
        <w:t>黄河多沙粗沙国家级水土流失重点治理区</w:t>
      </w:r>
      <w:r>
        <w:t>”，该区水土保持主导功能为</w:t>
      </w:r>
      <w:r>
        <w:rPr>
          <w:rFonts w:hint="eastAsia"/>
        </w:rPr>
        <w:t>拦沙减沙，综合治理方向为：沟道建设淤地坝，并治滩整地；发育侵蚀沟布设沟头防护工程；正在耕种的缓坡地建设水平梯田；沟坡栽植水保林。</w:t>
      </w:r>
    </w:p>
    <w:p w14:paraId="3B848504">
      <w:pPr>
        <w:pStyle w:val="96"/>
        <w:ind w:firstLine="480"/>
      </w:pPr>
      <w:r>
        <w:rPr>
          <w:rFonts w:hint="eastAsia"/>
        </w:rPr>
        <w:t>根据全国水土保持区划，</w:t>
      </w:r>
      <w:r>
        <w:t>项目区属于</w:t>
      </w:r>
      <w:r>
        <w:rPr>
          <w:rFonts w:hint="eastAsia"/>
        </w:rPr>
        <w:t>黄河东岸黄土丘陵沟壑区</w:t>
      </w:r>
      <w:r>
        <w:t>，土壤侵蚀以强度水力侵蚀为主。</w:t>
      </w:r>
    </w:p>
    <w:p w14:paraId="65EFAD10">
      <w:pPr>
        <w:pStyle w:val="5"/>
      </w:pPr>
      <w:r>
        <w:rPr>
          <w:rFonts w:hint="eastAsia"/>
        </w:rPr>
        <w:t>土壤侵蚀现状调查</w:t>
      </w:r>
    </w:p>
    <w:p w14:paraId="36CF2B03">
      <w:pPr>
        <w:pStyle w:val="96"/>
        <w:ind w:firstLine="480"/>
        <w:rPr>
          <w:rFonts w:ascii="Times New Roman" w:hAnsi="Times New Roman"/>
        </w:rPr>
      </w:pPr>
      <w:r>
        <w:t>（</w:t>
      </w:r>
      <w:r>
        <w:rPr>
          <w:rFonts w:ascii="Times New Roman" w:hAnsi="Times New Roman"/>
        </w:rPr>
        <w:t>1</w:t>
      </w:r>
      <w:r>
        <w:t>）土壤侵蚀强度分级原则</w:t>
      </w:r>
    </w:p>
    <w:p w14:paraId="44B1D0A8">
      <w:pPr>
        <w:pStyle w:val="96"/>
        <w:ind w:firstLine="480"/>
        <w:rPr>
          <w:rFonts w:ascii="Times New Roman" w:hAnsi="Times New Roman"/>
        </w:rPr>
      </w:pPr>
      <w:r>
        <w:rPr>
          <w:rFonts w:hint="eastAsia"/>
        </w:rPr>
        <w:t>根据《土壤侵蚀分类分级标准》（</w:t>
      </w:r>
      <w:r>
        <w:t>SL190-2007），项目区属于以水力侵蚀为主的</w:t>
      </w:r>
      <w:r>
        <w:rPr>
          <w:rFonts w:hint="eastAsia"/>
        </w:rPr>
        <w:t>黄土高原区</w:t>
      </w:r>
      <w:r>
        <w:t>，容许土壤流失量为1000t/km</w:t>
      </w:r>
      <w:r>
        <w:rPr>
          <w:vertAlign w:val="superscript"/>
        </w:rPr>
        <w:t>2</w:t>
      </w:r>
      <w:r>
        <w:t>•a。土壤侵蚀强度分级标准见下表。</w:t>
      </w:r>
    </w:p>
    <w:p w14:paraId="749E8A34">
      <w:pPr>
        <w:pStyle w:val="19"/>
        <w:keepNext/>
        <w:ind w:firstLine="480"/>
      </w:pPr>
      <w:r>
        <w:t xml:space="preserve">表 </w:t>
      </w:r>
      <w:r>
        <w:fldChar w:fldCharType="begin"/>
      </w:r>
      <w:r>
        <w:instrText xml:space="preserve"> SEQ 表 \* ARABIC </w:instrText>
      </w:r>
      <w:r>
        <w:fldChar w:fldCharType="separate"/>
      </w:r>
      <w:r>
        <w:t>84</w:t>
      </w:r>
      <w:r>
        <w:fldChar w:fldCharType="end"/>
      </w:r>
      <w:r>
        <w:rPr>
          <w:rFonts w:hint="eastAsia"/>
        </w:rPr>
        <w:t>土壤侵蚀强度分级标准</w:t>
      </w:r>
    </w:p>
    <w:tbl>
      <w:tblPr>
        <w:tblStyle w:val="7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15"/>
        <w:gridCol w:w="4516"/>
        <w:gridCol w:w="3951"/>
      </w:tblGrid>
      <w:tr w14:paraId="65F97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7" w:type="pct"/>
            <w:tcBorders>
              <w:top w:val="single" w:color="auto" w:sz="4" w:space="0"/>
              <w:left w:val="single" w:color="auto" w:sz="4" w:space="0"/>
              <w:bottom w:val="single" w:color="auto" w:sz="4" w:space="0"/>
              <w:right w:val="single" w:color="auto" w:sz="4" w:space="0"/>
            </w:tcBorders>
            <w:vAlign w:val="center"/>
          </w:tcPr>
          <w:p w14:paraId="0128F08B">
            <w:pPr>
              <w:pStyle w:val="94"/>
              <w:rPr>
                <w:color w:val="auto"/>
              </w:rPr>
            </w:pPr>
            <w:r>
              <w:rPr>
                <w:rFonts w:hint="eastAsia"/>
                <w:color w:val="auto"/>
              </w:rPr>
              <w:t>级别</w:t>
            </w:r>
          </w:p>
        </w:tc>
        <w:tc>
          <w:tcPr>
            <w:tcW w:w="2114" w:type="pct"/>
            <w:tcBorders>
              <w:top w:val="single" w:color="auto" w:sz="4" w:space="0"/>
              <w:left w:val="single" w:color="auto" w:sz="4" w:space="0"/>
              <w:bottom w:val="single" w:color="auto" w:sz="4" w:space="0"/>
              <w:right w:val="single" w:color="auto" w:sz="4" w:space="0"/>
            </w:tcBorders>
            <w:vAlign w:val="center"/>
          </w:tcPr>
          <w:p w14:paraId="1AA0BD85">
            <w:pPr>
              <w:pStyle w:val="94"/>
              <w:rPr>
                <w:color w:val="auto"/>
              </w:rPr>
            </w:pPr>
            <w:r>
              <w:rPr>
                <w:rFonts w:hint="eastAsia"/>
                <w:color w:val="auto"/>
              </w:rPr>
              <w:t>平均侵蚀模数t/（km</w:t>
            </w:r>
            <w:r>
              <w:rPr>
                <w:rFonts w:hint="eastAsia"/>
                <w:color w:val="auto"/>
                <w:vertAlign w:val="superscript"/>
              </w:rPr>
              <w:t>2</w:t>
            </w:r>
            <w:r>
              <w:rPr>
                <w:rFonts w:hint="eastAsia"/>
                <w:color w:val="auto"/>
              </w:rPr>
              <w:t>·a）</w:t>
            </w:r>
          </w:p>
        </w:tc>
        <w:tc>
          <w:tcPr>
            <w:tcW w:w="1849" w:type="pct"/>
            <w:tcBorders>
              <w:top w:val="single" w:color="auto" w:sz="4" w:space="0"/>
              <w:left w:val="single" w:color="auto" w:sz="4" w:space="0"/>
              <w:bottom w:val="single" w:color="auto" w:sz="4" w:space="0"/>
              <w:right w:val="single" w:color="auto" w:sz="4" w:space="0"/>
            </w:tcBorders>
            <w:vAlign w:val="center"/>
          </w:tcPr>
          <w:p w14:paraId="23935390">
            <w:pPr>
              <w:pStyle w:val="94"/>
              <w:rPr>
                <w:color w:val="auto"/>
              </w:rPr>
            </w:pPr>
            <w:r>
              <w:rPr>
                <w:rFonts w:hint="eastAsia"/>
                <w:color w:val="auto"/>
              </w:rPr>
              <w:t>平均流失厚度（mm/a）</w:t>
            </w:r>
          </w:p>
        </w:tc>
      </w:tr>
      <w:tr w14:paraId="31A9C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7" w:type="pct"/>
            <w:tcBorders>
              <w:top w:val="single" w:color="auto" w:sz="4" w:space="0"/>
              <w:left w:val="single" w:color="auto" w:sz="4" w:space="0"/>
              <w:bottom w:val="single" w:color="auto" w:sz="4" w:space="0"/>
              <w:right w:val="single" w:color="auto" w:sz="4" w:space="0"/>
            </w:tcBorders>
            <w:vAlign w:val="center"/>
          </w:tcPr>
          <w:p w14:paraId="2F0EC69E">
            <w:pPr>
              <w:pStyle w:val="94"/>
              <w:rPr>
                <w:color w:val="auto"/>
              </w:rPr>
            </w:pPr>
            <w:r>
              <w:rPr>
                <w:rFonts w:hint="eastAsia"/>
                <w:color w:val="auto"/>
              </w:rPr>
              <w:t>微度</w:t>
            </w:r>
          </w:p>
        </w:tc>
        <w:tc>
          <w:tcPr>
            <w:tcW w:w="2114" w:type="pct"/>
            <w:tcBorders>
              <w:top w:val="single" w:color="auto" w:sz="4" w:space="0"/>
              <w:left w:val="single" w:color="auto" w:sz="4" w:space="0"/>
              <w:bottom w:val="single" w:color="auto" w:sz="4" w:space="0"/>
              <w:right w:val="single" w:color="auto" w:sz="4" w:space="0"/>
            </w:tcBorders>
            <w:vAlign w:val="center"/>
          </w:tcPr>
          <w:p w14:paraId="64E66F77">
            <w:pPr>
              <w:pStyle w:val="94"/>
              <w:rPr>
                <w:color w:val="auto"/>
              </w:rPr>
            </w:pPr>
            <w:r>
              <w:rPr>
                <w:rFonts w:hint="eastAsia"/>
                <w:color w:val="auto"/>
              </w:rPr>
              <w:t>＜</w:t>
            </w:r>
            <w:r>
              <w:rPr>
                <w:color w:val="auto"/>
              </w:rPr>
              <w:t>10</w:t>
            </w:r>
            <w:r>
              <w:rPr>
                <w:rFonts w:hint="eastAsia"/>
                <w:color w:val="auto"/>
              </w:rPr>
              <w:t>00</w:t>
            </w:r>
          </w:p>
        </w:tc>
        <w:tc>
          <w:tcPr>
            <w:tcW w:w="1849" w:type="pct"/>
            <w:tcBorders>
              <w:top w:val="single" w:color="auto" w:sz="4" w:space="0"/>
              <w:left w:val="single" w:color="auto" w:sz="4" w:space="0"/>
              <w:bottom w:val="single" w:color="auto" w:sz="4" w:space="0"/>
              <w:right w:val="single" w:color="auto" w:sz="4" w:space="0"/>
            </w:tcBorders>
            <w:vAlign w:val="center"/>
          </w:tcPr>
          <w:p w14:paraId="774F20C9">
            <w:pPr>
              <w:pStyle w:val="94"/>
              <w:rPr>
                <w:color w:val="auto"/>
              </w:rPr>
            </w:pPr>
            <w:r>
              <w:rPr>
                <w:rFonts w:hint="eastAsia"/>
                <w:color w:val="auto"/>
              </w:rPr>
              <w:t>＜0.74</w:t>
            </w:r>
          </w:p>
        </w:tc>
      </w:tr>
      <w:tr w14:paraId="45093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7" w:type="pct"/>
            <w:tcBorders>
              <w:top w:val="single" w:color="auto" w:sz="4" w:space="0"/>
              <w:left w:val="single" w:color="auto" w:sz="4" w:space="0"/>
              <w:bottom w:val="single" w:color="auto" w:sz="4" w:space="0"/>
              <w:right w:val="single" w:color="auto" w:sz="4" w:space="0"/>
            </w:tcBorders>
            <w:vAlign w:val="center"/>
          </w:tcPr>
          <w:p w14:paraId="59980E2D">
            <w:pPr>
              <w:pStyle w:val="94"/>
              <w:rPr>
                <w:color w:val="auto"/>
              </w:rPr>
            </w:pPr>
            <w:r>
              <w:rPr>
                <w:rFonts w:hint="eastAsia"/>
                <w:color w:val="auto"/>
              </w:rPr>
              <w:t>轻度</w:t>
            </w:r>
          </w:p>
        </w:tc>
        <w:tc>
          <w:tcPr>
            <w:tcW w:w="2114" w:type="pct"/>
            <w:tcBorders>
              <w:top w:val="single" w:color="auto" w:sz="4" w:space="0"/>
              <w:left w:val="single" w:color="auto" w:sz="4" w:space="0"/>
              <w:bottom w:val="single" w:color="auto" w:sz="4" w:space="0"/>
              <w:right w:val="single" w:color="auto" w:sz="4" w:space="0"/>
            </w:tcBorders>
            <w:vAlign w:val="center"/>
          </w:tcPr>
          <w:p w14:paraId="3964C916">
            <w:pPr>
              <w:pStyle w:val="94"/>
              <w:rPr>
                <w:color w:val="auto"/>
              </w:rPr>
            </w:pPr>
            <w:r>
              <w:rPr>
                <w:rFonts w:hint="eastAsia"/>
                <w:color w:val="auto"/>
              </w:rPr>
              <w:t>1000-2500</w:t>
            </w:r>
          </w:p>
        </w:tc>
        <w:tc>
          <w:tcPr>
            <w:tcW w:w="1849" w:type="pct"/>
            <w:tcBorders>
              <w:top w:val="single" w:color="auto" w:sz="4" w:space="0"/>
              <w:left w:val="single" w:color="auto" w:sz="4" w:space="0"/>
              <w:bottom w:val="single" w:color="auto" w:sz="4" w:space="0"/>
              <w:right w:val="single" w:color="auto" w:sz="4" w:space="0"/>
            </w:tcBorders>
            <w:vAlign w:val="center"/>
          </w:tcPr>
          <w:p w14:paraId="6A832AAE">
            <w:pPr>
              <w:pStyle w:val="94"/>
              <w:rPr>
                <w:color w:val="auto"/>
              </w:rPr>
            </w:pPr>
            <w:r>
              <w:rPr>
                <w:rFonts w:hint="eastAsia"/>
                <w:color w:val="auto"/>
              </w:rPr>
              <w:t>0.74-1.9</w:t>
            </w:r>
          </w:p>
        </w:tc>
      </w:tr>
      <w:tr w14:paraId="6D388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7" w:type="pct"/>
            <w:tcBorders>
              <w:top w:val="single" w:color="auto" w:sz="4" w:space="0"/>
              <w:left w:val="single" w:color="auto" w:sz="4" w:space="0"/>
              <w:bottom w:val="single" w:color="auto" w:sz="4" w:space="0"/>
              <w:right w:val="single" w:color="auto" w:sz="4" w:space="0"/>
            </w:tcBorders>
            <w:vAlign w:val="center"/>
          </w:tcPr>
          <w:p w14:paraId="0ECE9B56">
            <w:pPr>
              <w:pStyle w:val="94"/>
              <w:rPr>
                <w:color w:val="auto"/>
              </w:rPr>
            </w:pPr>
            <w:r>
              <w:rPr>
                <w:rFonts w:hint="eastAsia"/>
                <w:color w:val="auto"/>
              </w:rPr>
              <w:t>中度</w:t>
            </w:r>
          </w:p>
        </w:tc>
        <w:tc>
          <w:tcPr>
            <w:tcW w:w="2114" w:type="pct"/>
            <w:tcBorders>
              <w:top w:val="single" w:color="auto" w:sz="4" w:space="0"/>
              <w:left w:val="single" w:color="auto" w:sz="4" w:space="0"/>
              <w:bottom w:val="single" w:color="auto" w:sz="4" w:space="0"/>
              <w:right w:val="single" w:color="auto" w:sz="4" w:space="0"/>
            </w:tcBorders>
            <w:vAlign w:val="center"/>
          </w:tcPr>
          <w:p w14:paraId="2729D95B">
            <w:pPr>
              <w:pStyle w:val="94"/>
              <w:rPr>
                <w:color w:val="auto"/>
              </w:rPr>
            </w:pPr>
            <w:r>
              <w:rPr>
                <w:rFonts w:hint="eastAsia"/>
                <w:color w:val="auto"/>
              </w:rPr>
              <w:t>2500-5000</w:t>
            </w:r>
          </w:p>
        </w:tc>
        <w:tc>
          <w:tcPr>
            <w:tcW w:w="1849" w:type="pct"/>
            <w:tcBorders>
              <w:top w:val="single" w:color="auto" w:sz="4" w:space="0"/>
              <w:left w:val="single" w:color="auto" w:sz="4" w:space="0"/>
              <w:bottom w:val="single" w:color="auto" w:sz="4" w:space="0"/>
              <w:right w:val="single" w:color="auto" w:sz="4" w:space="0"/>
            </w:tcBorders>
            <w:vAlign w:val="center"/>
          </w:tcPr>
          <w:p w14:paraId="0B844ADC">
            <w:pPr>
              <w:pStyle w:val="94"/>
              <w:rPr>
                <w:color w:val="auto"/>
              </w:rPr>
            </w:pPr>
            <w:r>
              <w:rPr>
                <w:rFonts w:hint="eastAsia"/>
                <w:color w:val="auto"/>
              </w:rPr>
              <w:t>1.9-3.7</w:t>
            </w:r>
          </w:p>
        </w:tc>
      </w:tr>
      <w:tr w14:paraId="1C0E8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7" w:type="pct"/>
            <w:tcBorders>
              <w:top w:val="single" w:color="auto" w:sz="4" w:space="0"/>
              <w:left w:val="single" w:color="auto" w:sz="4" w:space="0"/>
              <w:bottom w:val="single" w:color="auto" w:sz="4" w:space="0"/>
              <w:right w:val="single" w:color="auto" w:sz="4" w:space="0"/>
            </w:tcBorders>
            <w:vAlign w:val="center"/>
          </w:tcPr>
          <w:p w14:paraId="2BEEC6BD">
            <w:pPr>
              <w:pStyle w:val="94"/>
              <w:rPr>
                <w:color w:val="auto"/>
              </w:rPr>
            </w:pPr>
            <w:r>
              <w:rPr>
                <w:rFonts w:hint="eastAsia"/>
                <w:color w:val="auto"/>
              </w:rPr>
              <w:t>强度</w:t>
            </w:r>
          </w:p>
        </w:tc>
        <w:tc>
          <w:tcPr>
            <w:tcW w:w="2114" w:type="pct"/>
            <w:tcBorders>
              <w:top w:val="single" w:color="auto" w:sz="4" w:space="0"/>
              <w:left w:val="single" w:color="auto" w:sz="4" w:space="0"/>
              <w:bottom w:val="single" w:color="auto" w:sz="4" w:space="0"/>
              <w:right w:val="single" w:color="auto" w:sz="4" w:space="0"/>
            </w:tcBorders>
            <w:vAlign w:val="center"/>
          </w:tcPr>
          <w:p w14:paraId="024B121C">
            <w:pPr>
              <w:pStyle w:val="94"/>
              <w:rPr>
                <w:color w:val="auto"/>
              </w:rPr>
            </w:pPr>
            <w:r>
              <w:rPr>
                <w:rFonts w:hint="eastAsia"/>
                <w:color w:val="auto"/>
              </w:rPr>
              <w:t>5000-8000</w:t>
            </w:r>
          </w:p>
        </w:tc>
        <w:tc>
          <w:tcPr>
            <w:tcW w:w="1849" w:type="pct"/>
            <w:tcBorders>
              <w:top w:val="single" w:color="auto" w:sz="4" w:space="0"/>
              <w:left w:val="single" w:color="auto" w:sz="4" w:space="0"/>
              <w:bottom w:val="single" w:color="auto" w:sz="4" w:space="0"/>
              <w:right w:val="single" w:color="auto" w:sz="4" w:space="0"/>
            </w:tcBorders>
            <w:vAlign w:val="center"/>
          </w:tcPr>
          <w:p w14:paraId="150280A9">
            <w:pPr>
              <w:pStyle w:val="94"/>
              <w:rPr>
                <w:color w:val="auto"/>
              </w:rPr>
            </w:pPr>
            <w:r>
              <w:rPr>
                <w:rFonts w:hint="eastAsia"/>
                <w:color w:val="auto"/>
              </w:rPr>
              <w:t>3.7-5.9</w:t>
            </w:r>
          </w:p>
        </w:tc>
      </w:tr>
      <w:tr w14:paraId="4AA67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7" w:type="pct"/>
            <w:tcBorders>
              <w:top w:val="single" w:color="auto" w:sz="4" w:space="0"/>
              <w:left w:val="single" w:color="auto" w:sz="4" w:space="0"/>
              <w:bottom w:val="single" w:color="auto" w:sz="4" w:space="0"/>
              <w:right w:val="single" w:color="auto" w:sz="4" w:space="0"/>
            </w:tcBorders>
            <w:vAlign w:val="center"/>
          </w:tcPr>
          <w:p w14:paraId="7475C064">
            <w:pPr>
              <w:pStyle w:val="94"/>
              <w:rPr>
                <w:color w:val="auto"/>
              </w:rPr>
            </w:pPr>
            <w:r>
              <w:rPr>
                <w:rFonts w:hint="eastAsia"/>
                <w:color w:val="auto"/>
              </w:rPr>
              <w:t>极强度</w:t>
            </w:r>
          </w:p>
        </w:tc>
        <w:tc>
          <w:tcPr>
            <w:tcW w:w="2114" w:type="pct"/>
            <w:tcBorders>
              <w:top w:val="single" w:color="auto" w:sz="4" w:space="0"/>
              <w:left w:val="single" w:color="auto" w:sz="4" w:space="0"/>
              <w:bottom w:val="single" w:color="auto" w:sz="4" w:space="0"/>
              <w:right w:val="single" w:color="auto" w:sz="4" w:space="0"/>
            </w:tcBorders>
            <w:vAlign w:val="center"/>
          </w:tcPr>
          <w:p w14:paraId="6462B02A">
            <w:pPr>
              <w:pStyle w:val="94"/>
              <w:rPr>
                <w:color w:val="auto"/>
              </w:rPr>
            </w:pPr>
            <w:r>
              <w:rPr>
                <w:rFonts w:hint="eastAsia"/>
                <w:color w:val="auto"/>
              </w:rPr>
              <w:t>8000-15000</w:t>
            </w:r>
          </w:p>
        </w:tc>
        <w:tc>
          <w:tcPr>
            <w:tcW w:w="1849" w:type="pct"/>
            <w:tcBorders>
              <w:top w:val="single" w:color="auto" w:sz="4" w:space="0"/>
              <w:left w:val="single" w:color="auto" w:sz="4" w:space="0"/>
              <w:bottom w:val="single" w:color="auto" w:sz="4" w:space="0"/>
              <w:right w:val="single" w:color="auto" w:sz="4" w:space="0"/>
            </w:tcBorders>
            <w:vAlign w:val="center"/>
          </w:tcPr>
          <w:p w14:paraId="390D3491">
            <w:pPr>
              <w:pStyle w:val="94"/>
              <w:rPr>
                <w:color w:val="auto"/>
              </w:rPr>
            </w:pPr>
            <w:r>
              <w:rPr>
                <w:rFonts w:hint="eastAsia"/>
                <w:color w:val="auto"/>
              </w:rPr>
              <w:t>5.9-11.1</w:t>
            </w:r>
          </w:p>
        </w:tc>
      </w:tr>
      <w:tr w14:paraId="41BA9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7" w:type="pct"/>
            <w:tcBorders>
              <w:top w:val="single" w:color="auto" w:sz="4" w:space="0"/>
              <w:left w:val="single" w:color="auto" w:sz="4" w:space="0"/>
              <w:bottom w:val="single" w:color="auto" w:sz="4" w:space="0"/>
              <w:right w:val="single" w:color="auto" w:sz="4" w:space="0"/>
            </w:tcBorders>
            <w:vAlign w:val="center"/>
          </w:tcPr>
          <w:p w14:paraId="6FDA4C94">
            <w:pPr>
              <w:pStyle w:val="94"/>
              <w:rPr>
                <w:color w:val="auto"/>
              </w:rPr>
            </w:pPr>
            <w:r>
              <w:rPr>
                <w:rFonts w:hint="eastAsia"/>
                <w:color w:val="auto"/>
              </w:rPr>
              <w:t>剧烈</w:t>
            </w:r>
          </w:p>
        </w:tc>
        <w:tc>
          <w:tcPr>
            <w:tcW w:w="2114" w:type="pct"/>
            <w:tcBorders>
              <w:top w:val="single" w:color="auto" w:sz="4" w:space="0"/>
              <w:left w:val="single" w:color="auto" w:sz="4" w:space="0"/>
              <w:bottom w:val="single" w:color="auto" w:sz="4" w:space="0"/>
              <w:right w:val="single" w:color="auto" w:sz="4" w:space="0"/>
            </w:tcBorders>
            <w:vAlign w:val="center"/>
          </w:tcPr>
          <w:p w14:paraId="24B8C241">
            <w:pPr>
              <w:pStyle w:val="94"/>
              <w:rPr>
                <w:color w:val="auto"/>
              </w:rPr>
            </w:pPr>
            <w:r>
              <w:rPr>
                <w:rFonts w:hint="eastAsia"/>
                <w:color w:val="auto"/>
              </w:rPr>
              <w:t>＞15000</w:t>
            </w:r>
          </w:p>
        </w:tc>
        <w:tc>
          <w:tcPr>
            <w:tcW w:w="1849" w:type="pct"/>
            <w:tcBorders>
              <w:top w:val="single" w:color="auto" w:sz="4" w:space="0"/>
              <w:left w:val="single" w:color="auto" w:sz="4" w:space="0"/>
              <w:bottom w:val="single" w:color="auto" w:sz="4" w:space="0"/>
              <w:right w:val="single" w:color="auto" w:sz="4" w:space="0"/>
            </w:tcBorders>
            <w:vAlign w:val="center"/>
          </w:tcPr>
          <w:p w14:paraId="5F00EE16">
            <w:pPr>
              <w:pStyle w:val="94"/>
              <w:rPr>
                <w:color w:val="auto"/>
              </w:rPr>
            </w:pPr>
            <w:r>
              <w:rPr>
                <w:rFonts w:hint="eastAsia"/>
                <w:color w:val="auto"/>
              </w:rPr>
              <w:t>＞11.1</w:t>
            </w:r>
          </w:p>
        </w:tc>
      </w:tr>
    </w:tbl>
    <w:p w14:paraId="2F46A88F">
      <w:pPr>
        <w:pStyle w:val="96"/>
        <w:ind w:firstLine="480"/>
        <w:rPr>
          <w:rFonts w:cs="Arial"/>
        </w:rPr>
      </w:pPr>
      <w:r>
        <w:rPr>
          <w:rFonts w:hint="eastAsia"/>
        </w:rPr>
        <w:t>（2）评价范围内土壤侵蚀现状见下表，土壤侵蚀分布图见附图。</w:t>
      </w:r>
    </w:p>
    <w:p w14:paraId="44BD5329">
      <w:pPr>
        <w:pStyle w:val="19"/>
        <w:keepNext/>
        <w:ind w:firstLine="480"/>
      </w:pPr>
      <w:r>
        <w:t xml:space="preserve">表 </w:t>
      </w:r>
      <w:r>
        <w:fldChar w:fldCharType="begin"/>
      </w:r>
      <w:r>
        <w:instrText xml:space="preserve"> SEQ 表 \* ARABIC </w:instrText>
      </w:r>
      <w:r>
        <w:fldChar w:fldCharType="separate"/>
      </w:r>
      <w:r>
        <w:t>85</w:t>
      </w:r>
      <w:r>
        <w:fldChar w:fldCharType="end"/>
      </w:r>
      <w:r>
        <w:rPr>
          <w:rFonts w:hint="eastAsia"/>
        </w:rPr>
        <w:t>评价范围内土壤侵蚀现状</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002"/>
        <w:gridCol w:w="3574"/>
        <w:gridCol w:w="2077"/>
        <w:gridCol w:w="3029"/>
      </w:tblGrid>
      <w:tr w14:paraId="628294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937" w:type="pct"/>
            <w:vMerge w:val="restart"/>
            <w:noWrap/>
            <w:vAlign w:val="center"/>
          </w:tcPr>
          <w:p w14:paraId="2E2C243D">
            <w:pPr>
              <w:pStyle w:val="94"/>
              <w:rPr>
                <w:color w:val="auto"/>
              </w:rPr>
            </w:pPr>
            <w:r>
              <w:rPr>
                <w:rFonts w:hint="eastAsia"/>
                <w:color w:val="auto"/>
              </w:rPr>
              <w:t>序号</w:t>
            </w:r>
          </w:p>
        </w:tc>
        <w:tc>
          <w:tcPr>
            <w:tcW w:w="1673" w:type="pct"/>
            <w:vMerge w:val="restart"/>
            <w:noWrap/>
            <w:vAlign w:val="center"/>
          </w:tcPr>
          <w:p w14:paraId="6E76F18D">
            <w:pPr>
              <w:pStyle w:val="94"/>
              <w:rPr>
                <w:color w:val="auto"/>
              </w:rPr>
            </w:pPr>
            <w:r>
              <w:rPr>
                <w:rFonts w:hint="eastAsia"/>
                <w:color w:val="auto"/>
              </w:rPr>
              <w:t>土壤侵蚀分级</w:t>
            </w:r>
          </w:p>
        </w:tc>
        <w:tc>
          <w:tcPr>
            <w:tcW w:w="2390" w:type="pct"/>
            <w:gridSpan w:val="2"/>
            <w:noWrap/>
            <w:vAlign w:val="center"/>
          </w:tcPr>
          <w:p w14:paraId="641DB3AB">
            <w:pPr>
              <w:pStyle w:val="94"/>
              <w:rPr>
                <w:color w:val="auto"/>
              </w:rPr>
            </w:pPr>
            <w:r>
              <w:rPr>
                <w:rFonts w:hint="eastAsia"/>
                <w:color w:val="auto"/>
              </w:rPr>
              <w:t>评价范围</w:t>
            </w:r>
          </w:p>
        </w:tc>
      </w:tr>
      <w:tr w14:paraId="7B256E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937" w:type="pct"/>
            <w:vMerge w:val="continue"/>
            <w:vAlign w:val="center"/>
          </w:tcPr>
          <w:p w14:paraId="467FCDAC">
            <w:pPr>
              <w:pStyle w:val="94"/>
              <w:rPr>
                <w:color w:val="auto"/>
              </w:rPr>
            </w:pPr>
          </w:p>
        </w:tc>
        <w:tc>
          <w:tcPr>
            <w:tcW w:w="1673" w:type="pct"/>
            <w:vMerge w:val="continue"/>
            <w:vAlign w:val="center"/>
          </w:tcPr>
          <w:p w14:paraId="300223D1">
            <w:pPr>
              <w:pStyle w:val="94"/>
              <w:rPr>
                <w:color w:val="auto"/>
              </w:rPr>
            </w:pPr>
          </w:p>
        </w:tc>
        <w:tc>
          <w:tcPr>
            <w:tcW w:w="972" w:type="pct"/>
            <w:noWrap/>
            <w:vAlign w:val="center"/>
          </w:tcPr>
          <w:p w14:paraId="5D24C4B8">
            <w:pPr>
              <w:pStyle w:val="94"/>
              <w:rPr>
                <w:color w:val="auto"/>
              </w:rPr>
            </w:pPr>
            <w:r>
              <w:rPr>
                <w:rFonts w:hint="eastAsia"/>
                <w:color w:val="auto"/>
              </w:rPr>
              <w:t>面积ha</w:t>
            </w:r>
          </w:p>
        </w:tc>
        <w:tc>
          <w:tcPr>
            <w:tcW w:w="1418" w:type="pct"/>
            <w:noWrap/>
            <w:vAlign w:val="center"/>
          </w:tcPr>
          <w:p w14:paraId="669B9EBC">
            <w:pPr>
              <w:pStyle w:val="94"/>
              <w:rPr>
                <w:color w:val="auto"/>
              </w:rPr>
            </w:pPr>
            <w:r>
              <w:rPr>
                <w:rFonts w:hint="eastAsia"/>
                <w:color w:val="auto"/>
              </w:rPr>
              <w:t>占比%</w:t>
            </w:r>
          </w:p>
        </w:tc>
      </w:tr>
      <w:tr w14:paraId="15AFB5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2" w:hRule="atLeast"/>
        </w:trPr>
        <w:tc>
          <w:tcPr>
            <w:tcW w:w="937" w:type="pct"/>
            <w:noWrap/>
            <w:vAlign w:val="center"/>
          </w:tcPr>
          <w:p w14:paraId="6611281E">
            <w:pPr>
              <w:pStyle w:val="94"/>
              <w:rPr>
                <w:color w:val="auto"/>
              </w:rPr>
            </w:pPr>
            <w:r>
              <w:rPr>
                <w:rFonts w:hint="eastAsia"/>
                <w:color w:val="auto"/>
              </w:rPr>
              <w:t>1</w:t>
            </w:r>
          </w:p>
        </w:tc>
        <w:tc>
          <w:tcPr>
            <w:tcW w:w="1673" w:type="pct"/>
            <w:noWrap/>
            <w:vAlign w:val="center"/>
          </w:tcPr>
          <w:p w14:paraId="3B3CF1D2">
            <w:pPr>
              <w:pStyle w:val="94"/>
              <w:rPr>
                <w:color w:val="auto"/>
              </w:rPr>
            </w:pPr>
            <w:r>
              <w:rPr>
                <w:color w:val="auto"/>
              </w:rPr>
              <w:t>微度侵蚀</w:t>
            </w:r>
          </w:p>
        </w:tc>
        <w:tc>
          <w:tcPr>
            <w:tcW w:w="972" w:type="pct"/>
            <w:noWrap/>
            <w:vAlign w:val="center"/>
          </w:tcPr>
          <w:p w14:paraId="2C15E6D9">
            <w:pPr>
              <w:pStyle w:val="94"/>
              <w:rPr>
                <w:color w:val="auto"/>
              </w:rPr>
            </w:pPr>
            <w:r>
              <w:rPr>
                <w:color w:val="auto"/>
              </w:rPr>
              <w:t xml:space="preserve">129.11 </w:t>
            </w:r>
          </w:p>
        </w:tc>
        <w:tc>
          <w:tcPr>
            <w:tcW w:w="1418" w:type="pct"/>
            <w:noWrap/>
            <w:vAlign w:val="center"/>
          </w:tcPr>
          <w:p w14:paraId="5F45D957">
            <w:pPr>
              <w:pStyle w:val="94"/>
              <w:rPr>
                <w:color w:val="auto"/>
              </w:rPr>
            </w:pPr>
            <w:r>
              <w:rPr>
                <w:color w:val="auto"/>
              </w:rPr>
              <w:t xml:space="preserve">24.57 </w:t>
            </w:r>
          </w:p>
        </w:tc>
      </w:tr>
      <w:tr w14:paraId="44653D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937" w:type="pct"/>
            <w:noWrap/>
            <w:vAlign w:val="center"/>
          </w:tcPr>
          <w:p w14:paraId="10D3A422">
            <w:pPr>
              <w:pStyle w:val="94"/>
              <w:rPr>
                <w:color w:val="auto"/>
              </w:rPr>
            </w:pPr>
            <w:r>
              <w:rPr>
                <w:rFonts w:hint="eastAsia"/>
                <w:color w:val="auto"/>
              </w:rPr>
              <w:t>2</w:t>
            </w:r>
          </w:p>
        </w:tc>
        <w:tc>
          <w:tcPr>
            <w:tcW w:w="1673" w:type="pct"/>
            <w:noWrap/>
            <w:vAlign w:val="center"/>
          </w:tcPr>
          <w:p w14:paraId="224C66A6">
            <w:pPr>
              <w:pStyle w:val="94"/>
              <w:rPr>
                <w:color w:val="auto"/>
              </w:rPr>
            </w:pPr>
            <w:r>
              <w:rPr>
                <w:color w:val="auto"/>
              </w:rPr>
              <w:t>轻度侵蚀</w:t>
            </w:r>
          </w:p>
        </w:tc>
        <w:tc>
          <w:tcPr>
            <w:tcW w:w="972" w:type="pct"/>
            <w:noWrap/>
            <w:vAlign w:val="center"/>
          </w:tcPr>
          <w:p w14:paraId="680AADEB">
            <w:pPr>
              <w:pStyle w:val="94"/>
              <w:rPr>
                <w:color w:val="auto"/>
              </w:rPr>
            </w:pPr>
            <w:r>
              <w:rPr>
                <w:color w:val="auto"/>
              </w:rPr>
              <w:t xml:space="preserve">104.64 </w:t>
            </w:r>
          </w:p>
        </w:tc>
        <w:tc>
          <w:tcPr>
            <w:tcW w:w="1418" w:type="pct"/>
            <w:noWrap/>
            <w:vAlign w:val="center"/>
          </w:tcPr>
          <w:p w14:paraId="7CBEF260">
            <w:pPr>
              <w:pStyle w:val="94"/>
              <w:rPr>
                <w:color w:val="auto"/>
              </w:rPr>
            </w:pPr>
            <w:r>
              <w:rPr>
                <w:color w:val="auto"/>
              </w:rPr>
              <w:t xml:space="preserve">19.91 </w:t>
            </w:r>
          </w:p>
        </w:tc>
      </w:tr>
      <w:tr w14:paraId="79D543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937" w:type="pct"/>
            <w:noWrap/>
            <w:vAlign w:val="center"/>
          </w:tcPr>
          <w:p w14:paraId="7AE9656D">
            <w:pPr>
              <w:pStyle w:val="94"/>
              <w:rPr>
                <w:color w:val="auto"/>
              </w:rPr>
            </w:pPr>
            <w:r>
              <w:rPr>
                <w:rFonts w:hint="eastAsia"/>
                <w:color w:val="auto"/>
              </w:rPr>
              <w:t>3</w:t>
            </w:r>
          </w:p>
        </w:tc>
        <w:tc>
          <w:tcPr>
            <w:tcW w:w="1673" w:type="pct"/>
            <w:noWrap/>
            <w:vAlign w:val="center"/>
          </w:tcPr>
          <w:p w14:paraId="66E504A0">
            <w:pPr>
              <w:pStyle w:val="94"/>
              <w:rPr>
                <w:color w:val="auto"/>
              </w:rPr>
            </w:pPr>
            <w:r>
              <w:rPr>
                <w:color w:val="auto"/>
              </w:rPr>
              <w:t>中度侵蚀</w:t>
            </w:r>
          </w:p>
        </w:tc>
        <w:tc>
          <w:tcPr>
            <w:tcW w:w="972" w:type="pct"/>
            <w:noWrap/>
            <w:vAlign w:val="center"/>
          </w:tcPr>
          <w:p w14:paraId="7AEF5C0B">
            <w:pPr>
              <w:pStyle w:val="94"/>
              <w:rPr>
                <w:color w:val="auto"/>
              </w:rPr>
            </w:pPr>
            <w:r>
              <w:rPr>
                <w:color w:val="auto"/>
              </w:rPr>
              <w:t xml:space="preserve">89.47 </w:t>
            </w:r>
          </w:p>
        </w:tc>
        <w:tc>
          <w:tcPr>
            <w:tcW w:w="1418" w:type="pct"/>
            <w:noWrap/>
            <w:vAlign w:val="center"/>
          </w:tcPr>
          <w:p w14:paraId="4BAAFDBE">
            <w:pPr>
              <w:pStyle w:val="94"/>
              <w:rPr>
                <w:color w:val="auto"/>
              </w:rPr>
            </w:pPr>
            <w:r>
              <w:rPr>
                <w:color w:val="auto"/>
              </w:rPr>
              <w:t xml:space="preserve">17.03 </w:t>
            </w:r>
          </w:p>
        </w:tc>
      </w:tr>
      <w:tr w14:paraId="7D147B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937" w:type="pct"/>
            <w:noWrap/>
            <w:vAlign w:val="center"/>
          </w:tcPr>
          <w:p w14:paraId="05915183">
            <w:pPr>
              <w:pStyle w:val="94"/>
              <w:rPr>
                <w:color w:val="auto"/>
              </w:rPr>
            </w:pPr>
            <w:r>
              <w:rPr>
                <w:rFonts w:hint="eastAsia"/>
                <w:color w:val="auto"/>
              </w:rPr>
              <w:t>4</w:t>
            </w:r>
          </w:p>
        </w:tc>
        <w:tc>
          <w:tcPr>
            <w:tcW w:w="1673" w:type="pct"/>
            <w:noWrap/>
            <w:vAlign w:val="center"/>
          </w:tcPr>
          <w:p w14:paraId="32F0BB2C">
            <w:pPr>
              <w:pStyle w:val="94"/>
              <w:rPr>
                <w:color w:val="auto"/>
              </w:rPr>
            </w:pPr>
            <w:r>
              <w:rPr>
                <w:color w:val="auto"/>
              </w:rPr>
              <w:t>强烈侵蚀</w:t>
            </w:r>
          </w:p>
        </w:tc>
        <w:tc>
          <w:tcPr>
            <w:tcW w:w="972" w:type="pct"/>
            <w:noWrap/>
            <w:vAlign w:val="center"/>
          </w:tcPr>
          <w:p w14:paraId="584963BF">
            <w:pPr>
              <w:pStyle w:val="94"/>
              <w:rPr>
                <w:color w:val="auto"/>
              </w:rPr>
            </w:pPr>
            <w:r>
              <w:rPr>
                <w:color w:val="auto"/>
              </w:rPr>
              <w:t xml:space="preserve">105.15 </w:t>
            </w:r>
          </w:p>
        </w:tc>
        <w:tc>
          <w:tcPr>
            <w:tcW w:w="1418" w:type="pct"/>
            <w:noWrap/>
            <w:vAlign w:val="center"/>
          </w:tcPr>
          <w:p w14:paraId="12846B49">
            <w:pPr>
              <w:pStyle w:val="94"/>
              <w:rPr>
                <w:color w:val="auto"/>
              </w:rPr>
            </w:pPr>
            <w:r>
              <w:rPr>
                <w:color w:val="auto"/>
              </w:rPr>
              <w:t xml:space="preserve">20.01 </w:t>
            </w:r>
          </w:p>
        </w:tc>
      </w:tr>
      <w:tr w14:paraId="6405E3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937" w:type="pct"/>
            <w:noWrap/>
            <w:vAlign w:val="center"/>
          </w:tcPr>
          <w:p w14:paraId="15CA2FA2">
            <w:pPr>
              <w:pStyle w:val="94"/>
              <w:rPr>
                <w:rFonts w:eastAsiaTheme="minorEastAsia"/>
                <w:color w:val="auto"/>
              </w:rPr>
            </w:pPr>
            <w:r>
              <w:rPr>
                <w:rFonts w:hint="eastAsia" w:eastAsiaTheme="minorEastAsia"/>
                <w:color w:val="auto"/>
              </w:rPr>
              <w:t>5</w:t>
            </w:r>
          </w:p>
        </w:tc>
        <w:tc>
          <w:tcPr>
            <w:tcW w:w="1673" w:type="pct"/>
            <w:noWrap/>
            <w:vAlign w:val="center"/>
          </w:tcPr>
          <w:p w14:paraId="08920F6E">
            <w:pPr>
              <w:pStyle w:val="94"/>
              <w:rPr>
                <w:color w:val="auto"/>
              </w:rPr>
            </w:pPr>
            <w:r>
              <w:rPr>
                <w:color w:val="auto"/>
              </w:rPr>
              <w:t>极强烈侵蚀</w:t>
            </w:r>
          </w:p>
        </w:tc>
        <w:tc>
          <w:tcPr>
            <w:tcW w:w="972" w:type="pct"/>
            <w:noWrap/>
            <w:vAlign w:val="center"/>
          </w:tcPr>
          <w:p w14:paraId="66669D90">
            <w:pPr>
              <w:pStyle w:val="94"/>
              <w:rPr>
                <w:color w:val="auto"/>
              </w:rPr>
            </w:pPr>
            <w:r>
              <w:rPr>
                <w:color w:val="auto"/>
              </w:rPr>
              <w:t xml:space="preserve">90.94 </w:t>
            </w:r>
          </w:p>
        </w:tc>
        <w:tc>
          <w:tcPr>
            <w:tcW w:w="1418" w:type="pct"/>
            <w:noWrap/>
            <w:vAlign w:val="center"/>
          </w:tcPr>
          <w:p w14:paraId="09B79CC5">
            <w:pPr>
              <w:pStyle w:val="94"/>
              <w:rPr>
                <w:color w:val="auto"/>
              </w:rPr>
            </w:pPr>
            <w:r>
              <w:rPr>
                <w:color w:val="auto"/>
              </w:rPr>
              <w:t xml:space="preserve">17.31 </w:t>
            </w:r>
          </w:p>
        </w:tc>
      </w:tr>
      <w:tr w14:paraId="058128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937" w:type="pct"/>
            <w:noWrap/>
            <w:vAlign w:val="center"/>
          </w:tcPr>
          <w:p w14:paraId="51058A9B">
            <w:pPr>
              <w:pStyle w:val="94"/>
              <w:rPr>
                <w:rFonts w:eastAsiaTheme="minorEastAsia"/>
                <w:color w:val="auto"/>
              </w:rPr>
            </w:pPr>
          </w:p>
        </w:tc>
        <w:tc>
          <w:tcPr>
            <w:tcW w:w="1673" w:type="pct"/>
            <w:noWrap/>
            <w:vAlign w:val="center"/>
          </w:tcPr>
          <w:p w14:paraId="5CA34D26">
            <w:pPr>
              <w:pStyle w:val="94"/>
              <w:rPr>
                <w:color w:val="auto"/>
              </w:rPr>
            </w:pPr>
            <w:r>
              <w:rPr>
                <w:color w:val="auto"/>
              </w:rPr>
              <w:t>剧烈侵蚀</w:t>
            </w:r>
          </w:p>
        </w:tc>
        <w:tc>
          <w:tcPr>
            <w:tcW w:w="972" w:type="pct"/>
            <w:noWrap/>
            <w:vAlign w:val="center"/>
          </w:tcPr>
          <w:p w14:paraId="7FD399C5">
            <w:pPr>
              <w:pStyle w:val="94"/>
              <w:rPr>
                <w:color w:val="auto"/>
              </w:rPr>
            </w:pPr>
            <w:r>
              <w:rPr>
                <w:color w:val="auto"/>
              </w:rPr>
              <w:t xml:space="preserve">6.18 </w:t>
            </w:r>
          </w:p>
        </w:tc>
        <w:tc>
          <w:tcPr>
            <w:tcW w:w="1418" w:type="pct"/>
            <w:noWrap/>
            <w:vAlign w:val="center"/>
          </w:tcPr>
          <w:p w14:paraId="73BF1B24">
            <w:pPr>
              <w:pStyle w:val="94"/>
              <w:rPr>
                <w:color w:val="auto"/>
              </w:rPr>
            </w:pPr>
            <w:r>
              <w:rPr>
                <w:color w:val="auto"/>
              </w:rPr>
              <w:t xml:space="preserve">1.18 </w:t>
            </w:r>
          </w:p>
        </w:tc>
      </w:tr>
      <w:tr w14:paraId="012208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610" w:type="pct"/>
            <w:gridSpan w:val="2"/>
            <w:noWrap/>
            <w:vAlign w:val="center"/>
          </w:tcPr>
          <w:p w14:paraId="46FF1414">
            <w:pPr>
              <w:pStyle w:val="94"/>
              <w:rPr>
                <w:color w:val="auto"/>
              </w:rPr>
            </w:pPr>
            <w:r>
              <w:rPr>
                <w:rFonts w:hint="eastAsia"/>
                <w:color w:val="auto"/>
              </w:rPr>
              <w:t>合计</w:t>
            </w:r>
          </w:p>
        </w:tc>
        <w:tc>
          <w:tcPr>
            <w:tcW w:w="972" w:type="pct"/>
            <w:noWrap/>
            <w:vAlign w:val="center"/>
          </w:tcPr>
          <w:p w14:paraId="42B21A55">
            <w:pPr>
              <w:pStyle w:val="94"/>
              <w:rPr>
                <w:color w:val="auto"/>
              </w:rPr>
            </w:pPr>
            <w:r>
              <w:rPr>
                <w:color w:val="auto"/>
              </w:rPr>
              <w:t>525.49</w:t>
            </w:r>
          </w:p>
        </w:tc>
        <w:tc>
          <w:tcPr>
            <w:tcW w:w="1418" w:type="pct"/>
            <w:noWrap/>
            <w:vAlign w:val="center"/>
          </w:tcPr>
          <w:p w14:paraId="45A90B44">
            <w:pPr>
              <w:pStyle w:val="94"/>
              <w:rPr>
                <w:color w:val="auto"/>
              </w:rPr>
            </w:pPr>
            <w:r>
              <w:rPr>
                <w:color w:val="auto"/>
              </w:rPr>
              <w:t>100</w:t>
            </w:r>
          </w:p>
        </w:tc>
      </w:tr>
    </w:tbl>
    <w:p w14:paraId="119E4DA1">
      <w:pPr>
        <w:pStyle w:val="19"/>
        <w:keepNext/>
      </w:pPr>
      <w:r>
        <w:t xml:space="preserve">表 </w:t>
      </w:r>
      <w:r>
        <w:fldChar w:fldCharType="begin"/>
      </w:r>
      <w:r>
        <w:instrText xml:space="preserve"> SEQ 表 \* ARABIC </w:instrText>
      </w:r>
      <w:r>
        <w:fldChar w:fldCharType="separate"/>
      </w:r>
      <w:r>
        <w:t>86</w:t>
      </w:r>
      <w:r>
        <w:fldChar w:fldCharType="end"/>
      </w:r>
      <w:r>
        <w:rPr>
          <w:rFonts w:hint="eastAsia"/>
        </w:rPr>
        <w:t>本项目占地范围内土壤侵蚀面积统计表</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004"/>
        <w:gridCol w:w="2606"/>
        <w:gridCol w:w="2861"/>
        <w:gridCol w:w="3211"/>
      </w:tblGrid>
      <w:tr w14:paraId="428EF7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938" w:type="pct"/>
            <w:noWrap/>
            <w:vAlign w:val="center"/>
          </w:tcPr>
          <w:p w14:paraId="0114CE18">
            <w:pPr>
              <w:pStyle w:val="94"/>
              <w:rPr>
                <w:color w:val="auto"/>
              </w:rPr>
            </w:pPr>
            <w:r>
              <w:rPr>
                <w:rFonts w:hint="eastAsia"/>
                <w:color w:val="auto"/>
              </w:rPr>
              <w:t>名称</w:t>
            </w:r>
          </w:p>
        </w:tc>
        <w:tc>
          <w:tcPr>
            <w:tcW w:w="1220" w:type="pct"/>
            <w:noWrap/>
            <w:vAlign w:val="center"/>
          </w:tcPr>
          <w:p w14:paraId="16331AF7">
            <w:pPr>
              <w:pStyle w:val="94"/>
              <w:rPr>
                <w:color w:val="auto"/>
              </w:rPr>
            </w:pPr>
            <w:r>
              <w:rPr>
                <w:rFonts w:hint="eastAsia"/>
                <w:color w:val="auto"/>
              </w:rPr>
              <w:t>土壤侵蚀分级</w:t>
            </w:r>
          </w:p>
        </w:tc>
        <w:tc>
          <w:tcPr>
            <w:tcW w:w="1339" w:type="pct"/>
            <w:noWrap/>
            <w:vAlign w:val="center"/>
          </w:tcPr>
          <w:p w14:paraId="419E4651">
            <w:pPr>
              <w:pStyle w:val="94"/>
              <w:rPr>
                <w:color w:val="auto"/>
              </w:rPr>
            </w:pPr>
            <w:r>
              <w:rPr>
                <w:rFonts w:hint="eastAsia"/>
                <w:color w:val="auto"/>
              </w:rPr>
              <w:t>面积ha</w:t>
            </w:r>
          </w:p>
        </w:tc>
        <w:tc>
          <w:tcPr>
            <w:tcW w:w="1503" w:type="pct"/>
            <w:noWrap/>
            <w:vAlign w:val="center"/>
          </w:tcPr>
          <w:p w14:paraId="6FFC712E">
            <w:pPr>
              <w:pStyle w:val="94"/>
              <w:rPr>
                <w:color w:val="auto"/>
              </w:rPr>
            </w:pPr>
            <w:r>
              <w:rPr>
                <w:rFonts w:hint="eastAsia"/>
                <w:color w:val="auto"/>
              </w:rPr>
              <w:t>占比%</w:t>
            </w:r>
          </w:p>
        </w:tc>
      </w:tr>
      <w:tr w14:paraId="226F5D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938" w:type="pct"/>
            <w:vMerge w:val="restart"/>
            <w:noWrap/>
            <w:vAlign w:val="center"/>
          </w:tcPr>
          <w:p w14:paraId="01ACA6B5">
            <w:pPr>
              <w:pStyle w:val="94"/>
              <w:rPr>
                <w:rFonts w:ascii="Arial" w:hAnsi="Arial"/>
                <w:color w:val="auto"/>
              </w:rPr>
            </w:pPr>
            <w:r>
              <w:rPr>
                <w:rFonts w:ascii="Arial" w:hAnsi="Arial"/>
                <w:color w:val="auto"/>
              </w:rPr>
              <w:t>井场</w:t>
            </w:r>
          </w:p>
        </w:tc>
        <w:tc>
          <w:tcPr>
            <w:tcW w:w="1220" w:type="pct"/>
            <w:noWrap/>
            <w:vAlign w:val="center"/>
          </w:tcPr>
          <w:p w14:paraId="578413D1">
            <w:pPr>
              <w:pStyle w:val="94"/>
              <w:rPr>
                <w:rFonts w:ascii="Arial" w:hAnsi="Arial"/>
                <w:color w:val="auto"/>
              </w:rPr>
            </w:pPr>
            <w:r>
              <w:rPr>
                <w:rFonts w:ascii="Arial" w:hAnsi="Arial"/>
                <w:color w:val="auto"/>
              </w:rPr>
              <w:t>微度侵蚀</w:t>
            </w:r>
          </w:p>
        </w:tc>
        <w:tc>
          <w:tcPr>
            <w:tcW w:w="1339" w:type="pct"/>
            <w:noWrap/>
            <w:vAlign w:val="center"/>
          </w:tcPr>
          <w:p w14:paraId="00F91D43">
            <w:pPr>
              <w:pStyle w:val="94"/>
              <w:rPr>
                <w:color w:val="auto"/>
              </w:rPr>
            </w:pPr>
            <w:r>
              <w:rPr>
                <w:rFonts w:hint="eastAsia"/>
                <w:color w:val="auto"/>
              </w:rPr>
              <w:t>8.63</w:t>
            </w:r>
          </w:p>
        </w:tc>
        <w:tc>
          <w:tcPr>
            <w:tcW w:w="1503" w:type="pct"/>
            <w:noWrap/>
            <w:vAlign w:val="center"/>
          </w:tcPr>
          <w:p w14:paraId="6FE43FC5">
            <w:pPr>
              <w:pStyle w:val="94"/>
              <w:rPr>
                <w:color w:val="auto"/>
              </w:rPr>
            </w:pPr>
            <w:r>
              <w:rPr>
                <w:color w:val="auto"/>
              </w:rPr>
              <w:t xml:space="preserve">39.74 </w:t>
            </w:r>
          </w:p>
        </w:tc>
      </w:tr>
      <w:tr w14:paraId="345FC2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938" w:type="pct"/>
            <w:vMerge w:val="continue"/>
            <w:vAlign w:val="center"/>
          </w:tcPr>
          <w:p w14:paraId="256C9DCA">
            <w:pPr>
              <w:pStyle w:val="94"/>
              <w:rPr>
                <w:rFonts w:ascii="Arial" w:hAnsi="Arial"/>
                <w:color w:val="auto"/>
              </w:rPr>
            </w:pPr>
          </w:p>
        </w:tc>
        <w:tc>
          <w:tcPr>
            <w:tcW w:w="1220" w:type="pct"/>
            <w:noWrap/>
            <w:vAlign w:val="center"/>
          </w:tcPr>
          <w:p w14:paraId="52EE1EB5">
            <w:pPr>
              <w:pStyle w:val="94"/>
              <w:rPr>
                <w:rFonts w:ascii="Arial" w:hAnsi="Arial"/>
                <w:color w:val="auto"/>
              </w:rPr>
            </w:pPr>
            <w:r>
              <w:rPr>
                <w:rFonts w:ascii="Arial" w:hAnsi="Arial"/>
                <w:color w:val="auto"/>
              </w:rPr>
              <w:t>轻度侵蚀</w:t>
            </w:r>
          </w:p>
        </w:tc>
        <w:tc>
          <w:tcPr>
            <w:tcW w:w="1339" w:type="pct"/>
            <w:noWrap/>
            <w:vAlign w:val="center"/>
          </w:tcPr>
          <w:p w14:paraId="141CD4CE">
            <w:pPr>
              <w:pStyle w:val="94"/>
              <w:rPr>
                <w:color w:val="auto"/>
              </w:rPr>
            </w:pPr>
            <w:r>
              <w:rPr>
                <w:rFonts w:hint="eastAsia"/>
                <w:color w:val="auto"/>
              </w:rPr>
              <w:t>4.97</w:t>
            </w:r>
          </w:p>
        </w:tc>
        <w:tc>
          <w:tcPr>
            <w:tcW w:w="1503" w:type="pct"/>
            <w:noWrap/>
            <w:vAlign w:val="center"/>
          </w:tcPr>
          <w:p w14:paraId="311CAE84">
            <w:pPr>
              <w:pStyle w:val="94"/>
              <w:rPr>
                <w:color w:val="auto"/>
              </w:rPr>
            </w:pPr>
            <w:r>
              <w:rPr>
                <w:color w:val="auto"/>
              </w:rPr>
              <w:t xml:space="preserve">22.93 </w:t>
            </w:r>
          </w:p>
        </w:tc>
      </w:tr>
      <w:tr w14:paraId="5482E7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938" w:type="pct"/>
            <w:vMerge w:val="continue"/>
            <w:vAlign w:val="center"/>
          </w:tcPr>
          <w:p w14:paraId="58C73C5F">
            <w:pPr>
              <w:pStyle w:val="94"/>
              <w:rPr>
                <w:rFonts w:ascii="Arial" w:hAnsi="Arial"/>
                <w:color w:val="auto"/>
              </w:rPr>
            </w:pPr>
          </w:p>
        </w:tc>
        <w:tc>
          <w:tcPr>
            <w:tcW w:w="1220" w:type="pct"/>
            <w:noWrap/>
            <w:vAlign w:val="center"/>
          </w:tcPr>
          <w:p w14:paraId="6E63DCA7">
            <w:pPr>
              <w:pStyle w:val="94"/>
              <w:rPr>
                <w:rFonts w:ascii="Arial" w:hAnsi="Arial"/>
                <w:color w:val="auto"/>
              </w:rPr>
            </w:pPr>
            <w:r>
              <w:rPr>
                <w:rFonts w:ascii="Arial" w:hAnsi="Arial"/>
                <w:color w:val="auto"/>
              </w:rPr>
              <w:t>中度侵蚀</w:t>
            </w:r>
          </w:p>
        </w:tc>
        <w:tc>
          <w:tcPr>
            <w:tcW w:w="1339" w:type="pct"/>
            <w:noWrap/>
            <w:vAlign w:val="center"/>
          </w:tcPr>
          <w:p w14:paraId="0814F233">
            <w:pPr>
              <w:pStyle w:val="94"/>
              <w:rPr>
                <w:color w:val="auto"/>
              </w:rPr>
            </w:pPr>
            <w:r>
              <w:rPr>
                <w:rFonts w:hint="eastAsia"/>
                <w:color w:val="auto"/>
              </w:rPr>
              <w:t>4.35</w:t>
            </w:r>
          </w:p>
        </w:tc>
        <w:tc>
          <w:tcPr>
            <w:tcW w:w="1503" w:type="pct"/>
            <w:noWrap/>
            <w:vAlign w:val="center"/>
          </w:tcPr>
          <w:p w14:paraId="269C4800">
            <w:pPr>
              <w:pStyle w:val="94"/>
              <w:rPr>
                <w:color w:val="auto"/>
              </w:rPr>
            </w:pPr>
            <w:r>
              <w:rPr>
                <w:color w:val="auto"/>
              </w:rPr>
              <w:t xml:space="preserve">20.06 </w:t>
            </w:r>
          </w:p>
        </w:tc>
      </w:tr>
      <w:tr w14:paraId="73B756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938" w:type="pct"/>
            <w:vMerge w:val="continue"/>
            <w:vAlign w:val="center"/>
          </w:tcPr>
          <w:p w14:paraId="3CFF33EA">
            <w:pPr>
              <w:pStyle w:val="94"/>
              <w:rPr>
                <w:rFonts w:ascii="Arial" w:hAnsi="Arial"/>
                <w:color w:val="auto"/>
              </w:rPr>
            </w:pPr>
          </w:p>
        </w:tc>
        <w:tc>
          <w:tcPr>
            <w:tcW w:w="1220" w:type="pct"/>
            <w:noWrap/>
            <w:vAlign w:val="center"/>
          </w:tcPr>
          <w:p w14:paraId="25775DD8">
            <w:pPr>
              <w:pStyle w:val="94"/>
              <w:rPr>
                <w:rFonts w:ascii="Arial" w:hAnsi="Arial"/>
                <w:color w:val="auto"/>
              </w:rPr>
            </w:pPr>
            <w:r>
              <w:rPr>
                <w:rFonts w:ascii="Arial" w:hAnsi="Arial"/>
                <w:color w:val="auto"/>
              </w:rPr>
              <w:t>强烈侵蚀</w:t>
            </w:r>
          </w:p>
        </w:tc>
        <w:tc>
          <w:tcPr>
            <w:tcW w:w="1339" w:type="pct"/>
            <w:noWrap/>
            <w:vAlign w:val="center"/>
          </w:tcPr>
          <w:p w14:paraId="6F57E608">
            <w:pPr>
              <w:pStyle w:val="94"/>
              <w:rPr>
                <w:color w:val="auto"/>
              </w:rPr>
            </w:pPr>
            <w:r>
              <w:rPr>
                <w:rFonts w:hint="eastAsia"/>
                <w:color w:val="auto"/>
              </w:rPr>
              <w:t>2.55</w:t>
            </w:r>
          </w:p>
        </w:tc>
        <w:tc>
          <w:tcPr>
            <w:tcW w:w="1503" w:type="pct"/>
            <w:noWrap/>
            <w:vAlign w:val="center"/>
          </w:tcPr>
          <w:p w14:paraId="1A20B473">
            <w:pPr>
              <w:pStyle w:val="94"/>
              <w:rPr>
                <w:color w:val="auto"/>
              </w:rPr>
            </w:pPr>
            <w:r>
              <w:rPr>
                <w:color w:val="auto"/>
              </w:rPr>
              <w:t xml:space="preserve">11.76 </w:t>
            </w:r>
          </w:p>
        </w:tc>
      </w:tr>
      <w:tr w14:paraId="502AF0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938" w:type="pct"/>
            <w:vMerge w:val="continue"/>
            <w:vAlign w:val="center"/>
          </w:tcPr>
          <w:p w14:paraId="5B8BB013">
            <w:pPr>
              <w:pStyle w:val="94"/>
              <w:rPr>
                <w:rFonts w:ascii="Arial" w:hAnsi="Arial"/>
                <w:color w:val="auto"/>
              </w:rPr>
            </w:pPr>
          </w:p>
        </w:tc>
        <w:tc>
          <w:tcPr>
            <w:tcW w:w="1220" w:type="pct"/>
            <w:noWrap/>
            <w:vAlign w:val="center"/>
          </w:tcPr>
          <w:p w14:paraId="18EEC2D0">
            <w:pPr>
              <w:pStyle w:val="94"/>
              <w:rPr>
                <w:rFonts w:ascii="Arial" w:hAnsi="Arial"/>
                <w:color w:val="auto"/>
              </w:rPr>
            </w:pPr>
            <w:r>
              <w:rPr>
                <w:rFonts w:ascii="Arial" w:hAnsi="Arial"/>
                <w:color w:val="auto"/>
              </w:rPr>
              <w:t>极强烈侵蚀</w:t>
            </w:r>
          </w:p>
        </w:tc>
        <w:tc>
          <w:tcPr>
            <w:tcW w:w="1339" w:type="pct"/>
            <w:noWrap/>
            <w:vAlign w:val="center"/>
          </w:tcPr>
          <w:p w14:paraId="1AB46D59">
            <w:pPr>
              <w:pStyle w:val="94"/>
              <w:rPr>
                <w:color w:val="auto"/>
              </w:rPr>
            </w:pPr>
            <w:r>
              <w:rPr>
                <w:rFonts w:hint="eastAsia"/>
                <w:color w:val="auto"/>
              </w:rPr>
              <w:t>1.19</w:t>
            </w:r>
          </w:p>
        </w:tc>
        <w:tc>
          <w:tcPr>
            <w:tcW w:w="1503" w:type="pct"/>
            <w:noWrap/>
            <w:vAlign w:val="center"/>
          </w:tcPr>
          <w:p w14:paraId="16D3A343">
            <w:pPr>
              <w:pStyle w:val="94"/>
              <w:rPr>
                <w:color w:val="auto"/>
              </w:rPr>
            </w:pPr>
            <w:r>
              <w:rPr>
                <w:color w:val="auto"/>
              </w:rPr>
              <w:t xml:space="preserve">5.50 </w:t>
            </w:r>
          </w:p>
        </w:tc>
      </w:tr>
      <w:tr w14:paraId="54F144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2158" w:type="pct"/>
            <w:gridSpan w:val="2"/>
            <w:noWrap/>
            <w:vAlign w:val="center"/>
          </w:tcPr>
          <w:p w14:paraId="1A49AFBF">
            <w:pPr>
              <w:pStyle w:val="94"/>
              <w:rPr>
                <w:color w:val="auto"/>
              </w:rPr>
            </w:pPr>
            <w:r>
              <w:rPr>
                <w:rFonts w:hint="eastAsia"/>
                <w:color w:val="auto"/>
              </w:rPr>
              <w:t>小计</w:t>
            </w:r>
          </w:p>
        </w:tc>
        <w:tc>
          <w:tcPr>
            <w:tcW w:w="1339" w:type="pct"/>
            <w:noWrap/>
            <w:vAlign w:val="center"/>
          </w:tcPr>
          <w:p w14:paraId="17E802DD">
            <w:pPr>
              <w:pStyle w:val="94"/>
              <w:rPr>
                <w:color w:val="auto"/>
              </w:rPr>
            </w:pPr>
            <w:r>
              <w:rPr>
                <w:color w:val="auto"/>
              </w:rPr>
              <w:t>21.69</w:t>
            </w:r>
          </w:p>
        </w:tc>
        <w:tc>
          <w:tcPr>
            <w:tcW w:w="1503" w:type="pct"/>
            <w:noWrap/>
            <w:vAlign w:val="center"/>
          </w:tcPr>
          <w:p w14:paraId="3AC28EE9">
            <w:pPr>
              <w:pStyle w:val="94"/>
              <w:rPr>
                <w:color w:val="auto"/>
              </w:rPr>
            </w:pPr>
            <w:r>
              <w:rPr>
                <w:rFonts w:hint="eastAsia"/>
                <w:color w:val="auto"/>
              </w:rPr>
              <w:t>21.69</w:t>
            </w:r>
          </w:p>
        </w:tc>
      </w:tr>
      <w:tr w14:paraId="2C17A4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938" w:type="pct"/>
            <w:vMerge w:val="restart"/>
            <w:noWrap/>
            <w:vAlign w:val="center"/>
          </w:tcPr>
          <w:p w14:paraId="46CD9F63">
            <w:pPr>
              <w:pStyle w:val="94"/>
              <w:rPr>
                <w:rFonts w:ascii="Arial" w:hAnsi="Arial"/>
                <w:color w:val="auto"/>
              </w:rPr>
            </w:pPr>
            <w:r>
              <w:rPr>
                <w:rFonts w:ascii="Arial" w:hAnsi="Arial"/>
                <w:color w:val="auto"/>
              </w:rPr>
              <w:t>井场道路</w:t>
            </w:r>
          </w:p>
        </w:tc>
        <w:tc>
          <w:tcPr>
            <w:tcW w:w="1220" w:type="pct"/>
            <w:noWrap/>
            <w:vAlign w:val="center"/>
          </w:tcPr>
          <w:p w14:paraId="596876EC">
            <w:pPr>
              <w:pStyle w:val="94"/>
              <w:rPr>
                <w:rFonts w:ascii="Arial" w:hAnsi="Arial"/>
                <w:color w:val="auto"/>
              </w:rPr>
            </w:pPr>
            <w:r>
              <w:rPr>
                <w:rFonts w:ascii="Arial" w:hAnsi="Arial"/>
                <w:color w:val="auto"/>
              </w:rPr>
              <w:t>微度侵蚀</w:t>
            </w:r>
          </w:p>
        </w:tc>
        <w:tc>
          <w:tcPr>
            <w:tcW w:w="1339" w:type="pct"/>
            <w:noWrap/>
            <w:vAlign w:val="center"/>
          </w:tcPr>
          <w:p w14:paraId="17A73366">
            <w:pPr>
              <w:pStyle w:val="94"/>
              <w:rPr>
                <w:color w:val="auto"/>
              </w:rPr>
            </w:pPr>
            <w:r>
              <w:rPr>
                <w:rFonts w:hint="eastAsia"/>
                <w:color w:val="auto"/>
              </w:rPr>
              <w:t xml:space="preserve">0.30 </w:t>
            </w:r>
          </w:p>
        </w:tc>
        <w:tc>
          <w:tcPr>
            <w:tcW w:w="1503" w:type="pct"/>
            <w:noWrap/>
            <w:vAlign w:val="center"/>
          </w:tcPr>
          <w:p w14:paraId="046B869B">
            <w:pPr>
              <w:pStyle w:val="94"/>
              <w:rPr>
                <w:color w:val="auto"/>
              </w:rPr>
            </w:pPr>
            <w:r>
              <w:rPr>
                <w:color w:val="auto"/>
              </w:rPr>
              <w:t xml:space="preserve">25.02 </w:t>
            </w:r>
          </w:p>
        </w:tc>
      </w:tr>
      <w:tr w14:paraId="612C26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938" w:type="pct"/>
            <w:vMerge w:val="continue"/>
            <w:vAlign w:val="center"/>
          </w:tcPr>
          <w:p w14:paraId="2219302D">
            <w:pPr>
              <w:pStyle w:val="94"/>
              <w:rPr>
                <w:rFonts w:ascii="Arial" w:hAnsi="Arial"/>
                <w:color w:val="auto"/>
              </w:rPr>
            </w:pPr>
          </w:p>
        </w:tc>
        <w:tc>
          <w:tcPr>
            <w:tcW w:w="1220" w:type="pct"/>
            <w:noWrap/>
            <w:vAlign w:val="center"/>
          </w:tcPr>
          <w:p w14:paraId="3B59E592">
            <w:pPr>
              <w:pStyle w:val="94"/>
              <w:rPr>
                <w:rFonts w:ascii="Arial" w:hAnsi="Arial"/>
                <w:color w:val="auto"/>
              </w:rPr>
            </w:pPr>
            <w:r>
              <w:rPr>
                <w:rFonts w:ascii="Arial" w:hAnsi="Arial"/>
                <w:color w:val="auto"/>
              </w:rPr>
              <w:t>轻度侵蚀</w:t>
            </w:r>
          </w:p>
        </w:tc>
        <w:tc>
          <w:tcPr>
            <w:tcW w:w="1339" w:type="pct"/>
            <w:noWrap/>
            <w:vAlign w:val="center"/>
          </w:tcPr>
          <w:p w14:paraId="02C8E6DD">
            <w:pPr>
              <w:pStyle w:val="94"/>
              <w:rPr>
                <w:color w:val="auto"/>
              </w:rPr>
            </w:pPr>
            <w:r>
              <w:rPr>
                <w:rFonts w:hint="eastAsia"/>
                <w:color w:val="auto"/>
              </w:rPr>
              <w:t>0.29</w:t>
            </w:r>
          </w:p>
        </w:tc>
        <w:tc>
          <w:tcPr>
            <w:tcW w:w="1503" w:type="pct"/>
            <w:noWrap/>
            <w:vAlign w:val="center"/>
          </w:tcPr>
          <w:p w14:paraId="704D5113">
            <w:pPr>
              <w:pStyle w:val="94"/>
              <w:rPr>
                <w:color w:val="auto"/>
              </w:rPr>
            </w:pPr>
            <w:r>
              <w:rPr>
                <w:color w:val="auto"/>
              </w:rPr>
              <w:t xml:space="preserve">23.65 </w:t>
            </w:r>
          </w:p>
        </w:tc>
      </w:tr>
      <w:tr w14:paraId="631ED1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938" w:type="pct"/>
            <w:vMerge w:val="continue"/>
            <w:vAlign w:val="center"/>
          </w:tcPr>
          <w:p w14:paraId="75DBB87C">
            <w:pPr>
              <w:pStyle w:val="94"/>
              <w:rPr>
                <w:rFonts w:ascii="Arial" w:hAnsi="Arial"/>
                <w:color w:val="auto"/>
              </w:rPr>
            </w:pPr>
          </w:p>
        </w:tc>
        <w:tc>
          <w:tcPr>
            <w:tcW w:w="1220" w:type="pct"/>
            <w:noWrap/>
            <w:vAlign w:val="center"/>
          </w:tcPr>
          <w:p w14:paraId="094162D6">
            <w:pPr>
              <w:pStyle w:val="94"/>
              <w:rPr>
                <w:rFonts w:ascii="Arial" w:hAnsi="Arial"/>
                <w:color w:val="auto"/>
              </w:rPr>
            </w:pPr>
            <w:r>
              <w:rPr>
                <w:rFonts w:ascii="Arial" w:hAnsi="Arial"/>
                <w:color w:val="auto"/>
              </w:rPr>
              <w:t>中度侵蚀</w:t>
            </w:r>
          </w:p>
        </w:tc>
        <w:tc>
          <w:tcPr>
            <w:tcW w:w="1339" w:type="pct"/>
            <w:noWrap/>
            <w:vAlign w:val="center"/>
          </w:tcPr>
          <w:p w14:paraId="2C7973E6">
            <w:pPr>
              <w:pStyle w:val="94"/>
              <w:rPr>
                <w:color w:val="auto"/>
              </w:rPr>
            </w:pPr>
            <w:r>
              <w:rPr>
                <w:rFonts w:hint="eastAsia"/>
                <w:color w:val="auto"/>
              </w:rPr>
              <w:t>0.27</w:t>
            </w:r>
          </w:p>
        </w:tc>
        <w:tc>
          <w:tcPr>
            <w:tcW w:w="1503" w:type="pct"/>
            <w:noWrap/>
            <w:vAlign w:val="center"/>
          </w:tcPr>
          <w:p w14:paraId="4A601552">
            <w:pPr>
              <w:pStyle w:val="94"/>
              <w:rPr>
                <w:color w:val="auto"/>
              </w:rPr>
            </w:pPr>
            <w:r>
              <w:rPr>
                <w:color w:val="auto"/>
              </w:rPr>
              <w:t xml:space="preserve">21.67 </w:t>
            </w:r>
          </w:p>
        </w:tc>
      </w:tr>
      <w:tr w14:paraId="752DB3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938" w:type="pct"/>
            <w:vMerge w:val="continue"/>
            <w:vAlign w:val="center"/>
          </w:tcPr>
          <w:p w14:paraId="305E4FA9">
            <w:pPr>
              <w:pStyle w:val="94"/>
              <w:rPr>
                <w:rFonts w:ascii="Arial" w:hAnsi="Arial"/>
                <w:color w:val="auto"/>
              </w:rPr>
            </w:pPr>
          </w:p>
        </w:tc>
        <w:tc>
          <w:tcPr>
            <w:tcW w:w="1220" w:type="pct"/>
            <w:noWrap/>
            <w:vAlign w:val="center"/>
          </w:tcPr>
          <w:p w14:paraId="2D22C543">
            <w:pPr>
              <w:pStyle w:val="94"/>
              <w:rPr>
                <w:rFonts w:ascii="Arial" w:hAnsi="Arial"/>
                <w:color w:val="auto"/>
              </w:rPr>
            </w:pPr>
            <w:r>
              <w:rPr>
                <w:rFonts w:ascii="Arial" w:hAnsi="Arial"/>
                <w:color w:val="auto"/>
              </w:rPr>
              <w:t>强烈侵蚀</w:t>
            </w:r>
          </w:p>
        </w:tc>
        <w:tc>
          <w:tcPr>
            <w:tcW w:w="1339" w:type="pct"/>
            <w:noWrap/>
            <w:vAlign w:val="center"/>
          </w:tcPr>
          <w:p w14:paraId="29F65E07">
            <w:pPr>
              <w:pStyle w:val="94"/>
              <w:rPr>
                <w:color w:val="auto"/>
              </w:rPr>
            </w:pPr>
            <w:r>
              <w:rPr>
                <w:rFonts w:hint="eastAsia"/>
                <w:color w:val="auto"/>
              </w:rPr>
              <w:t>0.19</w:t>
            </w:r>
          </w:p>
        </w:tc>
        <w:tc>
          <w:tcPr>
            <w:tcW w:w="1503" w:type="pct"/>
            <w:noWrap/>
            <w:vAlign w:val="center"/>
          </w:tcPr>
          <w:p w14:paraId="6B81FF58">
            <w:pPr>
              <w:pStyle w:val="94"/>
              <w:rPr>
                <w:color w:val="auto"/>
              </w:rPr>
            </w:pPr>
            <w:r>
              <w:rPr>
                <w:color w:val="auto"/>
              </w:rPr>
              <w:t xml:space="preserve">15.84 </w:t>
            </w:r>
          </w:p>
        </w:tc>
      </w:tr>
      <w:tr w14:paraId="25F7FD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938" w:type="pct"/>
            <w:vMerge w:val="continue"/>
            <w:vAlign w:val="center"/>
          </w:tcPr>
          <w:p w14:paraId="7556A6D7">
            <w:pPr>
              <w:pStyle w:val="94"/>
              <w:rPr>
                <w:rFonts w:ascii="Arial" w:hAnsi="Arial"/>
                <w:color w:val="auto"/>
              </w:rPr>
            </w:pPr>
          </w:p>
        </w:tc>
        <w:tc>
          <w:tcPr>
            <w:tcW w:w="1220" w:type="pct"/>
            <w:noWrap/>
            <w:vAlign w:val="center"/>
          </w:tcPr>
          <w:p w14:paraId="184B864F">
            <w:pPr>
              <w:pStyle w:val="94"/>
              <w:rPr>
                <w:rFonts w:ascii="Arial" w:hAnsi="Arial"/>
                <w:color w:val="auto"/>
              </w:rPr>
            </w:pPr>
            <w:r>
              <w:rPr>
                <w:rFonts w:ascii="Arial" w:hAnsi="Arial"/>
                <w:color w:val="auto"/>
              </w:rPr>
              <w:t>极强烈侵蚀</w:t>
            </w:r>
          </w:p>
        </w:tc>
        <w:tc>
          <w:tcPr>
            <w:tcW w:w="1339" w:type="pct"/>
            <w:noWrap/>
            <w:vAlign w:val="center"/>
          </w:tcPr>
          <w:p w14:paraId="246C5673">
            <w:pPr>
              <w:pStyle w:val="94"/>
              <w:rPr>
                <w:color w:val="auto"/>
              </w:rPr>
            </w:pPr>
            <w:r>
              <w:rPr>
                <w:rFonts w:hint="eastAsia"/>
                <w:color w:val="auto"/>
              </w:rPr>
              <w:t>0.16</w:t>
            </w:r>
          </w:p>
        </w:tc>
        <w:tc>
          <w:tcPr>
            <w:tcW w:w="1503" w:type="pct"/>
            <w:noWrap/>
            <w:vAlign w:val="center"/>
          </w:tcPr>
          <w:p w14:paraId="6B3D33C5">
            <w:pPr>
              <w:pStyle w:val="94"/>
              <w:rPr>
                <w:color w:val="auto"/>
              </w:rPr>
            </w:pPr>
            <w:r>
              <w:rPr>
                <w:color w:val="auto"/>
              </w:rPr>
              <w:t xml:space="preserve">12.83 </w:t>
            </w:r>
          </w:p>
        </w:tc>
      </w:tr>
      <w:tr w14:paraId="030468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938" w:type="pct"/>
            <w:vMerge w:val="continue"/>
            <w:vAlign w:val="center"/>
          </w:tcPr>
          <w:p w14:paraId="35B30E79">
            <w:pPr>
              <w:pStyle w:val="94"/>
              <w:rPr>
                <w:rFonts w:ascii="Arial" w:hAnsi="Arial"/>
                <w:color w:val="auto"/>
              </w:rPr>
            </w:pPr>
          </w:p>
        </w:tc>
        <w:tc>
          <w:tcPr>
            <w:tcW w:w="1220" w:type="pct"/>
            <w:noWrap/>
            <w:vAlign w:val="center"/>
          </w:tcPr>
          <w:p w14:paraId="313F0762">
            <w:pPr>
              <w:pStyle w:val="94"/>
              <w:rPr>
                <w:rFonts w:ascii="Arial" w:hAnsi="Arial"/>
                <w:color w:val="auto"/>
              </w:rPr>
            </w:pPr>
            <w:r>
              <w:rPr>
                <w:rFonts w:ascii="Arial" w:hAnsi="Arial"/>
                <w:color w:val="auto"/>
              </w:rPr>
              <w:t>剧烈侵蚀</w:t>
            </w:r>
          </w:p>
        </w:tc>
        <w:tc>
          <w:tcPr>
            <w:tcW w:w="1339" w:type="pct"/>
            <w:noWrap/>
            <w:vAlign w:val="center"/>
          </w:tcPr>
          <w:p w14:paraId="5A0B02C2">
            <w:pPr>
              <w:pStyle w:val="94"/>
              <w:rPr>
                <w:color w:val="auto"/>
              </w:rPr>
            </w:pPr>
            <w:r>
              <w:rPr>
                <w:rFonts w:hint="eastAsia"/>
                <w:color w:val="auto"/>
              </w:rPr>
              <w:t>0.01</w:t>
            </w:r>
          </w:p>
        </w:tc>
        <w:tc>
          <w:tcPr>
            <w:tcW w:w="1503" w:type="pct"/>
            <w:noWrap/>
            <w:vAlign w:val="center"/>
          </w:tcPr>
          <w:p w14:paraId="7375A33E">
            <w:pPr>
              <w:pStyle w:val="94"/>
              <w:rPr>
                <w:color w:val="auto"/>
              </w:rPr>
            </w:pPr>
            <w:r>
              <w:rPr>
                <w:color w:val="auto"/>
              </w:rPr>
              <w:t xml:space="preserve">0.99 </w:t>
            </w:r>
          </w:p>
        </w:tc>
      </w:tr>
      <w:tr w14:paraId="31D67B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2158" w:type="pct"/>
            <w:gridSpan w:val="2"/>
            <w:noWrap/>
            <w:vAlign w:val="center"/>
          </w:tcPr>
          <w:p w14:paraId="5B25FA07">
            <w:pPr>
              <w:pStyle w:val="94"/>
              <w:rPr>
                <w:color w:val="auto"/>
              </w:rPr>
            </w:pPr>
            <w:r>
              <w:rPr>
                <w:rFonts w:hint="eastAsia"/>
                <w:color w:val="auto"/>
              </w:rPr>
              <w:t>小计</w:t>
            </w:r>
          </w:p>
        </w:tc>
        <w:tc>
          <w:tcPr>
            <w:tcW w:w="1339" w:type="pct"/>
            <w:noWrap/>
            <w:vAlign w:val="center"/>
          </w:tcPr>
          <w:p w14:paraId="5AF5CABE">
            <w:pPr>
              <w:pStyle w:val="94"/>
              <w:rPr>
                <w:color w:val="auto"/>
              </w:rPr>
            </w:pPr>
            <w:r>
              <w:rPr>
                <w:color w:val="auto"/>
              </w:rPr>
              <w:t>1.22</w:t>
            </w:r>
          </w:p>
        </w:tc>
        <w:tc>
          <w:tcPr>
            <w:tcW w:w="1503" w:type="pct"/>
            <w:noWrap/>
            <w:vAlign w:val="center"/>
          </w:tcPr>
          <w:p w14:paraId="226FB098">
            <w:pPr>
              <w:pStyle w:val="94"/>
              <w:rPr>
                <w:color w:val="auto"/>
              </w:rPr>
            </w:pPr>
            <w:r>
              <w:rPr>
                <w:rFonts w:hint="eastAsia"/>
                <w:color w:val="auto"/>
              </w:rPr>
              <w:t>1.22</w:t>
            </w:r>
          </w:p>
        </w:tc>
      </w:tr>
      <w:tr w14:paraId="3409CC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2158" w:type="pct"/>
            <w:gridSpan w:val="2"/>
            <w:noWrap/>
            <w:vAlign w:val="center"/>
          </w:tcPr>
          <w:p w14:paraId="0C4623A1">
            <w:pPr>
              <w:pStyle w:val="94"/>
              <w:rPr>
                <w:color w:val="auto"/>
              </w:rPr>
            </w:pPr>
            <w:r>
              <w:rPr>
                <w:rFonts w:hint="eastAsia"/>
                <w:color w:val="auto"/>
              </w:rPr>
              <w:t>合计</w:t>
            </w:r>
          </w:p>
        </w:tc>
        <w:tc>
          <w:tcPr>
            <w:tcW w:w="1339" w:type="pct"/>
            <w:noWrap/>
            <w:vAlign w:val="center"/>
          </w:tcPr>
          <w:p w14:paraId="79D1905B">
            <w:pPr>
              <w:pStyle w:val="94"/>
              <w:rPr>
                <w:color w:val="auto"/>
              </w:rPr>
            </w:pPr>
            <w:r>
              <w:rPr>
                <w:color w:val="auto"/>
              </w:rPr>
              <w:t>22.91</w:t>
            </w:r>
          </w:p>
        </w:tc>
        <w:tc>
          <w:tcPr>
            <w:tcW w:w="1503" w:type="pct"/>
            <w:noWrap/>
            <w:vAlign w:val="center"/>
          </w:tcPr>
          <w:p w14:paraId="779BEE16">
            <w:pPr>
              <w:pStyle w:val="94"/>
              <w:rPr>
                <w:color w:val="auto"/>
              </w:rPr>
            </w:pPr>
            <w:r>
              <w:rPr>
                <w:color w:val="auto"/>
              </w:rPr>
              <w:t xml:space="preserve">100.00 </w:t>
            </w:r>
          </w:p>
        </w:tc>
      </w:tr>
    </w:tbl>
    <w:p w14:paraId="76E738D6">
      <w:pPr>
        <w:pStyle w:val="96"/>
        <w:ind w:firstLine="480"/>
      </w:pPr>
      <w:r>
        <w:rPr>
          <w:rFonts w:hint="eastAsia"/>
        </w:rPr>
        <w:t>由上表可知，评价范围土壤侵蚀以微度侵蚀为主，面积分别为</w:t>
      </w:r>
      <w:r>
        <w:t>129.11</w:t>
      </w:r>
      <w:r>
        <w:rPr>
          <w:rFonts w:hint="eastAsia"/>
        </w:rPr>
        <w:t>ha，占比</w:t>
      </w:r>
      <w:r>
        <w:t>24.57</w:t>
      </w:r>
      <w:r>
        <w:rPr>
          <w:rFonts w:hint="eastAsia"/>
        </w:rPr>
        <w:t>%；井场占地范围内以微度侵蚀为主，占地面积约</w:t>
      </w:r>
      <w:r>
        <w:t>8.61</w:t>
      </w:r>
      <w:r>
        <w:rPr>
          <w:rFonts w:hint="eastAsia"/>
        </w:rPr>
        <w:t>ha，占比为</w:t>
      </w:r>
      <w:r>
        <w:t>39.74</w:t>
      </w:r>
      <w:r>
        <w:rPr>
          <w:rFonts w:hint="eastAsia"/>
        </w:rPr>
        <w:t>%。井场道路占地范围内以微度侵蚀为主，占地面积约</w:t>
      </w:r>
      <w:r>
        <w:t>0.31</w:t>
      </w:r>
      <w:r>
        <w:rPr>
          <w:rFonts w:hint="eastAsia"/>
        </w:rPr>
        <w:t>ha，占比分别为</w:t>
      </w:r>
      <w:r>
        <w:t>25.02</w:t>
      </w:r>
      <w:r>
        <w:rPr>
          <w:rFonts w:hint="eastAsia"/>
        </w:rPr>
        <w:t>%。</w:t>
      </w:r>
    </w:p>
    <w:p w14:paraId="1F7C6992">
      <w:pPr>
        <w:pStyle w:val="4"/>
      </w:pPr>
      <w:bookmarkStart w:id="158" w:name="_Toc171579826"/>
      <w:r>
        <w:rPr>
          <w:rFonts w:hint="eastAsia"/>
        </w:rPr>
        <w:t>区域生态问题调查</w:t>
      </w:r>
      <w:bookmarkEnd w:id="158"/>
    </w:p>
    <w:p w14:paraId="02EADB63">
      <w:pPr>
        <w:pStyle w:val="96"/>
        <w:ind w:firstLine="480"/>
        <w:rPr>
          <w:rFonts w:hAnsi="Calibri" w:cs="Calibri"/>
        </w:rPr>
      </w:pPr>
      <w:r>
        <w:rPr>
          <w:rFonts w:hint="eastAsia"/>
        </w:rPr>
        <w:t>根据《全国生态状况调查评估技术规范—生态问题评估》（HJ 1174</w:t>
      </w:r>
      <w:r>
        <w:rPr>
          <w:rFonts w:hint="eastAsia" w:ascii="Calibri"/>
        </w:rPr>
        <w:t>—</w:t>
      </w:r>
      <w:r>
        <w:rPr>
          <w:rFonts w:hint="eastAsia"/>
        </w:rPr>
        <w:t>2021），生态问题是由于人类活动和自然条件变化引起的自然生态系统退化及由此衍生的不良生态环境效应，包括水土流失、土地沙化、石漠化、生态系统退化等，其中生态系统退化包括森林退化、草地退化和湿地退化。根据对调查范围的现场考察和资料分析，项目区目前主要的生态问题包括以下几方面：</w:t>
      </w:r>
    </w:p>
    <w:p w14:paraId="06EF142C">
      <w:pPr>
        <w:pStyle w:val="96"/>
        <w:ind w:firstLine="480"/>
      </w:pPr>
      <w:r>
        <w:rPr>
          <w:rFonts w:hint="eastAsia"/>
        </w:rPr>
        <w:t>（1）水土流失问题</w:t>
      </w:r>
    </w:p>
    <w:p w14:paraId="1CE5A019">
      <w:pPr>
        <w:pStyle w:val="96"/>
        <w:ind w:firstLine="480"/>
      </w:pPr>
      <w:r>
        <w:rPr>
          <w:rFonts w:hint="eastAsia"/>
        </w:rPr>
        <w:t>本项目工程位于兴县境内，属于黄河多沙粗沙国家级水土流失重点治理区。项目区水土流失的成因除自然因素如地形地貌、土壤、植被、降雨等外，人为因素是水土流失发生的重要原因之一。项目建设区的土壤类型以黄绵土为主，这种土壤抗蚀能力差，易受侵蚀，地表植被一旦遭到破坏，就容易造成严重的水土流失。随着近年来经济的发展，原材料、资源、水电、交通等行业建设的大力推进，大批建设项目诸如开山采矿、林木砍伐、劈山建厂建路，加之因人口增长压力带来的陡坡开荒、幼林放牧等都对沿线资源进行了掠夺性的利用。项目沿线土壤本身肥力不足，植被生长缓慢，涵养水源能力较差，使得水土流失日益加重。</w:t>
      </w:r>
    </w:p>
    <w:p w14:paraId="303BADD3">
      <w:pPr>
        <w:pStyle w:val="96"/>
        <w:ind w:firstLine="480"/>
      </w:pPr>
      <w:r>
        <w:rPr>
          <w:rFonts w:hint="eastAsia"/>
        </w:rPr>
        <w:t>（2）生态系统退化问题</w:t>
      </w:r>
    </w:p>
    <w:p w14:paraId="7C883E92">
      <w:pPr>
        <w:pStyle w:val="96"/>
        <w:ind w:firstLine="480"/>
      </w:pPr>
      <w:r>
        <w:rPr>
          <w:rFonts w:hint="eastAsia"/>
        </w:rPr>
        <w:t>随着经济建设的高速发展，人口的增长和扩大对外开放，土地利用方式也发生了很大变化，园地、城镇和工矿用地增加，林地、草地、湿地面积和总体质量下降。因交通、水力、电力等工程建设强度增大和矿产不合理开采而造成的生态环境破坏也越来越严重，特别是在工程建设和矿山开采过程中因挖掘、压占、塌陷及产生的废物、废水，造成地下水位下降，野生动植物资源受损，土壤酸化和结板变性，土壤被侵占，从而导致了森林、草地、湿地退化等生态问题。</w:t>
      </w:r>
    </w:p>
    <w:p w14:paraId="11D5511A">
      <w:pPr>
        <w:pStyle w:val="4"/>
      </w:pPr>
      <w:bookmarkStart w:id="159" w:name="_Toc171579827"/>
      <w:r>
        <w:rPr>
          <w:rFonts w:hint="eastAsia"/>
        </w:rPr>
        <w:t>生态现状评价的结论</w:t>
      </w:r>
      <w:bookmarkEnd w:id="159"/>
    </w:p>
    <w:p w14:paraId="3F951D73">
      <w:pPr>
        <w:pStyle w:val="96"/>
        <w:ind w:firstLine="480"/>
      </w:pPr>
      <w:r>
        <w:rPr>
          <w:rFonts w:hint="eastAsia"/>
        </w:rPr>
        <w:t>评价区土地利用以其他草地为主，面积约为</w:t>
      </w:r>
      <w:r>
        <w:t>211.31ha，占评价区总面积的40.21%。</w:t>
      </w:r>
      <w:r>
        <w:rPr>
          <w:rFonts w:hint="eastAsia"/>
        </w:rPr>
        <w:t>井场占地范围内以旱地为主，面积约为</w:t>
      </w:r>
      <w:r>
        <w:t>6.68ha，占比为30.81%，井场道路主要占地类型为其他草地，面积约为0.50ha，占比为40.67%。</w:t>
      </w:r>
    </w:p>
    <w:p w14:paraId="569797CC">
      <w:pPr>
        <w:pStyle w:val="96"/>
        <w:ind w:firstLine="480"/>
      </w:pPr>
      <w:r>
        <w:rPr>
          <w:rFonts w:hint="eastAsia"/>
        </w:rPr>
        <w:t>评价区内自然植被面积最大的为蒿草草丛面积</w:t>
      </w:r>
      <w:r>
        <w:t>211.31ha，占评价区面积的40.21%；井场占地范围内自然植被面积最大的为蒿草草丛，面积1.99ha，占比为9.17%，井场道路占地范围内自然植被面积最大的为蒿类草丛面积0.5ha，占比为40.66%。</w:t>
      </w:r>
    </w:p>
    <w:p w14:paraId="10A750D8">
      <w:pPr>
        <w:pStyle w:val="96"/>
        <w:ind w:firstLine="480"/>
      </w:pPr>
      <w:r>
        <w:rPr>
          <w:rFonts w:hint="eastAsia"/>
        </w:rPr>
        <w:t>根据现场调查的鸟类中，体型最大的是环颈雉，其次体型较大的有雀形目鸦科的喜鹊、灰喜鹊，以及鸽形目鸠鸽科的珠颈斑鸠1种，其余物种都是小型鸟类。</w:t>
      </w:r>
    </w:p>
    <w:p w14:paraId="7DD518E0">
      <w:pPr>
        <w:pStyle w:val="96"/>
        <w:ind w:firstLine="480"/>
      </w:pPr>
      <w:r>
        <w:rPr>
          <w:rFonts w:hint="eastAsia"/>
        </w:rPr>
        <w:t>评价区平均净第一性生产力</w:t>
      </w:r>
      <w:r>
        <w:t>6.00</w:t>
      </w:r>
      <w:r>
        <w:rPr>
          <w:rFonts w:hint="eastAsia"/>
        </w:rPr>
        <w:t>t/hm</w:t>
      </w:r>
      <w:r>
        <w:rPr>
          <w:rFonts w:hint="eastAsia"/>
          <w:vertAlign w:val="superscript"/>
        </w:rPr>
        <w:t>2</w:t>
      </w:r>
      <w:r>
        <w:rPr>
          <w:rFonts w:hint="eastAsia"/>
        </w:rPr>
        <w:t>.a，属于全球生态系统生产力“较低”水平。评价区内草地生态系统所占比例最大，达到了</w:t>
      </w:r>
      <w:r>
        <w:t>40.21</w:t>
      </w:r>
      <w:r>
        <w:rPr>
          <w:rFonts w:hint="eastAsia"/>
        </w:rPr>
        <w:t>%，是评价区内决定生态系统稳定程度的主要类型，在生产力水平划分中处于较低的水平，恢复稳定性较弱。</w:t>
      </w:r>
    </w:p>
    <w:p w14:paraId="7328423B">
      <w:pPr>
        <w:pStyle w:val="96"/>
        <w:ind w:firstLine="480"/>
      </w:pPr>
      <w:r>
        <w:rPr>
          <w:rFonts w:hint="eastAsia"/>
        </w:rPr>
        <w:t>区域主要生态问题为建设区的土壤类型以黄绵土为主，这种土壤抗蚀能力差，易受侵蚀，地表植被一旦遭到破坏，就容易造成严重的水土流失。大规模农田开发和作物种植。项目评价区土壤本身肥力不足，植被生长缓慢，涵养水源能力较差，使得水土流失日益加重。</w:t>
      </w:r>
    </w:p>
    <w:p w14:paraId="6A81D12F">
      <w:pPr>
        <w:pStyle w:val="3"/>
      </w:pPr>
      <w:bookmarkStart w:id="160" w:name="_Toc171579828"/>
      <w:r>
        <w:t>生态环境影响预测与评价</w:t>
      </w:r>
      <w:bookmarkEnd w:id="160"/>
    </w:p>
    <w:p w14:paraId="1142ECBE">
      <w:pPr>
        <w:pStyle w:val="4"/>
      </w:pPr>
      <w:bookmarkStart w:id="161" w:name="_Toc171579829"/>
      <w:r>
        <w:rPr>
          <w:rFonts w:hint="eastAsia"/>
        </w:rPr>
        <w:t>钻井期和压裂期</w:t>
      </w:r>
      <w:r>
        <w:t>生态环境影响预测与评价</w:t>
      </w:r>
      <w:bookmarkEnd w:id="161"/>
    </w:p>
    <w:p w14:paraId="4F80E161">
      <w:pPr>
        <w:pStyle w:val="5"/>
      </w:pPr>
      <w:r>
        <w:t>对土地利用的影响</w:t>
      </w:r>
    </w:p>
    <w:p w14:paraId="1E533476">
      <w:pPr>
        <w:pStyle w:val="96"/>
        <w:ind w:firstLine="480"/>
      </w:pPr>
      <w:r>
        <w:rPr>
          <w:rFonts w:hint="eastAsia"/>
        </w:rPr>
        <w:t>评价区土地资源的占用为临时性占地。临时性用地主要是勘探井的建设和井场道路的建设，工程建设将</w:t>
      </w:r>
      <w:r>
        <w:t>临时性占地</w:t>
      </w:r>
      <w:r>
        <w:rPr>
          <w:rFonts w:hint="eastAsia"/>
        </w:rPr>
        <w:t>为</w:t>
      </w:r>
      <w:r>
        <w:t>22.91ha。</w:t>
      </w:r>
      <w:r>
        <w:rPr>
          <w:rFonts w:hint="eastAsia"/>
        </w:rPr>
        <w:t>本项目土地利用预测表见下表。由表可知，项目建设占用土地数量很少，对区域土地利用总体格局影响轻微，且本项目单个勘探井的建设周期为3</w:t>
      </w:r>
      <w:r>
        <w:t>0</w:t>
      </w:r>
      <w:r>
        <w:rPr>
          <w:rFonts w:hint="eastAsia"/>
        </w:rPr>
        <w:t>天，试采周期为</w:t>
      </w:r>
      <w:r>
        <w:t>60</w:t>
      </w:r>
      <w:r>
        <w:rPr>
          <w:rFonts w:hint="eastAsia"/>
        </w:rPr>
        <w:t>天，总计9</w:t>
      </w:r>
      <w:r>
        <w:t>0</w:t>
      </w:r>
      <w:r>
        <w:rPr>
          <w:rFonts w:hint="eastAsia"/>
        </w:rPr>
        <w:t>天，勘探期满后结束后即可恢复原貌，对区域土地利用影响较小。</w:t>
      </w:r>
    </w:p>
    <w:p w14:paraId="79104DC2">
      <w:pPr>
        <w:pStyle w:val="96"/>
        <w:ind w:firstLine="480"/>
        <w:rPr>
          <w:rFonts w:cs="Arial"/>
        </w:rPr>
      </w:pPr>
      <w:r>
        <w:rPr>
          <w:rFonts w:hint="eastAsia"/>
        </w:rPr>
        <w:t>本项目建设将工程临时征用的土地改变为建设用地，占用土地原有生态功能部分或全部丧失，土地生产力将遭到破坏，但致密气勘探是一个临时性的点状工程，项目建设实际占地面积约</w:t>
      </w:r>
      <w:r>
        <w:t>22.91</w:t>
      </w:r>
      <w:r>
        <w:rPr>
          <w:rFonts w:hint="eastAsia"/>
        </w:rPr>
        <w:t>ha，道路、井场等临时占地区在项目区基本呈均匀分布，项目建设占地对区域生态功能影响较小，工程占地以旱地、草地为主，不占用基本农田、国家二级公益林、Ⅰ、Ⅱ级保护林地、山西省永久性生态公益林等保护用地，临时占地在占用完毕后都可在较短时间内恢复，项目区的生态功能将逐步恢复，所以本项目建设占用土地对区域生态影响较小。</w:t>
      </w:r>
    </w:p>
    <w:p w14:paraId="018402D7">
      <w:pPr>
        <w:pStyle w:val="96"/>
        <w:ind w:firstLine="480"/>
      </w:pPr>
      <w:r>
        <w:rPr>
          <w:rFonts w:hint="eastAsia"/>
        </w:rPr>
        <w:t>根据现场调查，项目的井场选址占地在当地现有土地利用类型中所占比例很小，不会导致区域土地利用格局的变化，对区域土地利用格局产生的影响甚微。工程占用的耕地通过临时用地进行补偿，节勘探期满后，将恢复原土地使用功能，因此项目建设对区域土地利用结构的影响属于可以接受的范围。</w:t>
      </w:r>
    </w:p>
    <w:p w14:paraId="406DB338">
      <w:pPr>
        <w:pStyle w:val="5"/>
      </w:pPr>
      <w:r>
        <w:t>本项目井场占地地形地貌影响</w:t>
      </w:r>
    </w:p>
    <w:p w14:paraId="4B813F44">
      <w:pPr>
        <w:pStyle w:val="96"/>
        <w:ind w:firstLine="480"/>
      </w:pPr>
      <w:r>
        <w:rPr>
          <w:rFonts w:hint="eastAsia"/>
        </w:rPr>
        <w:t>根据《水土保持综合治理</w:t>
      </w:r>
      <w:r>
        <w:t xml:space="preserve"> 规划通则</w:t>
      </w:r>
      <w:r>
        <w:rPr>
          <w:rFonts w:hint="eastAsia"/>
        </w:rPr>
        <w:t>》（</w:t>
      </w:r>
      <w:r>
        <w:t>GB/T 15772-2008</w:t>
      </w:r>
      <w:r>
        <w:rPr>
          <w:rFonts w:hint="eastAsia"/>
        </w:rPr>
        <w:t>）本项目井场占地地貌类型划分为山顶地、沟底地、沟台地、山腰地，具体占地类型见下表。</w:t>
      </w:r>
    </w:p>
    <w:p w14:paraId="3864E36D">
      <w:pPr>
        <w:pStyle w:val="19"/>
        <w:keepNext/>
      </w:pPr>
      <w:r>
        <w:t xml:space="preserve">表 </w:t>
      </w:r>
      <w:r>
        <w:fldChar w:fldCharType="begin"/>
      </w:r>
      <w:r>
        <w:instrText xml:space="preserve"> SEQ 表 \* ARABIC </w:instrText>
      </w:r>
      <w:r>
        <w:fldChar w:fldCharType="separate"/>
      </w:r>
      <w:r>
        <w:t>87</w:t>
      </w:r>
      <w:r>
        <w:fldChar w:fldCharType="end"/>
      </w:r>
      <w:r>
        <w:rPr>
          <w:rFonts w:hint="eastAsia"/>
        </w:rPr>
        <w:t>井场永久占地地形地貌调查</w:t>
      </w:r>
    </w:p>
    <w:tbl>
      <w:tblPr>
        <w:tblStyle w:val="73"/>
        <w:tblW w:w="4999"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336"/>
        <w:gridCol w:w="5344"/>
      </w:tblGrid>
      <w:tr w14:paraId="5A0D2B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2498" w:type="pct"/>
            <w:noWrap/>
            <w:vAlign w:val="center"/>
          </w:tcPr>
          <w:p w14:paraId="1175B0A1">
            <w:pPr>
              <w:pStyle w:val="94"/>
              <w:ind w:firstLine="480"/>
              <w:rPr>
                <w:color w:val="auto"/>
              </w:rPr>
            </w:pPr>
            <w:r>
              <w:rPr>
                <w:rFonts w:hint="eastAsia"/>
                <w:color w:val="auto"/>
              </w:rPr>
              <w:t>地貌类型</w:t>
            </w:r>
          </w:p>
        </w:tc>
        <w:tc>
          <w:tcPr>
            <w:tcW w:w="2502" w:type="pct"/>
            <w:noWrap/>
            <w:vAlign w:val="center"/>
          </w:tcPr>
          <w:p w14:paraId="6B05D6C5">
            <w:pPr>
              <w:pStyle w:val="94"/>
              <w:ind w:firstLine="480"/>
              <w:rPr>
                <w:color w:val="auto"/>
              </w:rPr>
            </w:pPr>
            <w:r>
              <w:rPr>
                <w:rFonts w:hint="eastAsia"/>
                <w:color w:val="auto"/>
              </w:rPr>
              <w:t>井场数</w:t>
            </w:r>
          </w:p>
        </w:tc>
      </w:tr>
      <w:tr w14:paraId="623B3F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2498" w:type="pct"/>
            <w:noWrap/>
            <w:vAlign w:val="center"/>
          </w:tcPr>
          <w:p w14:paraId="465B9770">
            <w:pPr>
              <w:pStyle w:val="94"/>
              <w:ind w:firstLine="480"/>
              <w:rPr>
                <w:color w:val="auto"/>
              </w:rPr>
            </w:pPr>
            <w:r>
              <w:rPr>
                <w:rFonts w:hint="eastAsia"/>
                <w:color w:val="auto"/>
              </w:rPr>
              <w:t>山顶地</w:t>
            </w:r>
          </w:p>
        </w:tc>
        <w:tc>
          <w:tcPr>
            <w:tcW w:w="2502" w:type="pct"/>
            <w:noWrap/>
            <w:vAlign w:val="center"/>
          </w:tcPr>
          <w:p w14:paraId="42CD8A31">
            <w:pPr>
              <w:pStyle w:val="94"/>
              <w:ind w:firstLine="480"/>
              <w:rPr>
                <w:color w:val="auto"/>
              </w:rPr>
            </w:pPr>
            <w:r>
              <w:rPr>
                <w:rFonts w:hint="eastAsia"/>
                <w:color w:val="auto"/>
              </w:rPr>
              <w:t>12</w:t>
            </w:r>
          </w:p>
        </w:tc>
      </w:tr>
      <w:tr w14:paraId="542748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2498" w:type="pct"/>
            <w:noWrap/>
            <w:vAlign w:val="center"/>
          </w:tcPr>
          <w:p w14:paraId="160DAE65">
            <w:pPr>
              <w:pStyle w:val="94"/>
              <w:ind w:firstLine="480"/>
              <w:rPr>
                <w:color w:val="auto"/>
              </w:rPr>
            </w:pPr>
            <w:r>
              <w:rPr>
                <w:rFonts w:hint="eastAsia"/>
                <w:color w:val="auto"/>
              </w:rPr>
              <w:t>沟底地</w:t>
            </w:r>
          </w:p>
        </w:tc>
        <w:tc>
          <w:tcPr>
            <w:tcW w:w="2502" w:type="pct"/>
            <w:noWrap/>
            <w:vAlign w:val="center"/>
          </w:tcPr>
          <w:p w14:paraId="25E81982">
            <w:pPr>
              <w:pStyle w:val="94"/>
              <w:ind w:firstLine="480"/>
              <w:rPr>
                <w:color w:val="auto"/>
              </w:rPr>
            </w:pPr>
            <w:r>
              <w:rPr>
                <w:rFonts w:ascii="Times New Roman" w:hAnsi="Times New Roman" w:cs="Times New Roman"/>
                <w:color w:val="auto"/>
              </w:rPr>
              <w:t>1</w:t>
            </w:r>
          </w:p>
        </w:tc>
      </w:tr>
      <w:tr w14:paraId="2E614A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498" w:type="pct"/>
            <w:noWrap/>
            <w:vAlign w:val="center"/>
          </w:tcPr>
          <w:p w14:paraId="020C7A2D">
            <w:pPr>
              <w:pStyle w:val="94"/>
              <w:ind w:firstLine="480"/>
              <w:rPr>
                <w:color w:val="auto"/>
              </w:rPr>
            </w:pPr>
            <w:r>
              <w:rPr>
                <w:rFonts w:hint="eastAsia"/>
                <w:color w:val="auto"/>
              </w:rPr>
              <w:t>沟台地</w:t>
            </w:r>
          </w:p>
        </w:tc>
        <w:tc>
          <w:tcPr>
            <w:tcW w:w="2502" w:type="pct"/>
            <w:noWrap/>
            <w:vAlign w:val="center"/>
          </w:tcPr>
          <w:p w14:paraId="33B7D489">
            <w:pPr>
              <w:pStyle w:val="94"/>
              <w:ind w:firstLine="480"/>
              <w:rPr>
                <w:color w:val="auto"/>
              </w:rPr>
            </w:pPr>
            <w:r>
              <w:rPr>
                <w:rFonts w:ascii="Times New Roman" w:hAnsi="Times New Roman" w:cs="Times New Roman"/>
                <w:color w:val="auto"/>
              </w:rPr>
              <w:t>2</w:t>
            </w:r>
          </w:p>
        </w:tc>
      </w:tr>
      <w:tr w14:paraId="7991AA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498" w:type="pct"/>
            <w:noWrap/>
            <w:vAlign w:val="center"/>
          </w:tcPr>
          <w:p w14:paraId="65736929">
            <w:pPr>
              <w:pStyle w:val="94"/>
              <w:ind w:firstLine="480"/>
              <w:rPr>
                <w:color w:val="auto"/>
              </w:rPr>
            </w:pPr>
            <w:r>
              <w:rPr>
                <w:rFonts w:hint="eastAsia"/>
                <w:color w:val="auto"/>
              </w:rPr>
              <w:t>山腰地</w:t>
            </w:r>
          </w:p>
        </w:tc>
        <w:tc>
          <w:tcPr>
            <w:tcW w:w="2502" w:type="pct"/>
            <w:noWrap/>
            <w:vAlign w:val="center"/>
          </w:tcPr>
          <w:p w14:paraId="17963C3D">
            <w:pPr>
              <w:pStyle w:val="94"/>
              <w:ind w:firstLine="480"/>
              <w:rPr>
                <w:rFonts w:ascii="Times New Roman" w:hAnsi="Times New Roman"/>
                <w:color w:val="auto"/>
              </w:rPr>
            </w:pPr>
            <w:r>
              <w:rPr>
                <w:rFonts w:ascii="Times New Roman" w:hAnsi="Times New Roman" w:cs="Times New Roman"/>
                <w:color w:val="auto"/>
              </w:rPr>
              <w:t>6</w:t>
            </w:r>
          </w:p>
        </w:tc>
      </w:tr>
    </w:tbl>
    <w:p w14:paraId="644DA9BA">
      <w:pPr>
        <w:pStyle w:val="96"/>
        <w:ind w:firstLine="480"/>
      </w:pPr>
      <w:r>
        <w:rPr>
          <w:rFonts w:hint="eastAsia"/>
        </w:rPr>
        <w:t>根据上述数据可知本项目井场均处于山地，项目建设会影响地形地貌，将形成大面积边坡，造成水土流失。因此，要求建设单位按照本次评价提出的生态恢复措施及时进行生态恢复，以免造成严重水土流失。</w:t>
      </w:r>
    </w:p>
    <w:p w14:paraId="12754094">
      <w:pPr>
        <w:pStyle w:val="5"/>
      </w:pPr>
      <w:r>
        <w:t>生态系统影响分析</w:t>
      </w:r>
    </w:p>
    <w:p w14:paraId="373B38D8">
      <w:pPr>
        <w:pStyle w:val="96"/>
        <w:ind w:firstLine="480"/>
      </w:pPr>
      <w:r>
        <w:t>1、对生态系统面积的影响</w:t>
      </w:r>
    </w:p>
    <w:p w14:paraId="76009074">
      <w:pPr>
        <w:pStyle w:val="96"/>
        <w:ind w:firstLine="480"/>
      </w:pPr>
      <w:r>
        <w:rPr>
          <w:rFonts w:hint="eastAsia"/>
        </w:rPr>
        <w:t>工程将导致评价区各类生态系统面积发生变化，其中草地生态系统面积减少</w:t>
      </w:r>
      <w:r>
        <w:t>2.49</w:t>
      </w:r>
      <w:r>
        <w:rPr>
          <w:rFonts w:hint="eastAsia"/>
        </w:rPr>
        <w:t>ha，农田生态系统减少</w:t>
      </w:r>
      <w:r>
        <w:t>9.90ha，森林生态系统减少5.44ha，城镇生态系统减少0.11ha，详见下表。</w:t>
      </w:r>
    </w:p>
    <w:p w14:paraId="0EB2B81E">
      <w:pPr>
        <w:pStyle w:val="19"/>
        <w:keepNext/>
      </w:pPr>
      <w:r>
        <w:t xml:space="preserve">表 </w:t>
      </w:r>
      <w:r>
        <w:fldChar w:fldCharType="begin"/>
      </w:r>
      <w:r>
        <w:instrText xml:space="preserve"> SEQ 表 \* ARABIC </w:instrText>
      </w:r>
      <w:r>
        <w:fldChar w:fldCharType="separate"/>
      </w:r>
      <w:r>
        <w:t>88</w:t>
      </w:r>
      <w:r>
        <w:fldChar w:fldCharType="end"/>
      </w:r>
      <w:r>
        <w:rPr>
          <w:rFonts w:hint="eastAsia"/>
        </w:rPr>
        <w:t>生态系统面积变化表</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38"/>
        <w:gridCol w:w="1884"/>
        <w:gridCol w:w="2068"/>
        <w:gridCol w:w="3123"/>
        <w:gridCol w:w="2069"/>
      </w:tblGrid>
      <w:tr w14:paraId="1FBC5F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20" w:type="pct"/>
            <w:noWrap/>
            <w:vAlign w:val="center"/>
          </w:tcPr>
          <w:p w14:paraId="794E01AE">
            <w:pPr>
              <w:pStyle w:val="94"/>
              <w:rPr>
                <w:color w:val="auto"/>
              </w:rPr>
            </w:pPr>
            <w:r>
              <w:rPr>
                <w:color w:val="auto"/>
              </w:rPr>
              <w:t>Ⅰ级代码</w:t>
            </w:r>
          </w:p>
        </w:tc>
        <w:tc>
          <w:tcPr>
            <w:tcW w:w="882" w:type="pct"/>
            <w:noWrap/>
            <w:vAlign w:val="center"/>
          </w:tcPr>
          <w:p w14:paraId="40A3658D">
            <w:pPr>
              <w:pStyle w:val="94"/>
              <w:rPr>
                <w:color w:val="auto"/>
              </w:rPr>
            </w:pPr>
            <w:r>
              <w:rPr>
                <w:color w:val="auto"/>
              </w:rPr>
              <w:t>Ⅰ级分类</w:t>
            </w:r>
          </w:p>
        </w:tc>
        <w:tc>
          <w:tcPr>
            <w:tcW w:w="968" w:type="pct"/>
            <w:noWrap/>
            <w:vAlign w:val="center"/>
          </w:tcPr>
          <w:p w14:paraId="577B9715">
            <w:pPr>
              <w:pStyle w:val="94"/>
              <w:rPr>
                <w:color w:val="auto"/>
              </w:rPr>
            </w:pPr>
            <w:r>
              <w:rPr>
                <w:color w:val="auto"/>
              </w:rPr>
              <w:t>工程占用面积ha</w:t>
            </w:r>
          </w:p>
        </w:tc>
        <w:tc>
          <w:tcPr>
            <w:tcW w:w="1462" w:type="pct"/>
            <w:noWrap/>
            <w:vAlign w:val="center"/>
          </w:tcPr>
          <w:p w14:paraId="3B5FD7B2">
            <w:pPr>
              <w:pStyle w:val="94"/>
              <w:rPr>
                <w:color w:val="auto"/>
              </w:rPr>
            </w:pPr>
            <w:r>
              <w:rPr>
                <w:color w:val="auto"/>
              </w:rPr>
              <w:t>评价范围现状面积ha</w:t>
            </w:r>
          </w:p>
        </w:tc>
        <w:tc>
          <w:tcPr>
            <w:tcW w:w="968" w:type="pct"/>
            <w:noWrap/>
            <w:vAlign w:val="center"/>
          </w:tcPr>
          <w:p w14:paraId="66E2A40C">
            <w:pPr>
              <w:pStyle w:val="94"/>
              <w:rPr>
                <w:color w:val="auto"/>
              </w:rPr>
            </w:pPr>
            <w:r>
              <w:rPr>
                <w:color w:val="auto"/>
              </w:rPr>
              <w:t>占比%</w:t>
            </w:r>
          </w:p>
        </w:tc>
      </w:tr>
      <w:tr w14:paraId="1E1B1A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20" w:type="pct"/>
            <w:noWrap/>
            <w:vAlign w:val="center"/>
          </w:tcPr>
          <w:p w14:paraId="189AA872">
            <w:pPr>
              <w:pStyle w:val="94"/>
              <w:rPr>
                <w:color w:val="auto"/>
              </w:rPr>
            </w:pPr>
            <w:r>
              <w:rPr>
                <w:color w:val="auto"/>
              </w:rPr>
              <w:t>1</w:t>
            </w:r>
          </w:p>
        </w:tc>
        <w:tc>
          <w:tcPr>
            <w:tcW w:w="882" w:type="pct"/>
            <w:noWrap/>
            <w:vAlign w:val="center"/>
          </w:tcPr>
          <w:p w14:paraId="003CD205">
            <w:pPr>
              <w:pStyle w:val="94"/>
              <w:rPr>
                <w:color w:val="auto"/>
              </w:rPr>
            </w:pPr>
            <w:r>
              <w:rPr>
                <w:color w:val="auto"/>
              </w:rPr>
              <w:t>森林生态系统</w:t>
            </w:r>
          </w:p>
        </w:tc>
        <w:tc>
          <w:tcPr>
            <w:tcW w:w="968" w:type="pct"/>
            <w:noWrap/>
            <w:vAlign w:val="center"/>
          </w:tcPr>
          <w:p w14:paraId="3851AA90">
            <w:pPr>
              <w:pStyle w:val="94"/>
              <w:rPr>
                <w:color w:val="auto"/>
              </w:rPr>
            </w:pPr>
            <w:r>
              <w:rPr>
                <w:color w:val="auto"/>
              </w:rPr>
              <w:t xml:space="preserve">5.44 </w:t>
            </w:r>
          </w:p>
        </w:tc>
        <w:tc>
          <w:tcPr>
            <w:tcW w:w="1462" w:type="pct"/>
            <w:noWrap/>
            <w:vAlign w:val="center"/>
          </w:tcPr>
          <w:p w14:paraId="30091841">
            <w:pPr>
              <w:pStyle w:val="94"/>
              <w:rPr>
                <w:color w:val="auto"/>
              </w:rPr>
            </w:pPr>
            <w:r>
              <w:rPr>
                <w:color w:val="auto"/>
              </w:rPr>
              <w:t xml:space="preserve">74.48 </w:t>
            </w:r>
          </w:p>
        </w:tc>
        <w:tc>
          <w:tcPr>
            <w:tcW w:w="968" w:type="pct"/>
            <w:noWrap/>
            <w:vAlign w:val="center"/>
          </w:tcPr>
          <w:p w14:paraId="67F4317B">
            <w:pPr>
              <w:pStyle w:val="94"/>
              <w:rPr>
                <w:color w:val="auto"/>
              </w:rPr>
            </w:pPr>
            <w:r>
              <w:rPr>
                <w:color w:val="auto"/>
              </w:rPr>
              <w:t xml:space="preserve">7.30 </w:t>
            </w:r>
          </w:p>
        </w:tc>
      </w:tr>
      <w:tr w14:paraId="4CBBF8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20" w:type="pct"/>
            <w:noWrap/>
            <w:vAlign w:val="center"/>
          </w:tcPr>
          <w:p w14:paraId="10D61EB1">
            <w:pPr>
              <w:pStyle w:val="94"/>
              <w:rPr>
                <w:color w:val="auto"/>
              </w:rPr>
            </w:pPr>
            <w:r>
              <w:rPr>
                <w:color w:val="auto"/>
              </w:rPr>
              <w:t>2</w:t>
            </w:r>
          </w:p>
        </w:tc>
        <w:tc>
          <w:tcPr>
            <w:tcW w:w="882" w:type="pct"/>
            <w:noWrap/>
            <w:vAlign w:val="center"/>
          </w:tcPr>
          <w:p w14:paraId="016417C3">
            <w:pPr>
              <w:pStyle w:val="94"/>
              <w:rPr>
                <w:color w:val="auto"/>
              </w:rPr>
            </w:pPr>
            <w:r>
              <w:rPr>
                <w:color w:val="auto"/>
              </w:rPr>
              <w:t>灌丛生态系统</w:t>
            </w:r>
          </w:p>
        </w:tc>
        <w:tc>
          <w:tcPr>
            <w:tcW w:w="968" w:type="pct"/>
            <w:noWrap/>
            <w:vAlign w:val="center"/>
          </w:tcPr>
          <w:p w14:paraId="77F054CD">
            <w:pPr>
              <w:pStyle w:val="94"/>
              <w:rPr>
                <w:color w:val="auto"/>
              </w:rPr>
            </w:pPr>
            <w:r>
              <w:rPr>
                <w:color w:val="auto"/>
              </w:rPr>
              <w:t xml:space="preserve">0.18 </w:t>
            </w:r>
          </w:p>
        </w:tc>
        <w:tc>
          <w:tcPr>
            <w:tcW w:w="1462" w:type="pct"/>
            <w:noWrap/>
            <w:vAlign w:val="center"/>
          </w:tcPr>
          <w:p w14:paraId="59F228D2">
            <w:pPr>
              <w:pStyle w:val="94"/>
              <w:rPr>
                <w:color w:val="auto"/>
              </w:rPr>
            </w:pPr>
            <w:r>
              <w:rPr>
                <w:color w:val="auto"/>
              </w:rPr>
              <w:t xml:space="preserve">3.90 </w:t>
            </w:r>
          </w:p>
        </w:tc>
        <w:tc>
          <w:tcPr>
            <w:tcW w:w="968" w:type="pct"/>
            <w:noWrap/>
            <w:vAlign w:val="center"/>
          </w:tcPr>
          <w:p w14:paraId="3A14D855">
            <w:pPr>
              <w:pStyle w:val="94"/>
              <w:rPr>
                <w:color w:val="auto"/>
              </w:rPr>
            </w:pPr>
            <w:r>
              <w:rPr>
                <w:color w:val="auto"/>
              </w:rPr>
              <w:t xml:space="preserve">4.62 </w:t>
            </w:r>
          </w:p>
        </w:tc>
      </w:tr>
      <w:tr w14:paraId="5CFE0A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20" w:type="pct"/>
            <w:noWrap/>
            <w:vAlign w:val="center"/>
          </w:tcPr>
          <w:p w14:paraId="62434068">
            <w:pPr>
              <w:pStyle w:val="94"/>
              <w:rPr>
                <w:color w:val="auto"/>
              </w:rPr>
            </w:pPr>
            <w:r>
              <w:rPr>
                <w:color w:val="auto"/>
              </w:rPr>
              <w:t>3</w:t>
            </w:r>
          </w:p>
        </w:tc>
        <w:tc>
          <w:tcPr>
            <w:tcW w:w="882" w:type="pct"/>
            <w:noWrap/>
            <w:vAlign w:val="center"/>
          </w:tcPr>
          <w:p w14:paraId="490AC161">
            <w:pPr>
              <w:pStyle w:val="94"/>
              <w:rPr>
                <w:color w:val="auto"/>
              </w:rPr>
            </w:pPr>
            <w:r>
              <w:rPr>
                <w:color w:val="auto"/>
              </w:rPr>
              <w:t>草地生态系统</w:t>
            </w:r>
          </w:p>
        </w:tc>
        <w:tc>
          <w:tcPr>
            <w:tcW w:w="968" w:type="pct"/>
            <w:noWrap/>
            <w:vAlign w:val="center"/>
          </w:tcPr>
          <w:p w14:paraId="3CA979C9">
            <w:pPr>
              <w:pStyle w:val="94"/>
              <w:rPr>
                <w:color w:val="auto"/>
              </w:rPr>
            </w:pPr>
            <w:r>
              <w:rPr>
                <w:color w:val="auto"/>
              </w:rPr>
              <w:t xml:space="preserve">2.49 </w:t>
            </w:r>
          </w:p>
        </w:tc>
        <w:tc>
          <w:tcPr>
            <w:tcW w:w="1462" w:type="pct"/>
            <w:noWrap/>
            <w:vAlign w:val="center"/>
          </w:tcPr>
          <w:p w14:paraId="4CB1DBCD">
            <w:pPr>
              <w:pStyle w:val="94"/>
              <w:rPr>
                <w:color w:val="auto"/>
              </w:rPr>
            </w:pPr>
            <w:r>
              <w:rPr>
                <w:color w:val="auto"/>
              </w:rPr>
              <w:t xml:space="preserve">211.31 </w:t>
            </w:r>
          </w:p>
        </w:tc>
        <w:tc>
          <w:tcPr>
            <w:tcW w:w="968" w:type="pct"/>
            <w:noWrap/>
            <w:vAlign w:val="center"/>
          </w:tcPr>
          <w:p w14:paraId="5E4A21C2">
            <w:pPr>
              <w:pStyle w:val="94"/>
              <w:rPr>
                <w:color w:val="auto"/>
              </w:rPr>
            </w:pPr>
            <w:r>
              <w:rPr>
                <w:color w:val="auto"/>
              </w:rPr>
              <w:t xml:space="preserve">1.18 </w:t>
            </w:r>
          </w:p>
        </w:tc>
      </w:tr>
      <w:tr w14:paraId="30AAA6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20" w:type="pct"/>
            <w:noWrap/>
            <w:vAlign w:val="center"/>
          </w:tcPr>
          <w:p w14:paraId="18F74008">
            <w:pPr>
              <w:pStyle w:val="94"/>
              <w:rPr>
                <w:color w:val="auto"/>
              </w:rPr>
            </w:pPr>
            <w:r>
              <w:rPr>
                <w:color w:val="auto"/>
              </w:rPr>
              <w:t>4</w:t>
            </w:r>
          </w:p>
        </w:tc>
        <w:tc>
          <w:tcPr>
            <w:tcW w:w="882" w:type="pct"/>
            <w:noWrap/>
            <w:vAlign w:val="center"/>
          </w:tcPr>
          <w:p w14:paraId="60604361">
            <w:pPr>
              <w:pStyle w:val="94"/>
              <w:rPr>
                <w:color w:val="auto"/>
              </w:rPr>
            </w:pPr>
            <w:r>
              <w:rPr>
                <w:color w:val="auto"/>
              </w:rPr>
              <w:t>湿地生态系统</w:t>
            </w:r>
          </w:p>
        </w:tc>
        <w:tc>
          <w:tcPr>
            <w:tcW w:w="968" w:type="pct"/>
            <w:noWrap/>
            <w:vAlign w:val="center"/>
          </w:tcPr>
          <w:p w14:paraId="6805BD39">
            <w:pPr>
              <w:pStyle w:val="94"/>
              <w:rPr>
                <w:color w:val="auto"/>
              </w:rPr>
            </w:pPr>
            <w:r>
              <w:rPr>
                <w:color w:val="auto"/>
              </w:rPr>
              <w:t xml:space="preserve">0.00 </w:t>
            </w:r>
          </w:p>
        </w:tc>
        <w:tc>
          <w:tcPr>
            <w:tcW w:w="1462" w:type="pct"/>
            <w:noWrap/>
            <w:vAlign w:val="center"/>
          </w:tcPr>
          <w:p w14:paraId="3F391D82">
            <w:pPr>
              <w:pStyle w:val="94"/>
              <w:rPr>
                <w:color w:val="auto"/>
              </w:rPr>
            </w:pPr>
            <w:r>
              <w:rPr>
                <w:color w:val="auto"/>
              </w:rPr>
              <w:t xml:space="preserve">1.04 </w:t>
            </w:r>
          </w:p>
        </w:tc>
        <w:tc>
          <w:tcPr>
            <w:tcW w:w="968" w:type="pct"/>
            <w:noWrap/>
            <w:vAlign w:val="center"/>
          </w:tcPr>
          <w:p w14:paraId="0D2DC9FD">
            <w:pPr>
              <w:pStyle w:val="94"/>
              <w:rPr>
                <w:color w:val="auto"/>
              </w:rPr>
            </w:pPr>
            <w:r>
              <w:rPr>
                <w:color w:val="auto"/>
              </w:rPr>
              <w:t xml:space="preserve">0.00 </w:t>
            </w:r>
          </w:p>
        </w:tc>
      </w:tr>
      <w:tr w14:paraId="43519C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20" w:type="pct"/>
            <w:noWrap/>
            <w:vAlign w:val="center"/>
          </w:tcPr>
          <w:p w14:paraId="1DC29A87">
            <w:pPr>
              <w:pStyle w:val="94"/>
              <w:rPr>
                <w:color w:val="auto"/>
              </w:rPr>
            </w:pPr>
            <w:r>
              <w:rPr>
                <w:color w:val="auto"/>
              </w:rPr>
              <w:t>5</w:t>
            </w:r>
          </w:p>
        </w:tc>
        <w:tc>
          <w:tcPr>
            <w:tcW w:w="882" w:type="pct"/>
            <w:noWrap/>
            <w:vAlign w:val="center"/>
          </w:tcPr>
          <w:p w14:paraId="4DAEE397">
            <w:pPr>
              <w:pStyle w:val="94"/>
              <w:rPr>
                <w:color w:val="auto"/>
              </w:rPr>
            </w:pPr>
            <w:r>
              <w:rPr>
                <w:color w:val="auto"/>
              </w:rPr>
              <w:t>农田生态系统</w:t>
            </w:r>
          </w:p>
        </w:tc>
        <w:tc>
          <w:tcPr>
            <w:tcW w:w="968" w:type="pct"/>
            <w:noWrap/>
            <w:vAlign w:val="center"/>
          </w:tcPr>
          <w:p w14:paraId="495DFAB0">
            <w:pPr>
              <w:pStyle w:val="94"/>
              <w:rPr>
                <w:color w:val="auto"/>
              </w:rPr>
            </w:pPr>
            <w:r>
              <w:rPr>
                <w:color w:val="auto"/>
              </w:rPr>
              <w:t xml:space="preserve">9.90 </w:t>
            </w:r>
          </w:p>
        </w:tc>
        <w:tc>
          <w:tcPr>
            <w:tcW w:w="1462" w:type="pct"/>
            <w:noWrap/>
            <w:vAlign w:val="center"/>
          </w:tcPr>
          <w:p w14:paraId="3566FBD1">
            <w:pPr>
              <w:pStyle w:val="94"/>
              <w:rPr>
                <w:color w:val="auto"/>
              </w:rPr>
            </w:pPr>
            <w:r>
              <w:rPr>
                <w:color w:val="auto"/>
              </w:rPr>
              <w:t xml:space="preserve">179.63 </w:t>
            </w:r>
          </w:p>
        </w:tc>
        <w:tc>
          <w:tcPr>
            <w:tcW w:w="968" w:type="pct"/>
            <w:noWrap/>
            <w:vAlign w:val="center"/>
          </w:tcPr>
          <w:p w14:paraId="4AD75E83">
            <w:pPr>
              <w:pStyle w:val="94"/>
              <w:rPr>
                <w:color w:val="auto"/>
              </w:rPr>
            </w:pPr>
            <w:r>
              <w:rPr>
                <w:color w:val="auto"/>
              </w:rPr>
              <w:t xml:space="preserve">5.51 </w:t>
            </w:r>
          </w:p>
        </w:tc>
      </w:tr>
      <w:tr w14:paraId="61ACE1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20" w:type="pct"/>
            <w:noWrap/>
            <w:vAlign w:val="center"/>
          </w:tcPr>
          <w:p w14:paraId="2CEA334D">
            <w:pPr>
              <w:pStyle w:val="94"/>
              <w:rPr>
                <w:color w:val="auto"/>
              </w:rPr>
            </w:pPr>
            <w:r>
              <w:rPr>
                <w:color w:val="auto"/>
              </w:rPr>
              <w:t>6</w:t>
            </w:r>
          </w:p>
        </w:tc>
        <w:tc>
          <w:tcPr>
            <w:tcW w:w="882" w:type="pct"/>
            <w:noWrap/>
            <w:vAlign w:val="center"/>
          </w:tcPr>
          <w:p w14:paraId="2FBECB91">
            <w:pPr>
              <w:pStyle w:val="94"/>
              <w:rPr>
                <w:color w:val="auto"/>
              </w:rPr>
            </w:pPr>
            <w:r>
              <w:rPr>
                <w:color w:val="auto"/>
              </w:rPr>
              <w:t>城镇生态系统</w:t>
            </w:r>
          </w:p>
        </w:tc>
        <w:tc>
          <w:tcPr>
            <w:tcW w:w="968" w:type="pct"/>
            <w:noWrap/>
            <w:vAlign w:val="center"/>
          </w:tcPr>
          <w:p w14:paraId="4594552A">
            <w:pPr>
              <w:pStyle w:val="94"/>
              <w:rPr>
                <w:color w:val="auto"/>
              </w:rPr>
            </w:pPr>
            <w:r>
              <w:rPr>
                <w:color w:val="auto"/>
              </w:rPr>
              <w:t xml:space="preserve">0.11 </w:t>
            </w:r>
          </w:p>
        </w:tc>
        <w:tc>
          <w:tcPr>
            <w:tcW w:w="1462" w:type="pct"/>
            <w:noWrap/>
            <w:vAlign w:val="center"/>
          </w:tcPr>
          <w:p w14:paraId="6693FDC7">
            <w:pPr>
              <w:pStyle w:val="94"/>
              <w:rPr>
                <w:color w:val="auto"/>
              </w:rPr>
            </w:pPr>
            <w:r>
              <w:rPr>
                <w:color w:val="auto"/>
              </w:rPr>
              <w:t xml:space="preserve">8.13 </w:t>
            </w:r>
          </w:p>
        </w:tc>
        <w:tc>
          <w:tcPr>
            <w:tcW w:w="968" w:type="pct"/>
            <w:noWrap/>
            <w:vAlign w:val="center"/>
          </w:tcPr>
          <w:p w14:paraId="567BAD1C">
            <w:pPr>
              <w:pStyle w:val="94"/>
              <w:rPr>
                <w:color w:val="auto"/>
              </w:rPr>
            </w:pPr>
            <w:r>
              <w:rPr>
                <w:color w:val="auto"/>
              </w:rPr>
              <w:t xml:space="preserve">1.35 </w:t>
            </w:r>
          </w:p>
        </w:tc>
      </w:tr>
      <w:tr w14:paraId="6BB10E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20" w:type="pct"/>
            <w:noWrap/>
            <w:vAlign w:val="center"/>
          </w:tcPr>
          <w:p w14:paraId="40591B95">
            <w:pPr>
              <w:pStyle w:val="94"/>
              <w:rPr>
                <w:color w:val="auto"/>
              </w:rPr>
            </w:pPr>
            <w:r>
              <w:rPr>
                <w:color w:val="auto"/>
              </w:rPr>
              <w:t>8</w:t>
            </w:r>
          </w:p>
        </w:tc>
        <w:tc>
          <w:tcPr>
            <w:tcW w:w="882" w:type="pct"/>
            <w:noWrap/>
            <w:vAlign w:val="center"/>
          </w:tcPr>
          <w:p w14:paraId="3583F627">
            <w:pPr>
              <w:pStyle w:val="94"/>
              <w:rPr>
                <w:color w:val="auto"/>
              </w:rPr>
            </w:pPr>
            <w:r>
              <w:rPr>
                <w:color w:val="auto"/>
              </w:rPr>
              <w:t>其他</w:t>
            </w:r>
          </w:p>
        </w:tc>
        <w:tc>
          <w:tcPr>
            <w:tcW w:w="968" w:type="pct"/>
            <w:noWrap/>
            <w:vAlign w:val="center"/>
          </w:tcPr>
          <w:p w14:paraId="2286F389">
            <w:pPr>
              <w:pStyle w:val="94"/>
              <w:rPr>
                <w:color w:val="auto"/>
              </w:rPr>
            </w:pPr>
            <w:r>
              <w:rPr>
                <w:color w:val="auto"/>
              </w:rPr>
              <w:t xml:space="preserve">4.78 </w:t>
            </w:r>
          </w:p>
        </w:tc>
        <w:tc>
          <w:tcPr>
            <w:tcW w:w="1462" w:type="pct"/>
            <w:noWrap/>
            <w:vAlign w:val="center"/>
          </w:tcPr>
          <w:p w14:paraId="2E399F8B">
            <w:pPr>
              <w:pStyle w:val="94"/>
              <w:rPr>
                <w:color w:val="auto"/>
              </w:rPr>
            </w:pPr>
            <w:r>
              <w:rPr>
                <w:color w:val="auto"/>
              </w:rPr>
              <w:t xml:space="preserve">47.01 </w:t>
            </w:r>
          </w:p>
        </w:tc>
        <w:tc>
          <w:tcPr>
            <w:tcW w:w="968" w:type="pct"/>
            <w:noWrap/>
            <w:vAlign w:val="center"/>
          </w:tcPr>
          <w:p w14:paraId="73AA69FD">
            <w:pPr>
              <w:pStyle w:val="94"/>
              <w:rPr>
                <w:color w:val="auto"/>
              </w:rPr>
            </w:pPr>
            <w:r>
              <w:rPr>
                <w:color w:val="auto"/>
              </w:rPr>
              <w:t xml:space="preserve">10.17 </w:t>
            </w:r>
          </w:p>
        </w:tc>
      </w:tr>
      <w:tr w14:paraId="460C12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1602" w:type="pct"/>
            <w:gridSpan w:val="2"/>
            <w:noWrap/>
            <w:vAlign w:val="center"/>
          </w:tcPr>
          <w:p w14:paraId="02897E1E">
            <w:pPr>
              <w:pStyle w:val="94"/>
              <w:rPr>
                <w:color w:val="auto"/>
              </w:rPr>
            </w:pPr>
            <w:r>
              <w:rPr>
                <w:rFonts w:hint="eastAsia"/>
                <w:color w:val="auto"/>
              </w:rPr>
              <w:t>合计</w:t>
            </w:r>
          </w:p>
        </w:tc>
        <w:tc>
          <w:tcPr>
            <w:tcW w:w="968" w:type="pct"/>
            <w:noWrap/>
            <w:vAlign w:val="center"/>
          </w:tcPr>
          <w:p w14:paraId="6FB7EE7B">
            <w:pPr>
              <w:pStyle w:val="94"/>
              <w:rPr>
                <w:color w:val="auto"/>
              </w:rPr>
            </w:pPr>
            <w:r>
              <w:rPr>
                <w:color w:val="auto"/>
              </w:rPr>
              <w:t>22.91</w:t>
            </w:r>
          </w:p>
        </w:tc>
        <w:tc>
          <w:tcPr>
            <w:tcW w:w="1462" w:type="pct"/>
            <w:noWrap/>
            <w:vAlign w:val="center"/>
          </w:tcPr>
          <w:p w14:paraId="7E44DD9E">
            <w:pPr>
              <w:pStyle w:val="94"/>
              <w:rPr>
                <w:color w:val="auto"/>
              </w:rPr>
            </w:pPr>
            <w:r>
              <w:rPr>
                <w:color w:val="auto"/>
              </w:rPr>
              <w:t xml:space="preserve">525.49 </w:t>
            </w:r>
          </w:p>
        </w:tc>
        <w:tc>
          <w:tcPr>
            <w:tcW w:w="968" w:type="pct"/>
            <w:noWrap/>
            <w:vAlign w:val="center"/>
          </w:tcPr>
          <w:p w14:paraId="32F6EDC3">
            <w:pPr>
              <w:pStyle w:val="94"/>
              <w:rPr>
                <w:color w:val="auto"/>
              </w:rPr>
            </w:pPr>
            <w:r>
              <w:rPr>
                <w:color w:val="auto"/>
              </w:rPr>
              <w:t xml:space="preserve">4.36 </w:t>
            </w:r>
          </w:p>
        </w:tc>
      </w:tr>
    </w:tbl>
    <w:p w14:paraId="583FEE8F">
      <w:pPr>
        <w:pStyle w:val="96"/>
        <w:ind w:firstLine="480"/>
      </w:pPr>
      <w:r>
        <w:t xml:space="preserve"> 2、对生态系统生产力的影响</w:t>
      </w:r>
    </w:p>
    <w:p w14:paraId="27AFCE93">
      <w:pPr>
        <w:pStyle w:val="96"/>
        <w:ind w:firstLine="480"/>
      </w:pPr>
      <w:r>
        <w:rPr>
          <w:rFonts w:hint="eastAsia"/>
        </w:rPr>
        <w:t>施工期工程占地将导致评价区生产力降低，根据施工占地面积和各用地类型的净第一性生产力，可得到施工期评价区平均生产力损失</w:t>
      </w:r>
      <w:r>
        <w:t>0.27t/hm².a，占现状评价区平均净第一性生产力(6.00t/hm².a) 的4.5%。具体见下表。</w:t>
      </w:r>
    </w:p>
    <w:p w14:paraId="1E94A317">
      <w:pPr>
        <w:pStyle w:val="19"/>
        <w:keepNext/>
      </w:pPr>
      <w:r>
        <w:t xml:space="preserve">表 </w:t>
      </w:r>
      <w:r>
        <w:fldChar w:fldCharType="begin"/>
      </w:r>
      <w:r>
        <w:instrText xml:space="preserve"> SEQ 表 \* ARABIC </w:instrText>
      </w:r>
      <w:r>
        <w:fldChar w:fldCharType="separate"/>
      </w:r>
      <w:r>
        <w:t>89</w:t>
      </w:r>
      <w:r>
        <w:fldChar w:fldCharType="end"/>
      </w:r>
      <w:r>
        <w:rPr>
          <w:rFonts w:hint="eastAsia"/>
        </w:rPr>
        <w:t>井场及道路占地生产力损失计算表</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141"/>
        <w:gridCol w:w="1494"/>
        <w:gridCol w:w="2006"/>
        <w:gridCol w:w="3034"/>
        <w:gridCol w:w="2007"/>
      </w:tblGrid>
      <w:tr w14:paraId="43A363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25" w:hRule="atLeast"/>
        </w:trPr>
        <w:tc>
          <w:tcPr>
            <w:tcW w:w="1002" w:type="pct"/>
            <w:vAlign w:val="center"/>
          </w:tcPr>
          <w:p w14:paraId="474159FC">
            <w:pPr>
              <w:pStyle w:val="94"/>
              <w:rPr>
                <w:color w:val="auto"/>
              </w:rPr>
            </w:pPr>
            <w:r>
              <w:rPr>
                <w:color w:val="auto"/>
              </w:rPr>
              <w:t>用地类型</w:t>
            </w:r>
          </w:p>
        </w:tc>
        <w:tc>
          <w:tcPr>
            <w:tcW w:w="699" w:type="pct"/>
            <w:vAlign w:val="center"/>
          </w:tcPr>
          <w:p w14:paraId="3125EDF7">
            <w:pPr>
              <w:pStyle w:val="94"/>
              <w:rPr>
                <w:color w:val="auto"/>
              </w:rPr>
            </w:pPr>
            <w:r>
              <w:rPr>
                <w:color w:val="auto"/>
              </w:rPr>
              <w:t>占地面积(hm2 )</w:t>
            </w:r>
          </w:p>
        </w:tc>
        <w:tc>
          <w:tcPr>
            <w:tcW w:w="939" w:type="pct"/>
            <w:vAlign w:val="center"/>
          </w:tcPr>
          <w:p w14:paraId="1726F945">
            <w:pPr>
              <w:pStyle w:val="94"/>
              <w:rPr>
                <w:color w:val="auto"/>
              </w:rPr>
            </w:pPr>
            <w:r>
              <w:rPr>
                <w:color w:val="auto"/>
              </w:rPr>
              <w:t>净第一性生产力(t/hm</w:t>
            </w:r>
            <w:r>
              <w:rPr>
                <w:color w:val="auto"/>
                <w:vertAlign w:val="superscript"/>
              </w:rPr>
              <w:t>2</w:t>
            </w:r>
            <w:r>
              <w:rPr>
                <w:color w:val="auto"/>
              </w:rPr>
              <w:t>.a )</w:t>
            </w:r>
          </w:p>
        </w:tc>
        <w:tc>
          <w:tcPr>
            <w:tcW w:w="1420" w:type="pct"/>
            <w:vAlign w:val="center"/>
          </w:tcPr>
          <w:p w14:paraId="4D358C0E">
            <w:pPr>
              <w:pStyle w:val="94"/>
              <w:rPr>
                <w:color w:val="auto"/>
              </w:rPr>
            </w:pPr>
            <w:r>
              <w:rPr>
                <w:color w:val="auto"/>
              </w:rPr>
              <w:t>减少量(t/ a )</w:t>
            </w:r>
          </w:p>
        </w:tc>
        <w:tc>
          <w:tcPr>
            <w:tcW w:w="939" w:type="pct"/>
            <w:vAlign w:val="center"/>
          </w:tcPr>
          <w:p w14:paraId="1A4AD393">
            <w:pPr>
              <w:pStyle w:val="94"/>
              <w:rPr>
                <w:color w:val="auto"/>
              </w:rPr>
            </w:pPr>
            <w:r>
              <w:rPr>
                <w:color w:val="auto"/>
              </w:rPr>
              <w:t>评价区平均减少量(t/hm</w:t>
            </w:r>
            <w:r>
              <w:rPr>
                <w:color w:val="auto"/>
                <w:vertAlign w:val="superscript"/>
              </w:rPr>
              <w:t>2</w:t>
            </w:r>
            <w:r>
              <w:rPr>
                <w:color w:val="auto"/>
              </w:rPr>
              <w:t>.a )</w:t>
            </w:r>
          </w:p>
        </w:tc>
      </w:tr>
      <w:tr w14:paraId="37D2CB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1002" w:type="pct"/>
            <w:noWrap/>
            <w:vAlign w:val="center"/>
          </w:tcPr>
          <w:p w14:paraId="6E36A32D">
            <w:pPr>
              <w:pStyle w:val="94"/>
              <w:rPr>
                <w:color w:val="auto"/>
              </w:rPr>
            </w:pPr>
            <w:r>
              <w:rPr>
                <w:color w:val="auto"/>
              </w:rPr>
              <w:t>农田生态系统</w:t>
            </w:r>
          </w:p>
        </w:tc>
        <w:tc>
          <w:tcPr>
            <w:tcW w:w="699" w:type="pct"/>
            <w:noWrap/>
            <w:vAlign w:val="center"/>
          </w:tcPr>
          <w:p w14:paraId="411EDACD">
            <w:pPr>
              <w:pStyle w:val="94"/>
              <w:rPr>
                <w:color w:val="auto"/>
              </w:rPr>
            </w:pPr>
            <w:r>
              <w:rPr>
                <w:rFonts w:hint="eastAsia"/>
                <w:color w:val="auto"/>
              </w:rPr>
              <w:t>9.9</w:t>
            </w:r>
          </w:p>
        </w:tc>
        <w:tc>
          <w:tcPr>
            <w:tcW w:w="939" w:type="pct"/>
            <w:noWrap/>
            <w:vAlign w:val="center"/>
          </w:tcPr>
          <w:p w14:paraId="57BCC236">
            <w:pPr>
              <w:pStyle w:val="94"/>
              <w:rPr>
                <w:color w:val="auto"/>
              </w:rPr>
            </w:pPr>
            <w:r>
              <w:rPr>
                <w:rFonts w:hint="eastAsia"/>
                <w:color w:val="auto"/>
              </w:rPr>
              <w:t>6.4</w:t>
            </w:r>
          </w:p>
        </w:tc>
        <w:tc>
          <w:tcPr>
            <w:tcW w:w="1420" w:type="pct"/>
            <w:noWrap/>
            <w:vAlign w:val="center"/>
          </w:tcPr>
          <w:p w14:paraId="7F73865A">
            <w:pPr>
              <w:pStyle w:val="94"/>
              <w:rPr>
                <w:color w:val="auto"/>
              </w:rPr>
            </w:pPr>
            <w:r>
              <w:rPr>
                <w:rFonts w:hint="eastAsia"/>
                <w:color w:val="auto"/>
              </w:rPr>
              <w:t xml:space="preserve">63.36 </w:t>
            </w:r>
          </w:p>
        </w:tc>
        <w:tc>
          <w:tcPr>
            <w:tcW w:w="939" w:type="pct"/>
            <w:vMerge w:val="restart"/>
            <w:vAlign w:val="center"/>
          </w:tcPr>
          <w:p w14:paraId="0DF62AC0">
            <w:pPr>
              <w:pStyle w:val="94"/>
              <w:rPr>
                <w:color w:val="auto"/>
              </w:rPr>
            </w:pPr>
            <w:r>
              <w:rPr>
                <w:rFonts w:hint="eastAsia"/>
                <w:color w:val="auto"/>
              </w:rPr>
              <w:t xml:space="preserve">0.27 </w:t>
            </w:r>
          </w:p>
        </w:tc>
      </w:tr>
      <w:tr w14:paraId="00E0E6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1002" w:type="pct"/>
            <w:noWrap/>
            <w:vAlign w:val="center"/>
          </w:tcPr>
          <w:p w14:paraId="2CD8158D">
            <w:pPr>
              <w:pStyle w:val="94"/>
              <w:rPr>
                <w:color w:val="auto"/>
              </w:rPr>
            </w:pPr>
            <w:r>
              <w:rPr>
                <w:color w:val="auto"/>
              </w:rPr>
              <w:t>森林生态系统</w:t>
            </w:r>
          </w:p>
        </w:tc>
        <w:tc>
          <w:tcPr>
            <w:tcW w:w="699" w:type="pct"/>
            <w:noWrap/>
            <w:vAlign w:val="center"/>
          </w:tcPr>
          <w:p w14:paraId="78BF8B93">
            <w:pPr>
              <w:pStyle w:val="94"/>
              <w:rPr>
                <w:color w:val="auto"/>
              </w:rPr>
            </w:pPr>
            <w:r>
              <w:rPr>
                <w:rFonts w:hint="eastAsia"/>
                <w:color w:val="auto"/>
              </w:rPr>
              <w:t>5.44</w:t>
            </w:r>
          </w:p>
        </w:tc>
        <w:tc>
          <w:tcPr>
            <w:tcW w:w="939" w:type="pct"/>
            <w:noWrap/>
            <w:vAlign w:val="center"/>
          </w:tcPr>
          <w:p w14:paraId="675A7FEF">
            <w:pPr>
              <w:pStyle w:val="94"/>
              <w:rPr>
                <w:color w:val="auto"/>
              </w:rPr>
            </w:pPr>
            <w:r>
              <w:rPr>
                <w:rFonts w:hint="eastAsia"/>
                <w:color w:val="auto"/>
              </w:rPr>
              <w:t>12</w:t>
            </w:r>
          </w:p>
        </w:tc>
        <w:tc>
          <w:tcPr>
            <w:tcW w:w="1420" w:type="pct"/>
            <w:noWrap/>
            <w:vAlign w:val="center"/>
          </w:tcPr>
          <w:p w14:paraId="15EAE5A5">
            <w:pPr>
              <w:pStyle w:val="94"/>
              <w:rPr>
                <w:color w:val="auto"/>
              </w:rPr>
            </w:pPr>
            <w:r>
              <w:rPr>
                <w:rFonts w:hint="eastAsia"/>
                <w:color w:val="auto"/>
              </w:rPr>
              <w:t xml:space="preserve">65.28 </w:t>
            </w:r>
          </w:p>
        </w:tc>
        <w:tc>
          <w:tcPr>
            <w:tcW w:w="939" w:type="pct"/>
            <w:vMerge w:val="continue"/>
            <w:vAlign w:val="center"/>
          </w:tcPr>
          <w:p w14:paraId="6F789B0B">
            <w:pPr>
              <w:pStyle w:val="94"/>
              <w:rPr>
                <w:color w:val="auto"/>
              </w:rPr>
            </w:pPr>
          </w:p>
        </w:tc>
      </w:tr>
      <w:tr w14:paraId="1F7BDD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1002" w:type="pct"/>
            <w:noWrap/>
            <w:vAlign w:val="center"/>
          </w:tcPr>
          <w:p w14:paraId="4EF250E1">
            <w:pPr>
              <w:pStyle w:val="94"/>
              <w:rPr>
                <w:color w:val="auto"/>
              </w:rPr>
            </w:pPr>
            <w:r>
              <w:rPr>
                <w:color w:val="auto"/>
              </w:rPr>
              <w:t>草地生态系统</w:t>
            </w:r>
          </w:p>
        </w:tc>
        <w:tc>
          <w:tcPr>
            <w:tcW w:w="699" w:type="pct"/>
            <w:noWrap/>
            <w:vAlign w:val="center"/>
          </w:tcPr>
          <w:p w14:paraId="4115B270">
            <w:pPr>
              <w:pStyle w:val="94"/>
              <w:rPr>
                <w:color w:val="auto"/>
              </w:rPr>
            </w:pPr>
            <w:r>
              <w:rPr>
                <w:rFonts w:hint="eastAsia"/>
                <w:color w:val="auto"/>
              </w:rPr>
              <w:t>2.49</w:t>
            </w:r>
          </w:p>
        </w:tc>
        <w:tc>
          <w:tcPr>
            <w:tcW w:w="939" w:type="pct"/>
            <w:noWrap/>
            <w:vAlign w:val="center"/>
          </w:tcPr>
          <w:p w14:paraId="786B4ACD">
            <w:pPr>
              <w:pStyle w:val="94"/>
              <w:rPr>
                <w:color w:val="auto"/>
              </w:rPr>
            </w:pPr>
            <w:r>
              <w:rPr>
                <w:rFonts w:hint="eastAsia"/>
                <w:color w:val="auto"/>
              </w:rPr>
              <w:t>5</w:t>
            </w:r>
          </w:p>
        </w:tc>
        <w:tc>
          <w:tcPr>
            <w:tcW w:w="1420" w:type="pct"/>
            <w:noWrap/>
            <w:vAlign w:val="center"/>
          </w:tcPr>
          <w:p w14:paraId="47218BB0">
            <w:pPr>
              <w:pStyle w:val="94"/>
              <w:rPr>
                <w:color w:val="auto"/>
              </w:rPr>
            </w:pPr>
            <w:r>
              <w:rPr>
                <w:rFonts w:hint="eastAsia"/>
                <w:color w:val="auto"/>
              </w:rPr>
              <w:t xml:space="preserve">12.45 </w:t>
            </w:r>
          </w:p>
        </w:tc>
        <w:tc>
          <w:tcPr>
            <w:tcW w:w="939" w:type="pct"/>
            <w:vMerge w:val="continue"/>
            <w:vAlign w:val="center"/>
          </w:tcPr>
          <w:p w14:paraId="6CF8CA75">
            <w:pPr>
              <w:pStyle w:val="94"/>
              <w:rPr>
                <w:color w:val="auto"/>
              </w:rPr>
            </w:pPr>
          </w:p>
        </w:tc>
      </w:tr>
      <w:tr w14:paraId="05FBB8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1002" w:type="pct"/>
            <w:noWrap/>
            <w:vAlign w:val="center"/>
          </w:tcPr>
          <w:p w14:paraId="6DEB2A77">
            <w:pPr>
              <w:pStyle w:val="94"/>
              <w:rPr>
                <w:color w:val="auto"/>
              </w:rPr>
            </w:pPr>
            <w:r>
              <w:rPr>
                <w:color w:val="auto"/>
              </w:rPr>
              <w:t>湿地生态系统</w:t>
            </w:r>
          </w:p>
        </w:tc>
        <w:tc>
          <w:tcPr>
            <w:tcW w:w="699" w:type="pct"/>
            <w:noWrap/>
            <w:vAlign w:val="center"/>
          </w:tcPr>
          <w:p w14:paraId="71C8FF14">
            <w:pPr>
              <w:pStyle w:val="94"/>
              <w:rPr>
                <w:color w:val="auto"/>
              </w:rPr>
            </w:pPr>
            <w:r>
              <w:rPr>
                <w:rFonts w:hint="eastAsia"/>
                <w:color w:val="auto"/>
              </w:rPr>
              <w:t>0</w:t>
            </w:r>
          </w:p>
        </w:tc>
        <w:tc>
          <w:tcPr>
            <w:tcW w:w="939" w:type="pct"/>
            <w:noWrap/>
            <w:vAlign w:val="center"/>
          </w:tcPr>
          <w:p w14:paraId="46EE992D">
            <w:pPr>
              <w:pStyle w:val="94"/>
              <w:rPr>
                <w:color w:val="auto"/>
              </w:rPr>
            </w:pPr>
            <w:r>
              <w:rPr>
                <w:rFonts w:hint="eastAsia"/>
                <w:color w:val="auto"/>
              </w:rPr>
              <w:t>4.5</w:t>
            </w:r>
          </w:p>
        </w:tc>
        <w:tc>
          <w:tcPr>
            <w:tcW w:w="1420" w:type="pct"/>
            <w:noWrap/>
            <w:vAlign w:val="center"/>
          </w:tcPr>
          <w:p w14:paraId="4A773760">
            <w:pPr>
              <w:pStyle w:val="94"/>
              <w:rPr>
                <w:color w:val="auto"/>
              </w:rPr>
            </w:pPr>
            <w:r>
              <w:rPr>
                <w:rFonts w:hint="eastAsia"/>
                <w:color w:val="auto"/>
              </w:rPr>
              <w:t xml:space="preserve">0.00 </w:t>
            </w:r>
          </w:p>
        </w:tc>
        <w:tc>
          <w:tcPr>
            <w:tcW w:w="939" w:type="pct"/>
            <w:vMerge w:val="continue"/>
            <w:vAlign w:val="center"/>
          </w:tcPr>
          <w:p w14:paraId="5A944A85">
            <w:pPr>
              <w:pStyle w:val="94"/>
              <w:rPr>
                <w:color w:val="auto"/>
              </w:rPr>
            </w:pPr>
          </w:p>
        </w:tc>
      </w:tr>
      <w:tr w14:paraId="4828C4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1002" w:type="pct"/>
            <w:noWrap/>
            <w:vAlign w:val="center"/>
          </w:tcPr>
          <w:p w14:paraId="24E9391E">
            <w:pPr>
              <w:pStyle w:val="94"/>
              <w:rPr>
                <w:color w:val="auto"/>
              </w:rPr>
            </w:pPr>
            <w:r>
              <w:rPr>
                <w:color w:val="auto"/>
              </w:rPr>
              <w:t>城镇生态系统</w:t>
            </w:r>
          </w:p>
        </w:tc>
        <w:tc>
          <w:tcPr>
            <w:tcW w:w="699" w:type="pct"/>
            <w:noWrap/>
            <w:vAlign w:val="center"/>
          </w:tcPr>
          <w:p w14:paraId="2240ED12">
            <w:pPr>
              <w:pStyle w:val="94"/>
              <w:rPr>
                <w:color w:val="auto"/>
              </w:rPr>
            </w:pPr>
            <w:r>
              <w:rPr>
                <w:rFonts w:hint="eastAsia"/>
                <w:color w:val="auto"/>
              </w:rPr>
              <w:t>0.11</w:t>
            </w:r>
          </w:p>
        </w:tc>
        <w:tc>
          <w:tcPr>
            <w:tcW w:w="939" w:type="pct"/>
            <w:noWrap/>
            <w:vAlign w:val="center"/>
          </w:tcPr>
          <w:p w14:paraId="2FD395B8">
            <w:pPr>
              <w:pStyle w:val="94"/>
              <w:rPr>
                <w:color w:val="auto"/>
              </w:rPr>
            </w:pPr>
            <w:r>
              <w:rPr>
                <w:rFonts w:hint="eastAsia"/>
                <w:color w:val="auto"/>
              </w:rPr>
              <w:t>2</w:t>
            </w:r>
          </w:p>
        </w:tc>
        <w:tc>
          <w:tcPr>
            <w:tcW w:w="1420" w:type="pct"/>
            <w:noWrap/>
            <w:vAlign w:val="center"/>
          </w:tcPr>
          <w:p w14:paraId="632386F0">
            <w:pPr>
              <w:pStyle w:val="94"/>
              <w:rPr>
                <w:color w:val="auto"/>
              </w:rPr>
            </w:pPr>
            <w:r>
              <w:rPr>
                <w:rFonts w:hint="eastAsia"/>
                <w:color w:val="auto"/>
              </w:rPr>
              <w:t xml:space="preserve">0.22 </w:t>
            </w:r>
          </w:p>
        </w:tc>
        <w:tc>
          <w:tcPr>
            <w:tcW w:w="939" w:type="pct"/>
            <w:vMerge w:val="continue"/>
            <w:vAlign w:val="center"/>
          </w:tcPr>
          <w:p w14:paraId="64FC8FE2">
            <w:pPr>
              <w:pStyle w:val="94"/>
              <w:rPr>
                <w:color w:val="auto"/>
              </w:rPr>
            </w:pPr>
          </w:p>
        </w:tc>
      </w:tr>
      <w:tr w14:paraId="2920BD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70" w:hRule="atLeast"/>
        </w:trPr>
        <w:tc>
          <w:tcPr>
            <w:tcW w:w="1002" w:type="pct"/>
            <w:noWrap/>
            <w:vAlign w:val="center"/>
          </w:tcPr>
          <w:p w14:paraId="5EF885C4">
            <w:pPr>
              <w:pStyle w:val="94"/>
              <w:rPr>
                <w:color w:val="auto"/>
              </w:rPr>
            </w:pPr>
            <w:r>
              <w:rPr>
                <w:color w:val="auto"/>
              </w:rPr>
              <w:t>灌丛生态系统</w:t>
            </w:r>
          </w:p>
        </w:tc>
        <w:tc>
          <w:tcPr>
            <w:tcW w:w="699" w:type="pct"/>
            <w:noWrap/>
            <w:vAlign w:val="center"/>
          </w:tcPr>
          <w:p w14:paraId="7F30AC5B">
            <w:pPr>
              <w:pStyle w:val="94"/>
              <w:rPr>
                <w:color w:val="auto"/>
              </w:rPr>
            </w:pPr>
            <w:r>
              <w:rPr>
                <w:rFonts w:hint="eastAsia"/>
                <w:color w:val="auto"/>
              </w:rPr>
              <w:t>0.18</w:t>
            </w:r>
          </w:p>
        </w:tc>
        <w:tc>
          <w:tcPr>
            <w:tcW w:w="939" w:type="pct"/>
            <w:noWrap/>
            <w:vAlign w:val="center"/>
          </w:tcPr>
          <w:p w14:paraId="09511E71">
            <w:pPr>
              <w:pStyle w:val="94"/>
              <w:rPr>
                <w:color w:val="auto"/>
              </w:rPr>
            </w:pPr>
            <w:r>
              <w:rPr>
                <w:rFonts w:hint="eastAsia"/>
                <w:color w:val="auto"/>
              </w:rPr>
              <w:t>6</w:t>
            </w:r>
          </w:p>
        </w:tc>
        <w:tc>
          <w:tcPr>
            <w:tcW w:w="1420" w:type="pct"/>
            <w:noWrap/>
            <w:vAlign w:val="center"/>
          </w:tcPr>
          <w:p w14:paraId="08098070">
            <w:pPr>
              <w:pStyle w:val="94"/>
              <w:rPr>
                <w:color w:val="auto"/>
              </w:rPr>
            </w:pPr>
            <w:r>
              <w:rPr>
                <w:rFonts w:hint="eastAsia"/>
                <w:color w:val="auto"/>
              </w:rPr>
              <w:t xml:space="preserve">1.08 </w:t>
            </w:r>
          </w:p>
        </w:tc>
        <w:tc>
          <w:tcPr>
            <w:tcW w:w="939" w:type="pct"/>
            <w:vMerge w:val="continue"/>
            <w:vAlign w:val="center"/>
          </w:tcPr>
          <w:p w14:paraId="6F9102AE">
            <w:pPr>
              <w:pStyle w:val="94"/>
              <w:rPr>
                <w:color w:val="auto"/>
              </w:rPr>
            </w:pPr>
          </w:p>
        </w:tc>
      </w:tr>
      <w:tr w14:paraId="585FDA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70" w:hRule="atLeast"/>
        </w:trPr>
        <w:tc>
          <w:tcPr>
            <w:tcW w:w="1002" w:type="pct"/>
            <w:noWrap/>
            <w:vAlign w:val="center"/>
          </w:tcPr>
          <w:p w14:paraId="68198869">
            <w:pPr>
              <w:pStyle w:val="94"/>
              <w:rPr>
                <w:color w:val="auto"/>
              </w:rPr>
            </w:pPr>
            <w:r>
              <w:rPr>
                <w:color w:val="auto"/>
              </w:rPr>
              <w:t>其他</w:t>
            </w:r>
          </w:p>
        </w:tc>
        <w:tc>
          <w:tcPr>
            <w:tcW w:w="699" w:type="pct"/>
            <w:noWrap/>
            <w:vAlign w:val="center"/>
          </w:tcPr>
          <w:p w14:paraId="369319EF">
            <w:pPr>
              <w:pStyle w:val="94"/>
              <w:rPr>
                <w:color w:val="auto"/>
              </w:rPr>
            </w:pPr>
            <w:r>
              <w:rPr>
                <w:rFonts w:hint="eastAsia"/>
                <w:color w:val="auto"/>
              </w:rPr>
              <w:t>4.78</w:t>
            </w:r>
          </w:p>
        </w:tc>
        <w:tc>
          <w:tcPr>
            <w:tcW w:w="939" w:type="pct"/>
            <w:noWrap/>
            <w:vAlign w:val="center"/>
          </w:tcPr>
          <w:p w14:paraId="4456ADFB">
            <w:pPr>
              <w:pStyle w:val="94"/>
              <w:rPr>
                <w:color w:val="auto"/>
              </w:rPr>
            </w:pPr>
            <w:r>
              <w:rPr>
                <w:rFonts w:hint="eastAsia"/>
                <w:color w:val="auto"/>
              </w:rPr>
              <w:t>0.033</w:t>
            </w:r>
          </w:p>
        </w:tc>
        <w:tc>
          <w:tcPr>
            <w:tcW w:w="1420" w:type="pct"/>
            <w:noWrap/>
            <w:vAlign w:val="center"/>
          </w:tcPr>
          <w:p w14:paraId="4C5D4CF3">
            <w:pPr>
              <w:pStyle w:val="94"/>
              <w:rPr>
                <w:color w:val="auto"/>
              </w:rPr>
            </w:pPr>
            <w:r>
              <w:rPr>
                <w:rFonts w:hint="eastAsia"/>
                <w:color w:val="auto"/>
              </w:rPr>
              <w:t xml:space="preserve">0.16 </w:t>
            </w:r>
          </w:p>
        </w:tc>
        <w:tc>
          <w:tcPr>
            <w:tcW w:w="939" w:type="pct"/>
            <w:vMerge w:val="continue"/>
            <w:vAlign w:val="center"/>
          </w:tcPr>
          <w:p w14:paraId="325DED28">
            <w:pPr>
              <w:pStyle w:val="94"/>
              <w:rPr>
                <w:color w:val="auto"/>
              </w:rPr>
            </w:pPr>
          </w:p>
        </w:tc>
      </w:tr>
      <w:tr w14:paraId="5C0CFA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002" w:type="pct"/>
            <w:noWrap/>
            <w:vAlign w:val="center"/>
          </w:tcPr>
          <w:p w14:paraId="703DA367">
            <w:pPr>
              <w:pStyle w:val="94"/>
              <w:rPr>
                <w:color w:val="auto"/>
              </w:rPr>
            </w:pPr>
            <w:r>
              <w:rPr>
                <w:color w:val="auto"/>
              </w:rPr>
              <w:t>合计</w:t>
            </w:r>
          </w:p>
        </w:tc>
        <w:tc>
          <w:tcPr>
            <w:tcW w:w="699" w:type="pct"/>
            <w:noWrap/>
            <w:vAlign w:val="center"/>
          </w:tcPr>
          <w:p w14:paraId="07B28F79">
            <w:pPr>
              <w:pStyle w:val="94"/>
              <w:rPr>
                <w:color w:val="auto"/>
              </w:rPr>
            </w:pPr>
            <w:r>
              <w:rPr>
                <w:rFonts w:hint="eastAsia"/>
                <w:color w:val="auto"/>
              </w:rPr>
              <w:t>22.</w:t>
            </w:r>
            <w:r>
              <w:rPr>
                <w:color w:val="auto"/>
              </w:rPr>
              <w:t>91</w:t>
            </w:r>
          </w:p>
        </w:tc>
        <w:tc>
          <w:tcPr>
            <w:tcW w:w="939" w:type="pct"/>
            <w:noWrap/>
            <w:vAlign w:val="center"/>
          </w:tcPr>
          <w:p w14:paraId="6836BB8B">
            <w:pPr>
              <w:pStyle w:val="94"/>
              <w:rPr>
                <w:color w:val="auto"/>
              </w:rPr>
            </w:pPr>
          </w:p>
        </w:tc>
        <w:tc>
          <w:tcPr>
            <w:tcW w:w="1420" w:type="pct"/>
            <w:noWrap/>
            <w:vAlign w:val="center"/>
          </w:tcPr>
          <w:p w14:paraId="16C5B23E">
            <w:pPr>
              <w:pStyle w:val="94"/>
              <w:rPr>
                <w:color w:val="auto"/>
              </w:rPr>
            </w:pPr>
            <w:r>
              <w:rPr>
                <w:rFonts w:hint="eastAsia"/>
                <w:color w:val="auto"/>
              </w:rPr>
              <w:t xml:space="preserve">142.55 </w:t>
            </w:r>
          </w:p>
        </w:tc>
        <w:tc>
          <w:tcPr>
            <w:tcW w:w="939" w:type="pct"/>
            <w:vMerge w:val="continue"/>
            <w:vAlign w:val="center"/>
          </w:tcPr>
          <w:p w14:paraId="3953B9D5">
            <w:pPr>
              <w:pStyle w:val="94"/>
              <w:rPr>
                <w:color w:val="auto"/>
              </w:rPr>
            </w:pPr>
          </w:p>
        </w:tc>
      </w:tr>
    </w:tbl>
    <w:p w14:paraId="7901E6D9">
      <w:pPr>
        <w:pStyle w:val="96"/>
        <w:ind w:firstLine="420"/>
        <w:rPr>
          <w:sz w:val="21"/>
          <w:szCs w:val="18"/>
        </w:rPr>
      </w:pPr>
      <w:r>
        <w:rPr>
          <w:rFonts w:hint="eastAsia"/>
          <w:sz w:val="21"/>
          <w:szCs w:val="20"/>
        </w:rPr>
        <w:t>注：评价区平均生产力损失量=生产力总的损失量/评价区总面积</w:t>
      </w:r>
    </w:p>
    <w:p w14:paraId="590213DB">
      <w:pPr>
        <w:pStyle w:val="96"/>
        <w:ind w:firstLine="480"/>
      </w:pPr>
      <w:r>
        <w:rPr>
          <w:rFonts w:hint="eastAsia"/>
        </w:rPr>
        <w:t>3、对生态系统生物量的影响</w:t>
      </w:r>
    </w:p>
    <w:p w14:paraId="3FC0B0AB">
      <w:pPr>
        <w:pStyle w:val="96"/>
        <w:ind w:firstLine="480"/>
      </w:pPr>
      <w:r>
        <w:rPr>
          <w:rFonts w:hint="eastAsia"/>
        </w:rPr>
        <w:t>施工期工程占地将导致评价区生物量降低，根据施工占地面积和各用地类型的单位面积生物量，可得到施工期评价区共损失生物量</w:t>
      </w:r>
      <w:r>
        <w:t>1793.96</w:t>
      </w:r>
      <w:r>
        <w:rPr>
          <w:rFonts w:hint="eastAsia"/>
        </w:rPr>
        <w:t>t,平均生物量损失</w:t>
      </w:r>
      <w:r>
        <w:t>3.41</w:t>
      </w:r>
      <w:r>
        <w:rPr>
          <w:rFonts w:hint="eastAsia"/>
        </w:rPr>
        <w:t>t/hm</w:t>
      </w:r>
      <w:r>
        <w:rPr>
          <w:rFonts w:hint="eastAsia"/>
          <w:vertAlign w:val="superscript"/>
        </w:rPr>
        <w:t>2</w:t>
      </w:r>
      <w:r>
        <w:rPr>
          <w:rFonts w:hint="eastAsia"/>
        </w:rPr>
        <w:t>,占评价区现状平均生物量</w:t>
      </w:r>
      <w:r>
        <w:t>42.76</w:t>
      </w:r>
      <w:r>
        <w:rPr>
          <w:rFonts w:hint="eastAsia"/>
        </w:rPr>
        <w:t>t/hm²的</w:t>
      </w:r>
      <w:r>
        <w:t>6.40</w:t>
      </w:r>
      <w:r>
        <w:rPr>
          <w:rFonts w:hint="eastAsia"/>
        </w:rPr>
        <w:t>%,详见下表。</w:t>
      </w:r>
    </w:p>
    <w:p w14:paraId="5E46707A">
      <w:pPr>
        <w:pStyle w:val="19"/>
        <w:keepNext/>
      </w:pPr>
      <w:r>
        <w:t xml:space="preserve">表 </w:t>
      </w:r>
      <w:r>
        <w:fldChar w:fldCharType="begin"/>
      </w:r>
      <w:r>
        <w:instrText xml:space="preserve"> SEQ 表 \* ARABIC </w:instrText>
      </w:r>
      <w:r>
        <w:fldChar w:fldCharType="separate"/>
      </w:r>
      <w:r>
        <w:t>90</w:t>
      </w:r>
      <w:r>
        <w:fldChar w:fldCharType="end"/>
      </w:r>
      <w:r>
        <w:rPr>
          <w:rFonts w:hint="eastAsia"/>
        </w:rPr>
        <w:t>生态系统生物量减少情况</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230"/>
        <w:gridCol w:w="2113"/>
        <w:gridCol w:w="2694"/>
        <w:gridCol w:w="1555"/>
        <w:gridCol w:w="2090"/>
      </w:tblGrid>
      <w:tr w14:paraId="7FA68E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0" w:hRule="atLeast"/>
        </w:trPr>
        <w:tc>
          <w:tcPr>
            <w:tcW w:w="1044" w:type="pct"/>
            <w:vAlign w:val="center"/>
          </w:tcPr>
          <w:p w14:paraId="4F55E8C9">
            <w:pPr>
              <w:pStyle w:val="94"/>
              <w:rPr>
                <w:color w:val="auto"/>
              </w:rPr>
            </w:pPr>
            <w:r>
              <w:rPr>
                <w:color w:val="auto"/>
              </w:rPr>
              <w:t>用地类型</w:t>
            </w:r>
          </w:p>
        </w:tc>
        <w:tc>
          <w:tcPr>
            <w:tcW w:w="989" w:type="pct"/>
            <w:vAlign w:val="center"/>
          </w:tcPr>
          <w:p w14:paraId="2DD05983">
            <w:pPr>
              <w:pStyle w:val="94"/>
              <w:rPr>
                <w:color w:val="auto"/>
              </w:rPr>
            </w:pPr>
            <w:r>
              <w:rPr>
                <w:color w:val="auto"/>
              </w:rPr>
              <w:t>占地面积(hm²)</w:t>
            </w:r>
          </w:p>
        </w:tc>
        <w:tc>
          <w:tcPr>
            <w:tcW w:w="1261" w:type="pct"/>
            <w:vAlign w:val="center"/>
          </w:tcPr>
          <w:p w14:paraId="2D06BF0C">
            <w:pPr>
              <w:pStyle w:val="94"/>
              <w:rPr>
                <w:color w:val="auto"/>
              </w:rPr>
            </w:pPr>
            <w:r>
              <w:rPr>
                <w:color w:val="auto"/>
              </w:rPr>
              <w:t>单位面积生物量 (t/hm²)</w:t>
            </w:r>
          </w:p>
        </w:tc>
        <w:tc>
          <w:tcPr>
            <w:tcW w:w="728" w:type="pct"/>
            <w:vAlign w:val="center"/>
          </w:tcPr>
          <w:p w14:paraId="76DBFBA2">
            <w:pPr>
              <w:pStyle w:val="94"/>
              <w:rPr>
                <w:color w:val="auto"/>
              </w:rPr>
            </w:pPr>
            <w:r>
              <w:rPr>
                <w:color w:val="auto"/>
              </w:rPr>
              <w:t>生物量减少量</w:t>
            </w:r>
          </w:p>
        </w:tc>
        <w:tc>
          <w:tcPr>
            <w:tcW w:w="978" w:type="pct"/>
            <w:vAlign w:val="center"/>
          </w:tcPr>
          <w:p w14:paraId="7051729B">
            <w:pPr>
              <w:pStyle w:val="94"/>
              <w:rPr>
                <w:color w:val="auto"/>
              </w:rPr>
            </w:pPr>
            <w:r>
              <w:rPr>
                <w:color w:val="auto"/>
              </w:rPr>
              <w:t>评价区平均减少量 (t/hm²)</w:t>
            </w:r>
          </w:p>
        </w:tc>
      </w:tr>
      <w:tr w14:paraId="465AD6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1044" w:type="pct"/>
            <w:noWrap/>
            <w:vAlign w:val="center"/>
          </w:tcPr>
          <w:p w14:paraId="33C06CD8">
            <w:pPr>
              <w:pStyle w:val="94"/>
              <w:rPr>
                <w:color w:val="auto"/>
              </w:rPr>
            </w:pPr>
            <w:r>
              <w:rPr>
                <w:color w:val="auto"/>
              </w:rPr>
              <w:t>农田生态系统</w:t>
            </w:r>
          </w:p>
        </w:tc>
        <w:tc>
          <w:tcPr>
            <w:tcW w:w="989" w:type="pct"/>
            <w:noWrap/>
            <w:vAlign w:val="top"/>
          </w:tcPr>
          <w:p w14:paraId="781C5A61">
            <w:pPr>
              <w:pStyle w:val="94"/>
              <w:rPr>
                <w:color w:val="auto"/>
              </w:rPr>
            </w:pPr>
            <w:r>
              <w:rPr>
                <w:color w:val="auto"/>
              </w:rPr>
              <w:t>9.9</w:t>
            </w:r>
          </w:p>
        </w:tc>
        <w:tc>
          <w:tcPr>
            <w:tcW w:w="1261" w:type="pct"/>
            <w:noWrap/>
            <w:vAlign w:val="top"/>
          </w:tcPr>
          <w:p w14:paraId="72C4391D">
            <w:pPr>
              <w:pStyle w:val="94"/>
              <w:rPr>
                <w:color w:val="auto"/>
              </w:rPr>
            </w:pPr>
            <w:r>
              <w:rPr>
                <w:color w:val="auto"/>
              </w:rPr>
              <w:t>11</w:t>
            </w:r>
          </w:p>
        </w:tc>
        <w:tc>
          <w:tcPr>
            <w:tcW w:w="728" w:type="pct"/>
            <w:vAlign w:val="top"/>
          </w:tcPr>
          <w:p w14:paraId="6CD013BB">
            <w:pPr>
              <w:pStyle w:val="94"/>
              <w:rPr>
                <w:color w:val="auto"/>
              </w:rPr>
            </w:pPr>
            <w:r>
              <w:rPr>
                <w:color w:val="auto"/>
              </w:rPr>
              <w:t>108.9</w:t>
            </w:r>
          </w:p>
        </w:tc>
        <w:tc>
          <w:tcPr>
            <w:tcW w:w="978" w:type="pct"/>
            <w:vMerge w:val="restart"/>
            <w:vAlign w:val="center"/>
          </w:tcPr>
          <w:p w14:paraId="0591D311">
            <w:pPr>
              <w:pStyle w:val="94"/>
              <w:rPr>
                <w:color w:val="auto"/>
              </w:rPr>
            </w:pPr>
            <w:r>
              <w:rPr>
                <w:color w:val="auto"/>
              </w:rPr>
              <w:t>3.41</w:t>
            </w:r>
          </w:p>
        </w:tc>
      </w:tr>
      <w:tr w14:paraId="755C1D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1044" w:type="pct"/>
            <w:noWrap/>
            <w:vAlign w:val="center"/>
          </w:tcPr>
          <w:p w14:paraId="25E28247">
            <w:pPr>
              <w:pStyle w:val="94"/>
              <w:rPr>
                <w:color w:val="auto"/>
              </w:rPr>
            </w:pPr>
            <w:r>
              <w:rPr>
                <w:color w:val="auto"/>
              </w:rPr>
              <w:t>森林生态系统</w:t>
            </w:r>
          </w:p>
        </w:tc>
        <w:tc>
          <w:tcPr>
            <w:tcW w:w="989" w:type="pct"/>
            <w:noWrap/>
            <w:vAlign w:val="top"/>
          </w:tcPr>
          <w:p w14:paraId="7DAC989C">
            <w:pPr>
              <w:pStyle w:val="94"/>
              <w:rPr>
                <w:color w:val="auto"/>
              </w:rPr>
            </w:pPr>
            <w:r>
              <w:rPr>
                <w:color w:val="auto"/>
              </w:rPr>
              <w:t>5.44</w:t>
            </w:r>
          </w:p>
        </w:tc>
        <w:tc>
          <w:tcPr>
            <w:tcW w:w="1261" w:type="pct"/>
            <w:noWrap/>
            <w:vAlign w:val="top"/>
          </w:tcPr>
          <w:p w14:paraId="61678910">
            <w:pPr>
              <w:pStyle w:val="94"/>
              <w:rPr>
                <w:color w:val="auto"/>
              </w:rPr>
            </w:pPr>
            <w:r>
              <w:rPr>
                <w:color w:val="auto"/>
              </w:rPr>
              <w:t>300</w:t>
            </w:r>
          </w:p>
        </w:tc>
        <w:tc>
          <w:tcPr>
            <w:tcW w:w="728" w:type="pct"/>
            <w:vAlign w:val="top"/>
          </w:tcPr>
          <w:p w14:paraId="5C021655">
            <w:pPr>
              <w:pStyle w:val="94"/>
              <w:rPr>
                <w:color w:val="auto"/>
              </w:rPr>
            </w:pPr>
            <w:r>
              <w:rPr>
                <w:color w:val="auto"/>
              </w:rPr>
              <w:t>1632</w:t>
            </w:r>
          </w:p>
        </w:tc>
        <w:tc>
          <w:tcPr>
            <w:tcW w:w="978" w:type="pct"/>
            <w:vMerge w:val="continue"/>
            <w:vAlign w:val="center"/>
          </w:tcPr>
          <w:p w14:paraId="571FADD1">
            <w:pPr>
              <w:pStyle w:val="94"/>
              <w:rPr>
                <w:color w:val="auto"/>
              </w:rPr>
            </w:pPr>
          </w:p>
        </w:tc>
      </w:tr>
      <w:tr w14:paraId="4BEF71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1044" w:type="pct"/>
            <w:noWrap/>
            <w:vAlign w:val="center"/>
          </w:tcPr>
          <w:p w14:paraId="69D8BAB6">
            <w:pPr>
              <w:pStyle w:val="94"/>
              <w:rPr>
                <w:color w:val="auto"/>
              </w:rPr>
            </w:pPr>
            <w:r>
              <w:rPr>
                <w:color w:val="auto"/>
              </w:rPr>
              <w:t>草地生态系统</w:t>
            </w:r>
          </w:p>
        </w:tc>
        <w:tc>
          <w:tcPr>
            <w:tcW w:w="989" w:type="pct"/>
            <w:noWrap/>
            <w:vAlign w:val="top"/>
          </w:tcPr>
          <w:p w14:paraId="3A7FD71F">
            <w:pPr>
              <w:pStyle w:val="94"/>
              <w:rPr>
                <w:color w:val="auto"/>
              </w:rPr>
            </w:pPr>
            <w:r>
              <w:rPr>
                <w:color w:val="auto"/>
              </w:rPr>
              <w:t>2.49</w:t>
            </w:r>
          </w:p>
        </w:tc>
        <w:tc>
          <w:tcPr>
            <w:tcW w:w="1261" w:type="pct"/>
            <w:noWrap/>
            <w:vAlign w:val="top"/>
          </w:tcPr>
          <w:p w14:paraId="556C9587">
            <w:pPr>
              <w:pStyle w:val="94"/>
              <w:rPr>
                <w:color w:val="auto"/>
              </w:rPr>
            </w:pPr>
            <w:r>
              <w:rPr>
                <w:color w:val="auto"/>
              </w:rPr>
              <w:t>16</w:t>
            </w:r>
          </w:p>
        </w:tc>
        <w:tc>
          <w:tcPr>
            <w:tcW w:w="728" w:type="pct"/>
            <w:vAlign w:val="top"/>
          </w:tcPr>
          <w:p w14:paraId="41B15102">
            <w:pPr>
              <w:pStyle w:val="94"/>
              <w:rPr>
                <w:color w:val="auto"/>
              </w:rPr>
            </w:pPr>
            <w:r>
              <w:rPr>
                <w:color w:val="auto"/>
              </w:rPr>
              <w:t>39.84</w:t>
            </w:r>
          </w:p>
        </w:tc>
        <w:tc>
          <w:tcPr>
            <w:tcW w:w="978" w:type="pct"/>
            <w:vMerge w:val="continue"/>
            <w:vAlign w:val="center"/>
          </w:tcPr>
          <w:p w14:paraId="4A7D81F5">
            <w:pPr>
              <w:pStyle w:val="94"/>
              <w:rPr>
                <w:color w:val="auto"/>
              </w:rPr>
            </w:pPr>
          </w:p>
        </w:tc>
      </w:tr>
      <w:tr w14:paraId="50E34A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1044" w:type="pct"/>
            <w:noWrap/>
            <w:vAlign w:val="center"/>
          </w:tcPr>
          <w:p w14:paraId="3BEB426B">
            <w:pPr>
              <w:pStyle w:val="94"/>
              <w:rPr>
                <w:color w:val="auto"/>
              </w:rPr>
            </w:pPr>
            <w:r>
              <w:rPr>
                <w:color w:val="auto"/>
              </w:rPr>
              <w:t>湿地生态系统</w:t>
            </w:r>
          </w:p>
        </w:tc>
        <w:tc>
          <w:tcPr>
            <w:tcW w:w="989" w:type="pct"/>
            <w:noWrap/>
            <w:vAlign w:val="top"/>
          </w:tcPr>
          <w:p w14:paraId="4B5FC5C8">
            <w:pPr>
              <w:pStyle w:val="94"/>
              <w:rPr>
                <w:color w:val="auto"/>
              </w:rPr>
            </w:pPr>
            <w:r>
              <w:rPr>
                <w:color w:val="auto"/>
              </w:rPr>
              <w:t>0</w:t>
            </w:r>
          </w:p>
        </w:tc>
        <w:tc>
          <w:tcPr>
            <w:tcW w:w="1261" w:type="pct"/>
            <w:noWrap/>
            <w:vAlign w:val="top"/>
          </w:tcPr>
          <w:p w14:paraId="34336B5D">
            <w:pPr>
              <w:pStyle w:val="94"/>
              <w:rPr>
                <w:color w:val="auto"/>
              </w:rPr>
            </w:pPr>
            <w:r>
              <w:rPr>
                <w:color w:val="auto"/>
              </w:rPr>
              <w:t>0.5</w:t>
            </w:r>
          </w:p>
        </w:tc>
        <w:tc>
          <w:tcPr>
            <w:tcW w:w="728" w:type="pct"/>
            <w:vAlign w:val="top"/>
          </w:tcPr>
          <w:p w14:paraId="33AAA33B">
            <w:pPr>
              <w:pStyle w:val="94"/>
              <w:rPr>
                <w:color w:val="auto"/>
              </w:rPr>
            </w:pPr>
            <w:r>
              <w:rPr>
                <w:color w:val="auto"/>
              </w:rPr>
              <w:t>0</w:t>
            </w:r>
          </w:p>
        </w:tc>
        <w:tc>
          <w:tcPr>
            <w:tcW w:w="978" w:type="pct"/>
            <w:vMerge w:val="continue"/>
            <w:vAlign w:val="center"/>
          </w:tcPr>
          <w:p w14:paraId="3444DD1C">
            <w:pPr>
              <w:pStyle w:val="94"/>
              <w:rPr>
                <w:color w:val="auto"/>
              </w:rPr>
            </w:pPr>
          </w:p>
        </w:tc>
      </w:tr>
      <w:tr w14:paraId="6CB203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1044" w:type="pct"/>
            <w:noWrap/>
            <w:vAlign w:val="center"/>
          </w:tcPr>
          <w:p w14:paraId="3AA8F820">
            <w:pPr>
              <w:pStyle w:val="94"/>
              <w:rPr>
                <w:color w:val="auto"/>
              </w:rPr>
            </w:pPr>
            <w:r>
              <w:rPr>
                <w:color w:val="auto"/>
              </w:rPr>
              <w:t>城镇生态系统</w:t>
            </w:r>
          </w:p>
        </w:tc>
        <w:tc>
          <w:tcPr>
            <w:tcW w:w="989" w:type="pct"/>
            <w:noWrap/>
            <w:vAlign w:val="top"/>
          </w:tcPr>
          <w:p w14:paraId="7F43C6C0">
            <w:pPr>
              <w:pStyle w:val="94"/>
              <w:rPr>
                <w:color w:val="auto"/>
              </w:rPr>
            </w:pPr>
            <w:r>
              <w:rPr>
                <w:color w:val="auto"/>
              </w:rPr>
              <w:t>0.11</w:t>
            </w:r>
          </w:p>
        </w:tc>
        <w:tc>
          <w:tcPr>
            <w:tcW w:w="1261" w:type="pct"/>
            <w:noWrap/>
            <w:vAlign w:val="top"/>
          </w:tcPr>
          <w:p w14:paraId="662CBFDD">
            <w:pPr>
              <w:pStyle w:val="94"/>
              <w:rPr>
                <w:color w:val="auto"/>
              </w:rPr>
            </w:pPr>
            <w:r>
              <w:rPr>
                <w:color w:val="auto"/>
              </w:rPr>
              <w:t>0.2</w:t>
            </w:r>
          </w:p>
        </w:tc>
        <w:tc>
          <w:tcPr>
            <w:tcW w:w="728" w:type="pct"/>
            <w:vAlign w:val="top"/>
          </w:tcPr>
          <w:p w14:paraId="5DC974E6">
            <w:pPr>
              <w:pStyle w:val="94"/>
              <w:rPr>
                <w:color w:val="auto"/>
              </w:rPr>
            </w:pPr>
            <w:r>
              <w:rPr>
                <w:color w:val="auto"/>
              </w:rPr>
              <w:t>0.022</w:t>
            </w:r>
          </w:p>
        </w:tc>
        <w:tc>
          <w:tcPr>
            <w:tcW w:w="978" w:type="pct"/>
            <w:vMerge w:val="continue"/>
            <w:vAlign w:val="center"/>
          </w:tcPr>
          <w:p w14:paraId="14967FD0">
            <w:pPr>
              <w:pStyle w:val="94"/>
              <w:rPr>
                <w:color w:val="auto"/>
              </w:rPr>
            </w:pPr>
          </w:p>
        </w:tc>
      </w:tr>
      <w:tr w14:paraId="1984DE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1044" w:type="pct"/>
            <w:noWrap/>
            <w:vAlign w:val="center"/>
          </w:tcPr>
          <w:p w14:paraId="0438C8FB">
            <w:pPr>
              <w:pStyle w:val="94"/>
              <w:rPr>
                <w:color w:val="auto"/>
              </w:rPr>
            </w:pPr>
            <w:r>
              <w:rPr>
                <w:color w:val="auto"/>
              </w:rPr>
              <w:t>灌丛生态系统</w:t>
            </w:r>
          </w:p>
        </w:tc>
        <w:tc>
          <w:tcPr>
            <w:tcW w:w="989" w:type="pct"/>
            <w:noWrap/>
            <w:vAlign w:val="top"/>
          </w:tcPr>
          <w:p w14:paraId="1182FAC3">
            <w:pPr>
              <w:pStyle w:val="94"/>
              <w:rPr>
                <w:color w:val="auto"/>
              </w:rPr>
            </w:pPr>
            <w:r>
              <w:rPr>
                <w:color w:val="auto"/>
              </w:rPr>
              <w:t>0.18</w:t>
            </w:r>
          </w:p>
        </w:tc>
        <w:tc>
          <w:tcPr>
            <w:tcW w:w="1261" w:type="pct"/>
            <w:noWrap/>
            <w:vAlign w:val="top"/>
          </w:tcPr>
          <w:p w14:paraId="68DAB971">
            <w:pPr>
              <w:pStyle w:val="94"/>
              <w:rPr>
                <w:color w:val="auto"/>
              </w:rPr>
            </w:pPr>
            <w:r>
              <w:rPr>
                <w:color w:val="auto"/>
              </w:rPr>
              <w:t>68</w:t>
            </w:r>
          </w:p>
        </w:tc>
        <w:tc>
          <w:tcPr>
            <w:tcW w:w="728" w:type="pct"/>
            <w:vAlign w:val="top"/>
          </w:tcPr>
          <w:p w14:paraId="2A092381">
            <w:pPr>
              <w:pStyle w:val="94"/>
              <w:rPr>
                <w:color w:val="auto"/>
              </w:rPr>
            </w:pPr>
            <w:r>
              <w:rPr>
                <w:color w:val="auto"/>
              </w:rPr>
              <w:t>12.24</w:t>
            </w:r>
          </w:p>
        </w:tc>
        <w:tc>
          <w:tcPr>
            <w:tcW w:w="978" w:type="pct"/>
            <w:vMerge w:val="continue"/>
            <w:vAlign w:val="center"/>
          </w:tcPr>
          <w:p w14:paraId="3BA3E494">
            <w:pPr>
              <w:pStyle w:val="94"/>
              <w:rPr>
                <w:color w:val="auto"/>
              </w:rPr>
            </w:pPr>
          </w:p>
        </w:tc>
      </w:tr>
      <w:tr w14:paraId="1A596F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1044" w:type="pct"/>
            <w:noWrap/>
            <w:vAlign w:val="center"/>
          </w:tcPr>
          <w:p w14:paraId="194596D8">
            <w:pPr>
              <w:pStyle w:val="94"/>
              <w:rPr>
                <w:color w:val="auto"/>
              </w:rPr>
            </w:pPr>
            <w:r>
              <w:rPr>
                <w:rFonts w:hint="eastAsia"/>
                <w:color w:val="auto"/>
              </w:rPr>
              <w:t>其他</w:t>
            </w:r>
          </w:p>
        </w:tc>
        <w:tc>
          <w:tcPr>
            <w:tcW w:w="989" w:type="pct"/>
            <w:noWrap/>
            <w:vAlign w:val="top"/>
          </w:tcPr>
          <w:p w14:paraId="1DB8A514">
            <w:pPr>
              <w:pStyle w:val="94"/>
              <w:rPr>
                <w:color w:val="auto"/>
              </w:rPr>
            </w:pPr>
            <w:r>
              <w:rPr>
                <w:color w:val="auto"/>
              </w:rPr>
              <w:t>4.78</w:t>
            </w:r>
          </w:p>
        </w:tc>
        <w:tc>
          <w:tcPr>
            <w:tcW w:w="1261" w:type="pct"/>
            <w:noWrap/>
            <w:vAlign w:val="top"/>
          </w:tcPr>
          <w:p w14:paraId="4FA1A41E">
            <w:pPr>
              <w:pStyle w:val="94"/>
              <w:rPr>
                <w:color w:val="auto"/>
              </w:rPr>
            </w:pPr>
            <w:r>
              <w:rPr>
                <w:color w:val="auto"/>
              </w:rPr>
              <w:t>0.2</w:t>
            </w:r>
          </w:p>
        </w:tc>
        <w:tc>
          <w:tcPr>
            <w:tcW w:w="728" w:type="pct"/>
            <w:vAlign w:val="top"/>
          </w:tcPr>
          <w:p w14:paraId="0721E10D">
            <w:pPr>
              <w:pStyle w:val="94"/>
              <w:rPr>
                <w:color w:val="auto"/>
              </w:rPr>
            </w:pPr>
            <w:r>
              <w:rPr>
                <w:color w:val="auto"/>
              </w:rPr>
              <w:t>0.956</w:t>
            </w:r>
          </w:p>
        </w:tc>
        <w:tc>
          <w:tcPr>
            <w:tcW w:w="978" w:type="pct"/>
            <w:vMerge w:val="continue"/>
            <w:vAlign w:val="center"/>
          </w:tcPr>
          <w:p w14:paraId="39C37482">
            <w:pPr>
              <w:pStyle w:val="94"/>
              <w:rPr>
                <w:color w:val="auto"/>
              </w:rPr>
            </w:pPr>
          </w:p>
        </w:tc>
      </w:tr>
      <w:tr w14:paraId="658567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044" w:type="pct"/>
            <w:noWrap/>
            <w:vAlign w:val="center"/>
          </w:tcPr>
          <w:p w14:paraId="7410A3A8">
            <w:pPr>
              <w:pStyle w:val="94"/>
              <w:rPr>
                <w:color w:val="auto"/>
              </w:rPr>
            </w:pPr>
            <w:r>
              <w:rPr>
                <w:color w:val="auto"/>
              </w:rPr>
              <w:t>合计</w:t>
            </w:r>
          </w:p>
        </w:tc>
        <w:tc>
          <w:tcPr>
            <w:tcW w:w="989" w:type="pct"/>
            <w:noWrap/>
            <w:vAlign w:val="top"/>
          </w:tcPr>
          <w:p w14:paraId="3D636270">
            <w:pPr>
              <w:pStyle w:val="94"/>
              <w:rPr>
                <w:color w:val="auto"/>
              </w:rPr>
            </w:pPr>
            <w:r>
              <w:rPr>
                <w:color w:val="auto"/>
              </w:rPr>
              <w:t>22.91</w:t>
            </w:r>
          </w:p>
        </w:tc>
        <w:tc>
          <w:tcPr>
            <w:tcW w:w="1261" w:type="pct"/>
            <w:noWrap/>
            <w:vAlign w:val="top"/>
          </w:tcPr>
          <w:p w14:paraId="28C426A6">
            <w:pPr>
              <w:pStyle w:val="94"/>
              <w:rPr>
                <w:color w:val="auto"/>
              </w:rPr>
            </w:pPr>
          </w:p>
        </w:tc>
        <w:tc>
          <w:tcPr>
            <w:tcW w:w="728" w:type="pct"/>
            <w:noWrap/>
            <w:vAlign w:val="top"/>
          </w:tcPr>
          <w:p w14:paraId="080B7E7B">
            <w:pPr>
              <w:pStyle w:val="94"/>
              <w:rPr>
                <w:color w:val="auto"/>
              </w:rPr>
            </w:pPr>
            <w:r>
              <w:rPr>
                <w:color w:val="auto"/>
              </w:rPr>
              <w:t xml:space="preserve">1793.96 </w:t>
            </w:r>
          </w:p>
        </w:tc>
        <w:tc>
          <w:tcPr>
            <w:tcW w:w="978" w:type="pct"/>
            <w:vMerge w:val="continue"/>
            <w:vAlign w:val="center"/>
          </w:tcPr>
          <w:p w14:paraId="3BFFF5CC">
            <w:pPr>
              <w:pStyle w:val="94"/>
              <w:rPr>
                <w:color w:val="auto"/>
              </w:rPr>
            </w:pPr>
          </w:p>
        </w:tc>
      </w:tr>
    </w:tbl>
    <w:p w14:paraId="49CE622A">
      <w:pPr>
        <w:pStyle w:val="5"/>
      </w:pPr>
      <w:r>
        <w:t>对植被及植物资源影响</w:t>
      </w:r>
    </w:p>
    <w:p w14:paraId="0D98D14F">
      <w:pPr>
        <w:pStyle w:val="96"/>
        <w:ind w:firstLine="480"/>
      </w:pPr>
      <w:r>
        <w:rPr>
          <w:rFonts w:hint="eastAsia"/>
        </w:rPr>
        <w:t>本工程占用落叶阔叶林</w:t>
      </w:r>
      <w:r>
        <w:t>5.44ha，主要为</w:t>
      </w:r>
      <w:r>
        <w:rPr>
          <w:rFonts w:hint="eastAsia"/>
        </w:rPr>
        <w:t>小叶杨</w:t>
      </w:r>
      <w:r>
        <w:t>林；占用草丛2.49ha，主要包括蒿</w:t>
      </w:r>
      <w:r>
        <w:rPr>
          <w:rFonts w:hint="eastAsia"/>
        </w:rPr>
        <w:t>类</w:t>
      </w:r>
      <w:r>
        <w:t>草丛；占用耕地6.92ha，主要种植以玉米高粱、薯类、豆类为主的作物组合。主要占用的植被类型面积详见下表。</w:t>
      </w:r>
    </w:p>
    <w:p w14:paraId="3AA27454">
      <w:pPr>
        <w:pStyle w:val="19"/>
        <w:keepNext/>
      </w:pPr>
      <w:r>
        <w:t xml:space="preserve">表 </w:t>
      </w:r>
      <w:r>
        <w:fldChar w:fldCharType="begin"/>
      </w:r>
      <w:r>
        <w:instrText xml:space="preserve"> SEQ 表 \* ARABIC </w:instrText>
      </w:r>
      <w:r>
        <w:fldChar w:fldCharType="separate"/>
      </w:r>
      <w:r>
        <w:t>91</w:t>
      </w:r>
      <w:r>
        <w:fldChar w:fldCharType="end"/>
      </w:r>
      <w:r>
        <w:rPr>
          <w:rFonts w:hint="eastAsia"/>
        </w:rPr>
        <w:t>工程占用各类植被类型面积表</w:t>
      </w:r>
    </w:p>
    <w:tbl>
      <w:tblPr>
        <w:tblStyle w:val="73"/>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60"/>
        <w:gridCol w:w="1362"/>
        <w:gridCol w:w="1792"/>
        <w:gridCol w:w="2795"/>
        <w:gridCol w:w="1255"/>
        <w:gridCol w:w="1302"/>
        <w:gridCol w:w="670"/>
      </w:tblGrid>
      <w:tr w14:paraId="5BB65E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5" w:hRule="atLeast"/>
        </w:trPr>
        <w:tc>
          <w:tcPr>
            <w:tcW w:w="1260" w:type="dxa"/>
            <w:noWrap/>
            <w:vAlign w:val="center"/>
          </w:tcPr>
          <w:p w14:paraId="201044E1">
            <w:pPr>
              <w:pStyle w:val="94"/>
              <w:rPr>
                <w:color w:val="auto"/>
              </w:rPr>
            </w:pPr>
            <w:r>
              <w:rPr>
                <w:rFonts w:hint="eastAsia"/>
                <w:color w:val="auto"/>
              </w:rPr>
              <w:t>植被型组</w:t>
            </w:r>
          </w:p>
        </w:tc>
        <w:tc>
          <w:tcPr>
            <w:tcW w:w="1362" w:type="dxa"/>
            <w:noWrap/>
            <w:vAlign w:val="center"/>
          </w:tcPr>
          <w:p w14:paraId="2B2F413C">
            <w:pPr>
              <w:pStyle w:val="94"/>
              <w:rPr>
                <w:color w:val="auto"/>
              </w:rPr>
            </w:pPr>
            <w:r>
              <w:rPr>
                <w:rFonts w:hint="eastAsia"/>
                <w:color w:val="auto"/>
              </w:rPr>
              <w:t>植被型</w:t>
            </w:r>
          </w:p>
        </w:tc>
        <w:tc>
          <w:tcPr>
            <w:tcW w:w="1792" w:type="dxa"/>
            <w:noWrap/>
            <w:vAlign w:val="center"/>
          </w:tcPr>
          <w:p w14:paraId="4EE657F0">
            <w:pPr>
              <w:pStyle w:val="94"/>
              <w:rPr>
                <w:color w:val="auto"/>
              </w:rPr>
            </w:pPr>
            <w:r>
              <w:rPr>
                <w:rFonts w:hint="eastAsia"/>
                <w:color w:val="auto"/>
              </w:rPr>
              <w:t>植被亚型</w:t>
            </w:r>
          </w:p>
        </w:tc>
        <w:tc>
          <w:tcPr>
            <w:tcW w:w="2795" w:type="dxa"/>
            <w:noWrap/>
            <w:vAlign w:val="center"/>
          </w:tcPr>
          <w:p w14:paraId="75C8746A">
            <w:pPr>
              <w:pStyle w:val="94"/>
              <w:rPr>
                <w:color w:val="auto"/>
              </w:rPr>
            </w:pPr>
            <w:r>
              <w:rPr>
                <w:rFonts w:hint="eastAsia"/>
                <w:color w:val="auto"/>
              </w:rPr>
              <w:t>群系</w:t>
            </w:r>
          </w:p>
        </w:tc>
        <w:tc>
          <w:tcPr>
            <w:tcW w:w="1255" w:type="dxa"/>
            <w:noWrap/>
            <w:vAlign w:val="center"/>
          </w:tcPr>
          <w:p w14:paraId="26270BBB">
            <w:pPr>
              <w:pStyle w:val="94"/>
              <w:rPr>
                <w:color w:val="auto"/>
              </w:rPr>
            </w:pPr>
            <w:r>
              <w:rPr>
                <w:rFonts w:hint="eastAsia"/>
                <w:color w:val="auto"/>
              </w:rPr>
              <w:t>工程占用面积ha</w:t>
            </w:r>
          </w:p>
        </w:tc>
        <w:tc>
          <w:tcPr>
            <w:tcW w:w="1302" w:type="dxa"/>
            <w:noWrap/>
            <w:vAlign w:val="center"/>
          </w:tcPr>
          <w:p w14:paraId="42F9DD46">
            <w:pPr>
              <w:pStyle w:val="94"/>
              <w:rPr>
                <w:color w:val="auto"/>
              </w:rPr>
            </w:pPr>
            <w:r>
              <w:rPr>
                <w:rFonts w:hint="eastAsia"/>
                <w:color w:val="auto"/>
              </w:rPr>
              <w:t>评价区现状面积ha</w:t>
            </w:r>
          </w:p>
        </w:tc>
        <w:tc>
          <w:tcPr>
            <w:tcW w:w="670" w:type="dxa"/>
            <w:noWrap/>
            <w:vAlign w:val="center"/>
          </w:tcPr>
          <w:p w14:paraId="06AAA631">
            <w:pPr>
              <w:pStyle w:val="94"/>
              <w:rPr>
                <w:color w:val="auto"/>
              </w:rPr>
            </w:pPr>
            <w:r>
              <w:rPr>
                <w:rFonts w:hint="eastAsia"/>
                <w:color w:val="auto"/>
              </w:rPr>
              <w:t>占比%</w:t>
            </w:r>
          </w:p>
        </w:tc>
      </w:tr>
      <w:tr w14:paraId="0B88EA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5" w:hRule="atLeast"/>
        </w:trPr>
        <w:tc>
          <w:tcPr>
            <w:tcW w:w="1260" w:type="dxa"/>
            <w:noWrap/>
            <w:vAlign w:val="center"/>
          </w:tcPr>
          <w:p w14:paraId="7E550169">
            <w:pPr>
              <w:pStyle w:val="94"/>
              <w:rPr>
                <w:color w:val="auto"/>
              </w:rPr>
            </w:pPr>
            <w:r>
              <w:rPr>
                <w:rFonts w:hint="eastAsia"/>
                <w:color w:val="auto"/>
              </w:rPr>
              <w:t>Ⅸ</w:t>
            </w:r>
            <w:r>
              <w:rPr>
                <w:rFonts w:ascii="Arial" w:hAnsi="Arial" w:cs="Arial"/>
                <w:color w:val="auto"/>
              </w:rPr>
              <w:t>.</w:t>
            </w:r>
            <w:r>
              <w:rPr>
                <w:rFonts w:hint="eastAsia"/>
                <w:color w:val="auto"/>
              </w:rPr>
              <w:t>草丛</w:t>
            </w:r>
          </w:p>
        </w:tc>
        <w:tc>
          <w:tcPr>
            <w:tcW w:w="1362" w:type="dxa"/>
            <w:noWrap/>
            <w:vAlign w:val="center"/>
          </w:tcPr>
          <w:p w14:paraId="1E2404F8">
            <w:pPr>
              <w:pStyle w:val="94"/>
              <w:rPr>
                <w:color w:val="auto"/>
              </w:rPr>
            </w:pPr>
            <w:r>
              <w:rPr>
                <w:rFonts w:hint="eastAsia"/>
                <w:color w:val="auto"/>
              </w:rPr>
              <w:t>一、草丛</w:t>
            </w:r>
          </w:p>
        </w:tc>
        <w:tc>
          <w:tcPr>
            <w:tcW w:w="1792" w:type="dxa"/>
            <w:noWrap/>
            <w:vAlign w:val="center"/>
          </w:tcPr>
          <w:p w14:paraId="66DF6041">
            <w:pPr>
              <w:pStyle w:val="94"/>
              <w:rPr>
                <w:color w:val="auto"/>
              </w:rPr>
            </w:pPr>
            <w:r>
              <w:rPr>
                <w:rFonts w:hint="eastAsia"/>
                <w:color w:val="auto"/>
              </w:rPr>
              <w:t>（一）典型草丛</w:t>
            </w:r>
          </w:p>
        </w:tc>
        <w:tc>
          <w:tcPr>
            <w:tcW w:w="2795" w:type="dxa"/>
            <w:noWrap/>
            <w:vAlign w:val="center"/>
          </w:tcPr>
          <w:p w14:paraId="227C865D">
            <w:pPr>
              <w:pStyle w:val="94"/>
              <w:rPr>
                <w:color w:val="auto"/>
              </w:rPr>
            </w:pPr>
            <w:r>
              <w:rPr>
                <w:rFonts w:hint="eastAsia"/>
                <w:color w:val="auto"/>
              </w:rPr>
              <w:t>蒿类草丛</w:t>
            </w:r>
          </w:p>
        </w:tc>
        <w:tc>
          <w:tcPr>
            <w:tcW w:w="1255" w:type="dxa"/>
            <w:noWrap/>
            <w:vAlign w:val="center"/>
          </w:tcPr>
          <w:p w14:paraId="1E3B7514">
            <w:pPr>
              <w:pStyle w:val="94"/>
              <w:rPr>
                <w:color w:val="auto"/>
              </w:rPr>
            </w:pPr>
            <w:r>
              <w:rPr>
                <w:rFonts w:hint="eastAsia"/>
                <w:color w:val="auto"/>
              </w:rPr>
              <w:t>2.49</w:t>
            </w:r>
          </w:p>
        </w:tc>
        <w:tc>
          <w:tcPr>
            <w:tcW w:w="1302" w:type="dxa"/>
            <w:noWrap/>
            <w:vAlign w:val="center"/>
          </w:tcPr>
          <w:p w14:paraId="6A074B31">
            <w:pPr>
              <w:pStyle w:val="94"/>
              <w:rPr>
                <w:color w:val="auto"/>
              </w:rPr>
            </w:pPr>
            <w:r>
              <w:rPr>
                <w:rFonts w:hint="eastAsia"/>
                <w:color w:val="auto"/>
              </w:rPr>
              <w:t>211.31</w:t>
            </w:r>
          </w:p>
        </w:tc>
        <w:tc>
          <w:tcPr>
            <w:tcW w:w="670" w:type="dxa"/>
            <w:noWrap/>
            <w:vAlign w:val="center"/>
          </w:tcPr>
          <w:p w14:paraId="34DC8938">
            <w:pPr>
              <w:pStyle w:val="94"/>
              <w:rPr>
                <w:color w:val="auto"/>
              </w:rPr>
            </w:pPr>
            <w:r>
              <w:rPr>
                <w:rFonts w:hint="eastAsia"/>
                <w:color w:val="auto"/>
              </w:rPr>
              <w:t>1.18</w:t>
            </w:r>
          </w:p>
        </w:tc>
      </w:tr>
      <w:tr w14:paraId="284CB0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0" w:hRule="atLeast"/>
        </w:trPr>
        <w:tc>
          <w:tcPr>
            <w:tcW w:w="1260" w:type="dxa"/>
            <w:noWrap/>
            <w:vAlign w:val="center"/>
          </w:tcPr>
          <w:p w14:paraId="1EA5BDC8">
            <w:pPr>
              <w:pStyle w:val="94"/>
              <w:rPr>
                <w:color w:val="auto"/>
              </w:rPr>
            </w:pPr>
            <w:r>
              <w:rPr>
                <w:rFonts w:hint="eastAsia"/>
                <w:color w:val="auto"/>
              </w:rPr>
              <w:t>Ⅱ</w:t>
            </w:r>
            <w:r>
              <w:rPr>
                <w:rFonts w:ascii="Arial" w:hAnsi="Arial" w:cs="Arial"/>
                <w:color w:val="auto"/>
              </w:rPr>
              <w:t>.</w:t>
            </w:r>
            <w:r>
              <w:rPr>
                <w:rFonts w:hint="eastAsia"/>
                <w:color w:val="auto"/>
              </w:rPr>
              <w:t>木本类型</w:t>
            </w:r>
          </w:p>
        </w:tc>
        <w:tc>
          <w:tcPr>
            <w:tcW w:w="1362" w:type="dxa"/>
            <w:noWrap/>
            <w:vAlign w:val="center"/>
          </w:tcPr>
          <w:p w14:paraId="576E514F">
            <w:pPr>
              <w:pStyle w:val="94"/>
              <w:rPr>
                <w:color w:val="auto"/>
              </w:rPr>
            </w:pPr>
            <w:r>
              <w:rPr>
                <w:rFonts w:hint="eastAsia"/>
                <w:color w:val="auto"/>
              </w:rPr>
              <w:t>二、果园型</w:t>
            </w:r>
          </w:p>
        </w:tc>
        <w:tc>
          <w:tcPr>
            <w:tcW w:w="1792" w:type="dxa"/>
            <w:noWrap/>
            <w:vAlign w:val="center"/>
          </w:tcPr>
          <w:p w14:paraId="3E32319F">
            <w:pPr>
              <w:pStyle w:val="94"/>
              <w:rPr>
                <w:color w:val="auto"/>
              </w:rPr>
            </w:pPr>
            <w:r>
              <w:rPr>
                <w:rFonts w:hint="eastAsia"/>
                <w:color w:val="auto"/>
              </w:rPr>
              <w:t>（一）落叶果树亚型</w:t>
            </w:r>
          </w:p>
        </w:tc>
        <w:tc>
          <w:tcPr>
            <w:tcW w:w="2795" w:type="dxa"/>
            <w:noWrap/>
            <w:vAlign w:val="center"/>
          </w:tcPr>
          <w:p w14:paraId="26A66626">
            <w:pPr>
              <w:pStyle w:val="94"/>
              <w:rPr>
                <w:color w:val="auto"/>
              </w:rPr>
            </w:pPr>
            <w:r>
              <w:rPr>
                <w:rFonts w:hint="eastAsia"/>
                <w:color w:val="auto"/>
              </w:rPr>
              <w:t>核桃园</w:t>
            </w:r>
          </w:p>
        </w:tc>
        <w:tc>
          <w:tcPr>
            <w:tcW w:w="1255" w:type="dxa"/>
            <w:noWrap/>
            <w:vAlign w:val="center"/>
          </w:tcPr>
          <w:p w14:paraId="58A97AEC">
            <w:pPr>
              <w:pStyle w:val="94"/>
              <w:rPr>
                <w:color w:val="auto"/>
              </w:rPr>
            </w:pPr>
            <w:r>
              <w:rPr>
                <w:rFonts w:hint="eastAsia"/>
                <w:color w:val="auto"/>
              </w:rPr>
              <w:t>1.33</w:t>
            </w:r>
          </w:p>
        </w:tc>
        <w:tc>
          <w:tcPr>
            <w:tcW w:w="1302" w:type="dxa"/>
            <w:noWrap/>
            <w:vAlign w:val="center"/>
          </w:tcPr>
          <w:p w14:paraId="78DD95A2">
            <w:pPr>
              <w:pStyle w:val="94"/>
              <w:rPr>
                <w:color w:val="auto"/>
              </w:rPr>
            </w:pPr>
            <w:r>
              <w:rPr>
                <w:rFonts w:hint="eastAsia"/>
                <w:color w:val="auto"/>
              </w:rPr>
              <w:t>24.76</w:t>
            </w:r>
          </w:p>
        </w:tc>
        <w:tc>
          <w:tcPr>
            <w:tcW w:w="670" w:type="dxa"/>
            <w:noWrap/>
            <w:vAlign w:val="center"/>
          </w:tcPr>
          <w:p w14:paraId="67C26940">
            <w:pPr>
              <w:pStyle w:val="94"/>
              <w:rPr>
                <w:color w:val="auto"/>
              </w:rPr>
            </w:pPr>
            <w:r>
              <w:rPr>
                <w:rFonts w:hint="eastAsia"/>
                <w:color w:val="auto"/>
              </w:rPr>
              <w:t>5.37</w:t>
            </w:r>
          </w:p>
        </w:tc>
      </w:tr>
      <w:tr w14:paraId="3D0A00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0" w:hRule="atLeast"/>
        </w:trPr>
        <w:tc>
          <w:tcPr>
            <w:tcW w:w="1260" w:type="dxa"/>
            <w:noWrap/>
            <w:vAlign w:val="center"/>
          </w:tcPr>
          <w:p w14:paraId="212613FD">
            <w:pPr>
              <w:pStyle w:val="94"/>
              <w:rPr>
                <w:color w:val="auto"/>
              </w:rPr>
            </w:pPr>
            <w:r>
              <w:rPr>
                <w:rFonts w:hint="eastAsia"/>
                <w:color w:val="auto"/>
              </w:rPr>
              <w:t>Ⅳ</w:t>
            </w:r>
            <w:r>
              <w:rPr>
                <w:rFonts w:ascii="Arial" w:hAnsi="Arial" w:cs="Arial"/>
                <w:color w:val="auto"/>
              </w:rPr>
              <w:t>.</w:t>
            </w:r>
            <w:r>
              <w:rPr>
                <w:rFonts w:hint="eastAsia"/>
                <w:color w:val="auto"/>
              </w:rPr>
              <w:t>落叶阔叶灌丛</w:t>
            </w:r>
          </w:p>
        </w:tc>
        <w:tc>
          <w:tcPr>
            <w:tcW w:w="1362" w:type="dxa"/>
            <w:noWrap/>
            <w:vAlign w:val="center"/>
          </w:tcPr>
          <w:p w14:paraId="4CD9A102">
            <w:pPr>
              <w:pStyle w:val="94"/>
              <w:rPr>
                <w:color w:val="auto"/>
              </w:rPr>
            </w:pPr>
            <w:r>
              <w:rPr>
                <w:rFonts w:hint="eastAsia"/>
                <w:color w:val="auto"/>
              </w:rPr>
              <w:t>一、落叶阔叶灌丛</w:t>
            </w:r>
          </w:p>
        </w:tc>
        <w:tc>
          <w:tcPr>
            <w:tcW w:w="1792" w:type="dxa"/>
            <w:noWrap/>
            <w:vAlign w:val="center"/>
          </w:tcPr>
          <w:p w14:paraId="5402AA3C">
            <w:pPr>
              <w:pStyle w:val="94"/>
              <w:rPr>
                <w:color w:val="auto"/>
              </w:rPr>
            </w:pPr>
            <w:r>
              <w:rPr>
                <w:rFonts w:hint="eastAsia"/>
                <w:color w:val="auto"/>
              </w:rPr>
              <w:t>（二）温性落叶阔叶灌丛</w:t>
            </w:r>
          </w:p>
        </w:tc>
        <w:tc>
          <w:tcPr>
            <w:tcW w:w="2795" w:type="dxa"/>
            <w:noWrap/>
            <w:vAlign w:val="center"/>
          </w:tcPr>
          <w:p w14:paraId="054997D7">
            <w:pPr>
              <w:pStyle w:val="94"/>
              <w:rPr>
                <w:color w:val="auto"/>
              </w:rPr>
            </w:pPr>
            <w:r>
              <w:rPr>
                <w:rFonts w:hint="eastAsia"/>
                <w:color w:val="auto"/>
              </w:rPr>
              <w:t>柠条锦鸡儿灌丛</w:t>
            </w:r>
          </w:p>
        </w:tc>
        <w:tc>
          <w:tcPr>
            <w:tcW w:w="1255" w:type="dxa"/>
            <w:noWrap/>
            <w:vAlign w:val="center"/>
          </w:tcPr>
          <w:p w14:paraId="7352D6FD">
            <w:pPr>
              <w:pStyle w:val="94"/>
              <w:rPr>
                <w:color w:val="auto"/>
              </w:rPr>
            </w:pPr>
            <w:r>
              <w:rPr>
                <w:rFonts w:hint="eastAsia"/>
                <w:color w:val="auto"/>
              </w:rPr>
              <w:t>0.18</w:t>
            </w:r>
          </w:p>
        </w:tc>
        <w:tc>
          <w:tcPr>
            <w:tcW w:w="1302" w:type="dxa"/>
            <w:noWrap/>
            <w:vAlign w:val="center"/>
          </w:tcPr>
          <w:p w14:paraId="4C0E977A">
            <w:pPr>
              <w:pStyle w:val="94"/>
              <w:rPr>
                <w:color w:val="auto"/>
              </w:rPr>
            </w:pPr>
            <w:r>
              <w:rPr>
                <w:rFonts w:hint="eastAsia"/>
                <w:color w:val="auto"/>
              </w:rPr>
              <w:t>3.9</w:t>
            </w:r>
          </w:p>
        </w:tc>
        <w:tc>
          <w:tcPr>
            <w:tcW w:w="670" w:type="dxa"/>
            <w:noWrap/>
            <w:vAlign w:val="center"/>
          </w:tcPr>
          <w:p w14:paraId="66D60EFD">
            <w:pPr>
              <w:pStyle w:val="94"/>
              <w:rPr>
                <w:color w:val="auto"/>
              </w:rPr>
            </w:pPr>
            <w:r>
              <w:rPr>
                <w:rFonts w:hint="eastAsia"/>
                <w:color w:val="auto"/>
              </w:rPr>
              <w:t>4.62</w:t>
            </w:r>
          </w:p>
        </w:tc>
      </w:tr>
      <w:tr w14:paraId="2B7F9F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0" w:hRule="atLeast"/>
        </w:trPr>
        <w:tc>
          <w:tcPr>
            <w:tcW w:w="1260" w:type="dxa"/>
            <w:noWrap/>
            <w:vAlign w:val="center"/>
          </w:tcPr>
          <w:p w14:paraId="43CD090B">
            <w:pPr>
              <w:pStyle w:val="94"/>
              <w:rPr>
                <w:rFonts w:ascii="Arial" w:hAnsi="Arial" w:cs="Arial"/>
                <w:color w:val="auto"/>
              </w:rPr>
            </w:pPr>
            <w:r>
              <w:rPr>
                <w:rFonts w:ascii="Arial" w:hAnsi="Arial" w:cs="Arial"/>
                <w:color w:val="auto"/>
              </w:rPr>
              <w:t>/</w:t>
            </w:r>
          </w:p>
        </w:tc>
        <w:tc>
          <w:tcPr>
            <w:tcW w:w="1362" w:type="dxa"/>
            <w:noWrap/>
            <w:vAlign w:val="center"/>
          </w:tcPr>
          <w:p w14:paraId="2BE0C5A9">
            <w:pPr>
              <w:pStyle w:val="94"/>
              <w:rPr>
                <w:rFonts w:ascii="Arial" w:hAnsi="Arial" w:cs="Arial"/>
                <w:color w:val="auto"/>
              </w:rPr>
            </w:pPr>
            <w:r>
              <w:rPr>
                <w:rFonts w:ascii="Arial" w:hAnsi="Arial" w:cs="Arial"/>
                <w:color w:val="auto"/>
              </w:rPr>
              <w:t>/</w:t>
            </w:r>
          </w:p>
        </w:tc>
        <w:tc>
          <w:tcPr>
            <w:tcW w:w="1792" w:type="dxa"/>
            <w:noWrap/>
            <w:vAlign w:val="center"/>
          </w:tcPr>
          <w:p w14:paraId="690BB5FD">
            <w:pPr>
              <w:pStyle w:val="94"/>
              <w:rPr>
                <w:rFonts w:ascii="Arial" w:hAnsi="Arial" w:cs="Arial"/>
                <w:color w:val="auto"/>
              </w:rPr>
            </w:pPr>
            <w:r>
              <w:rPr>
                <w:rFonts w:ascii="Arial" w:hAnsi="Arial" w:cs="Arial"/>
                <w:color w:val="auto"/>
              </w:rPr>
              <w:t>/</w:t>
            </w:r>
          </w:p>
        </w:tc>
        <w:tc>
          <w:tcPr>
            <w:tcW w:w="2795" w:type="dxa"/>
            <w:noWrap/>
            <w:vAlign w:val="center"/>
          </w:tcPr>
          <w:p w14:paraId="0151A3B3">
            <w:pPr>
              <w:pStyle w:val="94"/>
              <w:rPr>
                <w:color w:val="auto"/>
              </w:rPr>
            </w:pPr>
            <w:r>
              <w:rPr>
                <w:rFonts w:hint="eastAsia"/>
                <w:color w:val="auto"/>
              </w:rPr>
              <w:t>无植被区</w:t>
            </w:r>
          </w:p>
        </w:tc>
        <w:tc>
          <w:tcPr>
            <w:tcW w:w="1255" w:type="dxa"/>
            <w:noWrap/>
            <w:vAlign w:val="center"/>
          </w:tcPr>
          <w:p w14:paraId="3401B603">
            <w:pPr>
              <w:pStyle w:val="94"/>
              <w:rPr>
                <w:color w:val="auto"/>
              </w:rPr>
            </w:pPr>
            <w:r>
              <w:rPr>
                <w:rFonts w:hint="eastAsia"/>
                <w:color w:val="auto"/>
              </w:rPr>
              <w:t>4.9</w:t>
            </w:r>
          </w:p>
        </w:tc>
        <w:tc>
          <w:tcPr>
            <w:tcW w:w="1302" w:type="dxa"/>
            <w:noWrap/>
            <w:vAlign w:val="center"/>
          </w:tcPr>
          <w:p w14:paraId="40B05C78">
            <w:pPr>
              <w:pStyle w:val="94"/>
              <w:rPr>
                <w:color w:val="auto"/>
              </w:rPr>
            </w:pPr>
            <w:r>
              <w:rPr>
                <w:rFonts w:hint="eastAsia"/>
                <w:color w:val="auto"/>
              </w:rPr>
              <w:t>58.89</w:t>
            </w:r>
          </w:p>
        </w:tc>
        <w:tc>
          <w:tcPr>
            <w:tcW w:w="670" w:type="dxa"/>
            <w:noWrap/>
            <w:vAlign w:val="center"/>
          </w:tcPr>
          <w:p w14:paraId="48D84298">
            <w:pPr>
              <w:pStyle w:val="94"/>
              <w:rPr>
                <w:color w:val="auto"/>
              </w:rPr>
            </w:pPr>
            <w:r>
              <w:rPr>
                <w:rFonts w:hint="eastAsia"/>
                <w:color w:val="auto"/>
              </w:rPr>
              <w:t>8.32</w:t>
            </w:r>
          </w:p>
        </w:tc>
      </w:tr>
      <w:tr w14:paraId="2D16B2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0" w:hRule="atLeast"/>
        </w:trPr>
        <w:tc>
          <w:tcPr>
            <w:tcW w:w="1260" w:type="dxa"/>
            <w:noWrap/>
            <w:vAlign w:val="center"/>
          </w:tcPr>
          <w:p w14:paraId="5A04B944">
            <w:pPr>
              <w:pStyle w:val="94"/>
              <w:rPr>
                <w:color w:val="auto"/>
              </w:rPr>
            </w:pPr>
            <w:r>
              <w:rPr>
                <w:rFonts w:hint="eastAsia"/>
                <w:color w:val="auto"/>
              </w:rPr>
              <w:t>Ⅲ</w:t>
            </w:r>
            <w:r>
              <w:rPr>
                <w:rFonts w:ascii="Arial" w:hAnsi="Arial" w:cs="Arial"/>
                <w:color w:val="auto"/>
              </w:rPr>
              <w:t>.</w:t>
            </w:r>
            <w:r>
              <w:rPr>
                <w:rFonts w:hint="eastAsia"/>
                <w:color w:val="auto"/>
              </w:rPr>
              <w:t>落叶阔叶林</w:t>
            </w:r>
          </w:p>
        </w:tc>
        <w:tc>
          <w:tcPr>
            <w:tcW w:w="1362" w:type="dxa"/>
            <w:noWrap/>
            <w:vAlign w:val="center"/>
          </w:tcPr>
          <w:p w14:paraId="02444ADC">
            <w:pPr>
              <w:pStyle w:val="94"/>
              <w:rPr>
                <w:color w:val="auto"/>
              </w:rPr>
            </w:pPr>
            <w:r>
              <w:rPr>
                <w:rFonts w:hint="eastAsia"/>
                <w:color w:val="auto"/>
              </w:rPr>
              <w:t>一、落叶阔叶林</w:t>
            </w:r>
          </w:p>
        </w:tc>
        <w:tc>
          <w:tcPr>
            <w:tcW w:w="1792" w:type="dxa"/>
            <w:noWrap/>
            <w:vAlign w:val="center"/>
          </w:tcPr>
          <w:p w14:paraId="10F895A5">
            <w:pPr>
              <w:pStyle w:val="94"/>
              <w:rPr>
                <w:color w:val="auto"/>
              </w:rPr>
            </w:pPr>
            <w:r>
              <w:rPr>
                <w:rFonts w:hint="eastAsia"/>
                <w:color w:val="auto"/>
              </w:rPr>
              <w:t>（三）低山丘陵人工林</w:t>
            </w:r>
          </w:p>
        </w:tc>
        <w:tc>
          <w:tcPr>
            <w:tcW w:w="2795" w:type="dxa"/>
            <w:noWrap/>
            <w:vAlign w:val="center"/>
          </w:tcPr>
          <w:p w14:paraId="2B918581">
            <w:pPr>
              <w:pStyle w:val="94"/>
              <w:rPr>
                <w:color w:val="auto"/>
              </w:rPr>
            </w:pPr>
            <w:r>
              <w:rPr>
                <w:rFonts w:hint="eastAsia"/>
                <w:color w:val="auto"/>
              </w:rPr>
              <w:t>小叶杨林</w:t>
            </w:r>
          </w:p>
        </w:tc>
        <w:tc>
          <w:tcPr>
            <w:tcW w:w="1255" w:type="dxa"/>
            <w:noWrap/>
            <w:vAlign w:val="center"/>
          </w:tcPr>
          <w:p w14:paraId="08BB76F0">
            <w:pPr>
              <w:pStyle w:val="94"/>
              <w:rPr>
                <w:color w:val="auto"/>
              </w:rPr>
            </w:pPr>
            <w:r>
              <w:rPr>
                <w:rFonts w:hint="eastAsia"/>
                <w:color w:val="auto"/>
              </w:rPr>
              <w:t>5.44</w:t>
            </w:r>
          </w:p>
        </w:tc>
        <w:tc>
          <w:tcPr>
            <w:tcW w:w="1302" w:type="dxa"/>
            <w:noWrap/>
            <w:vAlign w:val="center"/>
          </w:tcPr>
          <w:p w14:paraId="1ACE9D32">
            <w:pPr>
              <w:pStyle w:val="94"/>
              <w:rPr>
                <w:color w:val="auto"/>
              </w:rPr>
            </w:pPr>
            <w:r>
              <w:rPr>
                <w:rFonts w:hint="eastAsia"/>
                <w:color w:val="auto"/>
              </w:rPr>
              <w:t>71.77</w:t>
            </w:r>
          </w:p>
        </w:tc>
        <w:tc>
          <w:tcPr>
            <w:tcW w:w="670" w:type="dxa"/>
            <w:noWrap/>
            <w:vAlign w:val="center"/>
          </w:tcPr>
          <w:p w14:paraId="03715000">
            <w:pPr>
              <w:pStyle w:val="94"/>
              <w:rPr>
                <w:color w:val="auto"/>
              </w:rPr>
            </w:pPr>
            <w:r>
              <w:rPr>
                <w:rFonts w:hint="eastAsia"/>
                <w:color w:val="auto"/>
              </w:rPr>
              <w:t>7.58</w:t>
            </w:r>
          </w:p>
        </w:tc>
      </w:tr>
      <w:tr w14:paraId="06F7FA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0" w:hRule="atLeast"/>
        </w:trPr>
        <w:tc>
          <w:tcPr>
            <w:tcW w:w="1260" w:type="dxa"/>
            <w:noWrap/>
            <w:vAlign w:val="center"/>
          </w:tcPr>
          <w:p w14:paraId="5AC68E7A">
            <w:pPr>
              <w:pStyle w:val="94"/>
              <w:rPr>
                <w:color w:val="auto"/>
              </w:rPr>
            </w:pPr>
            <w:r>
              <w:rPr>
                <w:rFonts w:hint="eastAsia"/>
                <w:color w:val="auto"/>
              </w:rPr>
              <w:t>Ⅰ</w:t>
            </w:r>
            <w:r>
              <w:rPr>
                <w:rFonts w:ascii="Arial" w:hAnsi="Arial" w:cs="Arial"/>
                <w:color w:val="auto"/>
              </w:rPr>
              <w:t>.</w:t>
            </w:r>
            <w:r>
              <w:rPr>
                <w:rFonts w:hint="eastAsia"/>
                <w:color w:val="auto"/>
              </w:rPr>
              <w:t>草本类型</w:t>
            </w:r>
          </w:p>
        </w:tc>
        <w:tc>
          <w:tcPr>
            <w:tcW w:w="1362" w:type="dxa"/>
            <w:noWrap/>
            <w:vAlign w:val="center"/>
          </w:tcPr>
          <w:p w14:paraId="0E54CA98">
            <w:pPr>
              <w:pStyle w:val="94"/>
              <w:rPr>
                <w:color w:val="auto"/>
              </w:rPr>
            </w:pPr>
            <w:r>
              <w:rPr>
                <w:rFonts w:hint="eastAsia"/>
                <w:color w:val="auto"/>
              </w:rPr>
              <w:t>一、大田农作物型</w:t>
            </w:r>
          </w:p>
        </w:tc>
        <w:tc>
          <w:tcPr>
            <w:tcW w:w="1792" w:type="dxa"/>
            <w:noWrap/>
            <w:vAlign w:val="center"/>
          </w:tcPr>
          <w:p w14:paraId="65ECEEC0">
            <w:pPr>
              <w:pStyle w:val="94"/>
              <w:rPr>
                <w:color w:val="auto"/>
              </w:rPr>
            </w:pPr>
            <w:r>
              <w:rPr>
                <w:rFonts w:hint="eastAsia"/>
                <w:color w:val="auto"/>
              </w:rPr>
              <w:t>（一）旱地作物亚型</w:t>
            </w:r>
          </w:p>
        </w:tc>
        <w:tc>
          <w:tcPr>
            <w:tcW w:w="2795" w:type="dxa"/>
            <w:noWrap/>
            <w:vAlign w:val="center"/>
          </w:tcPr>
          <w:p w14:paraId="4D902B2B">
            <w:pPr>
              <w:pStyle w:val="94"/>
              <w:rPr>
                <w:color w:val="auto"/>
              </w:rPr>
            </w:pPr>
            <w:r>
              <w:rPr>
                <w:rFonts w:hint="eastAsia"/>
                <w:color w:val="auto"/>
              </w:rPr>
              <w:t>以玉米高粱、薯类、豆类为主的作物组合</w:t>
            </w:r>
          </w:p>
        </w:tc>
        <w:tc>
          <w:tcPr>
            <w:tcW w:w="1255" w:type="dxa"/>
            <w:noWrap/>
            <w:vAlign w:val="center"/>
          </w:tcPr>
          <w:p w14:paraId="2ED4EE48">
            <w:pPr>
              <w:pStyle w:val="94"/>
              <w:rPr>
                <w:color w:val="auto"/>
              </w:rPr>
            </w:pPr>
            <w:r>
              <w:rPr>
                <w:rFonts w:hint="eastAsia"/>
                <w:color w:val="auto"/>
              </w:rPr>
              <w:t>6.92</w:t>
            </w:r>
          </w:p>
        </w:tc>
        <w:tc>
          <w:tcPr>
            <w:tcW w:w="1302" w:type="dxa"/>
            <w:noWrap/>
            <w:vAlign w:val="center"/>
          </w:tcPr>
          <w:p w14:paraId="39C61BF2">
            <w:pPr>
              <w:pStyle w:val="94"/>
              <w:rPr>
                <w:color w:val="auto"/>
              </w:rPr>
            </w:pPr>
            <w:r>
              <w:rPr>
                <w:rFonts w:hint="eastAsia"/>
                <w:color w:val="auto"/>
              </w:rPr>
              <w:t>131.11</w:t>
            </w:r>
          </w:p>
        </w:tc>
        <w:tc>
          <w:tcPr>
            <w:tcW w:w="670" w:type="dxa"/>
            <w:noWrap/>
            <w:vAlign w:val="center"/>
          </w:tcPr>
          <w:p w14:paraId="002AD9F3">
            <w:pPr>
              <w:pStyle w:val="94"/>
              <w:rPr>
                <w:color w:val="auto"/>
              </w:rPr>
            </w:pPr>
            <w:r>
              <w:rPr>
                <w:rFonts w:hint="eastAsia"/>
                <w:color w:val="auto"/>
              </w:rPr>
              <w:t>5.28</w:t>
            </w:r>
          </w:p>
        </w:tc>
      </w:tr>
      <w:tr w14:paraId="1A9D7B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0" w:hRule="atLeast"/>
        </w:trPr>
        <w:tc>
          <w:tcPr>
            <w:tcW w:w="1260" w:type="dxa"/>
            <w:noWrap/>
            <w:vAlign w:val="center"/>
          </w:tcPr>
          <w:p w14:paraId="72481ADA">
            <w:pPr>
              <w:pStyle w:val="94"/>
              <w:rPr>
                <w:color w:val="auto"/>
              </w:rPr>
            </w:pPr>
            <w:r>
              <w:rPr>
                <w:rFonts w:hint="eastAsia"/>
                <w:color w:val="auto"/>
              </w:rPr>
              <w:t>Ⅱ</w:t>
            </w:r>
            <w:r>
              <w:rPr>
                <w:rFonts w:ascii="Arial" w:hAnsi="Arial" w:cs="Arial"/>
                <w:color w:val="auto"/>
              </w:rPr>
              <w:t>.</w:t>
            </w:r>
            <w:r>
              <w:rPr>
                <w:rFonts w:hint="eastAsia"/>
                <w:color w:val="auto"/>
              </w:rPr>
              <w:t>木本类型</w:t>
            </w:r>
          </w:p>
        </w:tc>
        <w:tc>
          <w:tcPr>
            <w:tcW w:w="1362" w:type="dxa"/>
            <w:noWrap/>
            <w:vAlign w:val="center"/>
          </w:tcPr>
          <w:p w14:paraId="533B0EDA">
            <w:pPr>
              <w:pStyle w:val="94"/>
              <w:rPr>
                <w:color w:val="auto"/>
              </w:rPr>
            </w:pPr>
            <w:r>
              <w:rPr>
                <w:rFonts w:hint="eastAsia"/>
                <w:color w:val="auto"/>
              </w:rPr>
              <w:t>二、果园型</w:t>
            </w:r>
          </w:p>
        </w:tc>
        <w:tc>
          <w:tcPr>
            <w:tcW w:w="1792" w:type="dxa"/>
            <w:noWrap/>
            <w:vAlign w:val="center"/>
          </w:tcPr>
          <w:p w14:paraId="1BB5A0E2">
            <w:pPr>
              <w:pStyle w:val="94"/>
              <w:rPr>
                <w:color w:val="auto"/>
              </w:rPr>
            </w:pPr>
            <w:r>
              <w:rPr>
                <w:rFonts w:hint="eastAsia"/>
                <w:color w:val="auto"/>
              </w:rPr>
              <w:t>（一）落叶果树亚型</w:t>
            </w:r>
          </w:p>
        </w:tc>
        <w:tc>
          <w:tcPr>
            <w:tcW w:w="2795" w:type="dxa"/>
            <w:noWrap/>
            <w:vAlign w:val="center"/>
          </w:tcPr>
          <w:p w14:paraId="21E9AFDB">
            <w:pPr>
              <w:pStyle w:val="94"/>
              <w:rPr>
                <w:color w:val="auto"/>
              </w:rPr>
            </w:pPr>
            <w:r>
              <w:rPr>
                <w:rFonts w:hint="eastAsia"/>
                <w:color w:val="auto"/>
              </w:rPr>
              <w:t>枣树园</w:t>
            </w:r>
          </w:p>
        </w:tc>
        <w:tc>
          <w:tcPr>
            <w:tcW w:w="1255" w:type="dxa"/>
            <w:noWrap/>
            <w:vAlign w:val="center"/>
          </w:tcPr>
          <w:p w14:paraId="1D0C2F6A">
            <w:pPr>
              <w:pStyle w:val="94"/>
              <w:rPr>
                <w:color w:val="auto"/>
              </w:rPr>
            </w:pPr>
            <w:r>
              <w:rPr>
                <w:rFonts w:hint="eastAsia"/>
                <w:color w:val="auto"/>
              </w:rPr>
              <w:t>1.65</w:t>
            </w:r>
          </w:p>
        </w:tc>
        <w:tc>
          <w:tcPr>
            <w:tcW w:w="1302" w:type="dxa"/>
            <w:noWrap/>
            <w:vAlign w:val="center"/>
          </w:tcPr>
          <w:p w14:paraId="7783BA97">
            <w:pPr>
              <w:pStyle w:val="94"/>
              <w:rPr>
                <w:color w:val="auto"/>
              </w:rPr>
            </w:pPr>
            <w:r>
              <w:rPr>
                <w:rFonts w:hint="eastAsia"/>
                <w:color w:val="auto"/>
              </w:rPr>
              <w:t>23.76</w:t>
            </w:r>
          </w:p>
        </w:tc>
        <w:tc>
          <w:tcPr>
            <w:tcW w:w="670" w:type="dxa"/>
            <w:noWrap/>
            <w:vAlign w:val="center"/>
          </w:tcPr>
          <w:p w14:paraId="139A1ED5">
            <w:pPr>
              <w:pStyle w:val="94"/>
              <w:rPr>
                <w:color w:val="auto"/>
              </w:rPr>
            </w:pPr>
            <w:r>
              <w:rPr>
                <w:rFonts w:hint="eastAsia"/>
                <w:color w:val="auto"/>
              </w:rPr>
              <w:t>6.94</w:t>
            </w:r>
          </w:p>
        </w:tc>
      </w:tr>
      <w:tr w14:paraId="52B28D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5" w:hRule="atLeast"/>
        </w:trPr>
        <w:tc>
          <w:tcPr>
            <w:tcW w:w="7209" w:type="dxa"/>
            <w:gridSpan w:val="4"/>
            <w:noWrap/>
            <w:vAlign w:val="center"/>
          </w:tcPr>
          <w:p w14:paraId="2688E80B">
            <w:pPr>
              <w:pStyle w:val="94"/>
              <w:rPr>
                <w:color w:val="auto"/>
                <w:sz w:val="28"/>
                <w:szCs w:val="28"/>
              </w:rPr>
            </w:pPr>
            <w:r>
              <w:rPr>
                <w:rFonts w:hint="eastAsia"/>
                <w:color w:val="auto"/>
                <w:sz w:val="28"/>
                <w:szCs w:val="28"/>
              </w:rPr>
              <w:t>合计</w:t>
            </w:r>
          </w:p>
        </w:tc>
        <w:tc>
          <w:tcPr>
            <w:tcW w:w="1255" w:type="dxa"/>
            <w:noWrap/>
            <w:vAlign w:val="center"/>
          </w:tcPr>
          <w:p w14:paraId="6D3AC609">
            <w:pPr>
              <w:pStyle w:val="94"/>
              <w:rPr>
                <w:color w:val="auto"/>
              </w:rPr>
            </w:pPr>
            <w:r>
              <w:rPr>
                <w:rFonts w:hint="eastAsia"/>
                <w:color w:val="auto"/>
              </w:rPr>
              <w:t>22.91</w:t>
            </w:r>
          </w:p>
        </w:tc>
        <w:tc>
          <w:tcPr>
            <w:tcW w:w="1302" w:type="dxa"/>
            <w:noWrap/>
            <w:vAlign w:val="center"/>
          </w:tcPr>
          <w:p w14:paraId="02CC3186">
            <w:pPr>
              <w:pStyle w:val="94"/>
              <w:rPr>
                <w:color w:val="auto"/>
              </w:rPr>
            </w:pPr>
            <w:r>
              <w:rPr>
                <w:rFonts w:hint="eastAsia"/>
                <w:color w:val="auto"/>
              </w:rPr>
              <w:t>525.49</w:t>
            </w:r>
          </w:p>
        </w:tc>
        <w:tc>
          <w:tcPr>
            <w:tcW w:w="670" w:type="dxa"/>
            <w:noWrap/>
            <w:vAlign w:val="center"/>
          </w:tcPr>
          <w:p w14:paraId="6E9484AB">
            <w:pPr>
              <w:pStyle w:val="94"/>
              <w:rPr>
                <w:color w:val="auto"/>
              </w:rPr>
            </w:pPr>
            <w:r>
              <w:rPr>
                <w:rFonts w:hint="eastAsia"/>
                <w:color w:val="auto"/>
              </w:rPr>
              <w:t>4.36</w:t>
            </w:r>
          </w:p>
        </w:tc>
      </w:tr>
    </w:tbl>
    <w:p w14:paraId="6656E63D">
      <w:pPr>
        <w:pStyle w:val="96"/>
        <w:ind w:firstLine="480"/>
        <w:rPr>
          <w:rFonts w:cs="Arial"/>
        </w:rPr>
      </w:pPr>
      <w:r>
        <w:rPr>
          <w:rFonts w:hint="eastAsia"/>
        </w:rPr>
        <w:t>对植被的影响主要有用地范围内原有植物的剥离、清理及压占，在井场施工过程中，土壤开挖区范围内植物的地上部分与根系均被清除，施工带的植被由于挖掘土石的堆放、人员的践踏、施工车辆和机具的碾压而受到不同程度的破坏，会造成地上部分破坏甚至死亡。</w:t>
      </w:r>
    </w:p>
    <w:p w14:paraId="2ECB9BE3">
      <w:pPr>
        <w:pStyle w:val="96"/>
        <w:ind w:firstLine="480"/>
      </w:pPr>
      <w:r>
        <w:rPr>
          <w:rFonts w:hint="eastAsia"/>
        </w:rPr>
        <w:t>经调查，对比《中国生物多样性红色名录》评价范围内无近危、易危、濒危野生植物，特有种7种，无山西省重点保护野生植物（对比《山西省人民政府关于公布山西省重点保护野生植物名录的通知（晋政函〔2023〕126号）》），评价区植物均为山西长治地区常见的野生植被，无重要野生植物。</w:t>
      </w:r>
    </w:p>
    <w:p w14:paraId="54281241">
      <w:pPr>
        <w:pStyle w:val="96"/>
        <w:ind w:firstLine="480"/>
      </w:pPr>
      <w:r>
        <w:rPr>
          <w:rFonts w:hint="eastAsia"/>
        </w:rPr>
        <w:t>根据评价区植被现状调查结果，拟建井场、道路分布区绝大部分有植被分布，地表植被遭到破坏。井场道路及井场占地范围内，植被破坏最为严重。项目所破坏地表植被多为草地，其次为耕地和未利用土地，从总体来看，工程建设带来的局部区域植被的破坏不会影响到整体区域，而且大部分工程属于临时性破坏，通过后续的植被恢复，可以把工程建设对植被的影响降至最低。同时，项目区内植被类型多为当地常见物种，绝大多数为人工栽培，且无国家和地方重点保护植物物种。植物群落单一，群落结构较差，多样性低，工程施工占用这些地类，会减少局部地块的生物量与生产力，但不会造成植物物种消失和植被类型消失，临时占地区域的植被多样性较差，生产力也较低，临时占地对植被资源的影响较小，且施工结束后通过植被恢复与绿化，然后内可以得到一定程度的恢复。</w:t>
      </w:r>
    </w:p>
    <w:p w14:paraId="205129B2">
      <w:pPr>
        <w:pStyle w:val="5"/>
        <w:rPr>
          <w:szCs w:val="24"/>
        </w:rPr>
      </w:pPr>
      <w:r>
        <w:rPr>
          <w:rFonts w:hint="eastAsia"/>
        </w:rPr>
        <w:t>对野生动物的影响分析</w:t>
      </w:r>
    </w:p>
    <w:p w14:paraId="64B96296">
      <w:pPr>
        <w:pStyle w:val="96"/>
        <w:ind w:firstLine="480"/>
      </w:pPr>
      <w:r>
        <w:rPr>
          <w:rFonts w:hint="eastAsia"/>
        </w:rPr>
        <w:t>1、对野生鸟类的影响分析</w:t>
      </w:r>
    </w:p>
    <w:p w14:paraId="3707F4ED">
      <w:pPr>
        <w:pStyle w:val="96"/>
        <w:ind w:firstLine="480"/>
      </w:pPr>
      <w:r>
        <w:rPr>
          <w:rFonts w:hint="eastAsia"/>
        </w:rPr>
        <w:t>(1)施工噪声的影响</w:t>
      </w:r>
    </w:p>
    <w:p w14:paraId="474BF92C">
      <w:pPr>
        <w:pStyle w:val="96"/>
        <w:ind w:firstLine="480"/>
      </w:pPr>
      <w:r>
        <w:rPr>
          <w:rFonts w:hint="eastAsia"/>
        </w:rPr>
        <w:t>施工会对鸟类的栖息产生一定干扰，详见下表。</w:t>
      </w:r>
    </w:p>
    <w:p w14:paraId="48A2D4FE">
      <w:pPr>
        <w:pStyle w:val="19"/>
        <w:keepNext/>
      </w:pPr>
      <w:r>
        <w:t xml:space="preserve">表 </w:t>
      </w:r>
      <w:r>
        <w:fldChar w:fldCharType="begin"/>
      </w:r>
      <w:r>
        <w:instrText xml:space="preserve"> SEQ 表 \* ARABIC </w:instrText>
      </w:r>
      <w:r>
        <w:fldChar w:fldCharType="separate"/>
      </w:r>
      <w:r>
        <w:t>92</w:t>
      </w:r>
      <w:r>
        <w:fldChar w:fldCharType="end"/>
      </w:r>
      <w:r>
        <w:rPr>
          <w:rFonts w:hint="eastAsia"/>
        </w:rPr>
        <w:t>施工噪声对鸟类影响方式表</w:t>
      </w:r>
    </w:p>
    <w:tbl>
      <w:tblPr>
        <w:tblStyle w:val="73"/>
        <w:tblW w:w="4999"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73"/>
        <w:gridCol w:w="5359"/>
        <w:gridCol w:w="2839"/>
        <w:gridCol w:w="1309"/>
      </w:tblGrid>
      <w:tr w14:paraId="1E2831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49" w:type="pct"/>
            <w:vAlign w:val="center"/>
          </w:tcPr>
          <w:p w14:paraId="29D1DD1B">
            <w:pPr>
              <w:pStyle w:val="94"/>
              <w:rPr>
                <w:color w:val="auto"/>
              </w:rPr>
            </w:pPr>
            <w:r>
              <w:rPr>
                <w:rFonts w:hint="eastAsia"/>
                <w:color w:val="auto"/>
              </w:rPr>
              <w:t>影响方</w:t>
            </w:r>
            <w:r>
              <w:rPr>
                <w:rFonts w:hint="eastAsia"/>
                <w:color w:val="auto"/>
                <w:spacing w:val="5"/>
              </w:rPr>
              <w:t>式</w:t>
            </w:r>
          </w:p>
        </w:tc>
        <w:tc>
          <w:tcPr>
            <w:tcW w:w="2509" w:type="pct"/>
            <w:vAlign w:val="center"/>
          </w:tcPr>
          <w:p w14:paraId="731C1D90">
            <w:pPr>
              <w:pStyle w:val="94"/>
              <w:rPr>
                <w:color w:val="auto"/>
              </w:rPr>
            </w:pPr>
            <w:r>
              <w:rPr>
                <w:rFonts w:hint="eastAsia"/>
                <w:color w:val="auto"/>
                <w:spacing w:val="10"/>
              </w:rPr>
              <w:t>影</w:t>
            </w:r>
            <w:r>
              <w:rPr>
                <w:rFonts w:hint="eastAsia"/>
                <w:color w:val="auto"/>
                <w:spacing w:val="8"/>
              </w:rPr>
              <w:t>响区域</w:t>
            </w:r>
          </w:p>
        </w:tc>
        <w:tc>
          <w:tcPr>
            <w:tcW w:w="1329" w:type="pct"/>
            <w:vAlign w:val="center"/>
          </w:tcPr>
          <w:p w14:paraId="18A70577">
            <w:pPr>
              <w:pStyle w:val="94"/>
              <w:rPr>
                <w:color w:val="auto"/>
              </w:rPr>
            </w:pPr>
            <w:r>
              <w:rPr>
                <w:rFonts w:hint="eastAsia"/>
                <w:color w:val="auto"/>
                <w:spacing w:val="9"/>
              </w:rPr>
              <w:t>鸟</w:t>
            </w:r>
            <w:r>
              <w:rPr>
                <w:rFonts w:hint="eastAsia"/>
                <w:color w:val="auto"/>
                <w:spacing w:val="7"/>
              </w:rPr>
              <w:t>类反应</w:t>
            </w:r>
          </w:p>
        </w:tc>
        <w:tc>
          <w:tcPr>
            <w:tcW w:w="613" w:type="pct"/>
            <w:vAlign w:val="center"/>
          </w:tcPr>
          <w:p w14:paraId="5A896C4A">
            <w:pPr>
              <w:pStyle w:val="94"/>
              <w:rPr>
                <w:color w:val="auto"/>
              </w:rPr>
            </w:pPr>
            <w:r>
              <w:rPr>
                <w:rFonts w:hint="eastAsia"/>
                <w:color w:val="auto"/>
              </w:rPr>
              <w:t>影响</w:t>
            </w:r>
          </w:p>
          <w:p w14:paraId="650C265A">
            <w:pPr>
              <w:pStyle w:val="94"/>
              <w:rPr>
                <w:color w:val="auto"/>
              </w:rPr>
            </w:pPr>
            <w:r>
              <w:rPr>
                <w:rFonts w:hint="eastAsia"/>
                <w:color w:val="auto"/>
                <w:spacing w:val="5"/>
              </w:rPr>
              <w:t>性</w:t>
            </w:r>
            <w:r>
              <w:rPr>
                <w:rFonts w:hint="eastAsia"/>
                <w:color w:val="auto"/>
                <w:spacing w:val="4"/>
              </w:rPr>
              <w:t>质</w:t>
            </w:r>
          </w:p>
        </w:tc>
      </w:tr>
      <w:tr w14:paraId="3892E9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49" w:type="pct"/>
            <w:vMerge w:val="restart"/>
            <w:vAlign w:val="center"/>
          </w:tcPr>
          <w:p w14:paraId="070E166D">
            <w:pPr>
              <w:pStyle w:val="94"/>
              <w:rPr>
                <w:color w:val="auto"/>
              </w:rPr>
            </w:pPr>
            <w:r>
              <w:rPr>
                <w:rFonts w:hint="eastAsia"/>
                <w:color w:val="auto"/>
                <w:spacing w:val="5"/>
              </w:rPr>
              <w:t>施工</w:t>
            </w:r>
            <w:r>
              <w:rPr>
                <w:rFonts w:hint="eastAsia"/>
                <w:color w:val="auto"/>
                <w:spacing w:val="-1"/>
              </w:rPr>
              <w:t>噪</w:t>
            </w:r>
            <w:r>
              <w:rPr>
                <w:rFonts w:hint="eastAsia"/>
                <w:color w:val="auto"/>
              </w:rPr>
              <w:t>声</w:t>
            </w:r>
          </w:p>
        </w:tc>
        <w:tc>
          <w:tcPr>
            <w:tcW w:w="2509" w:type="pct"/>
            <w:vAlign w:val="center"/>
          </w:tcPr>
          <w:p w14:paraId="427F01FA">
            <w:pPr>
              <w:pStyle w:val="94"/>
              <w:rPr>
                <w:color w:val="auto"/>
              </w:rPr>
            </w:pPr>
            <w:r>
              <w:rPr>
                <w:rFonts w:hint="eastAsia"/>
                <w:color w:val="auto"/>
                <w:spacing w:val="2"/>
              </w:rPr>
              <w:t>施工机械噪声源强 100 分贝左右。研究表明，小</w:t>
            </w:r>
            <w:r>
              <w:rPr>
                <w:rFonts w:hint="eastAsia"/>
                <w:color w:val="auto"/>
              </w:rPr>
              <w:t xml:space="preserve"> </w:t>
            </w:r>
            <w:r>
              <w:rPr>
                <w:rFonts w:hint="eastAsia"/>
                <w:color w:val="auto"/>
                <w:spacing w:val="10"/>
              </w:rPr>
              <w:t>于</w:t>
            </w:r>
            <w:r>
              <w:rPr>
                <w:rFonts w:hint="eastAsia"/>
                <w:color w:val="auto"/>
                <w:spacing w:val="5"/>
              </w:rPr>
              <w:t xml:space="preserve"> 50</w:t>
            </w:r>
            <w:r>
              <w:rPr>
                <w:rFonts w:hint="eastAsia"/>
                <w:color w:val="auto"/>
              </w:rPr>
              <w:t>dB</w:t>
            </w:r>
            <w:r>
              <w:rPr>
                <w:rFonts w:hint="eastAsia"/>
                <w:color w:val="auto"/>
                <w:spacing w:val="5"/>
              </w:rPr>
              <w:t xml:space="preserve"> 的噪声对鸟类的正常活动无明显影响，</w:t>
            </w:r>
            <w:r>
              <w:rPr>
                <w:rFonts w:hint="eastAsia"/>
                <w:color w:val="auto"/>
              </w:rPr>
              <w:t xml:space="preserve"> </w:t>
            </w:r>
            <w:r>
              <w:rPr>
                <w:rFonts w:hint="eastAsia"/>
                <w:color w:val="auto"/>
                <w:spacing w:val="4"/>
              </w:rPr>
              <w:t>据此推算，工程噪声影响范围为施工区 300</w:t>
            </w:r>
            <w:r>
              <w:rPr>
                <w:rFonts w:hint="eastAsia"/>
                <w:color w:val="auto"/>
              </w:rPr>
              <w:t>m</w:t>
            </w:r>
            <w:r>
              <w:rPr>
                <w:rFonts w:hint="eastAsia"/>
                <w:color w:val="auto"/>
                <w:spacing w:val="4"/>
              </w:rPr>
              <w:t xml:space="preserve"> 以</w:t>
            </w:r>
            <w:r>
              <w:rPr>
                <w:rFonts w:hint="eastAsia"/>
                <w:color w:val="auto"/>
              </w:rPr>
              <w:t xml:space="preserve"> </w:t>
            </w:r>
            <w:r>
              <w:rPr>
                <w:rFonts w:hint="eastAsia"/>
                <w:color w:val="auto"/>
                <w:spacing w:val="16"/>
              </w:rPr>
              <w:t>内区</w:t>
            </w:r>
            <w:r>
              <w:rPr>
                <w:rFonts w:hint="eastAsia"/>
                <w:color w:val="auto"/>
                <w:spacing w:val="8"/>
              </w:rPr>
              <w:t>域，300</w:t>
            </w:r>
            <w:r>
              <w:rPr>
                <w:rFonts w:hint="eastAsia"/>
                <w:color w:val="auto"/>
              </w:rPr>
              <w:t>m</w:t>
            </w:r>
            <w:r>
              <w:rPr>
                <w:rFonts w:hint="eastAsia"/>
                <w:color w:val="auto"/>
                <w:spacing w:val="8"/>
              </w:rPr>
              <w:t xml:space="preserve"> 以外区域，鸟类受施工噪声影响</w:t>
            </w:r>
            <w:r>
              <w:rPr>
                <w:rFonts w:hint="eastAsia"/>
                <w:color w:val="auto"/>
                <w:spacing w:val="3"/>
              </w:rPr>
              <w:t>很</w:t>
            </w:r>
            <w:r>
              <w:rPr>
                <w:rFonts w:hint="eastAsia"/>
                <w:color w:val="auto"/>
                <w:spacing w:val="2"/>
              </w:rPr>
              <w:t>小。</w:t>
            </w:r>
          </w:p>
        </w:tc>
        <w:tc>
          <w:tcPr>
            <w:tcW w:w="1329" w:type="pct"/>
            <w:vAlign w:val="center"/>
          </w:tcPr>
          <w:p w14:paraId="1D7BBE5F">
            <w:pPr>
              <w:pStyle w:val="94"/>
              <w:rPr>
                <w:color w:val="auto"/>
              </w:rPr>
            </w:pPr>
            <w:r>
              <w:rPr>
                <w:rFonts w:hint="eastAsia"/>
                <w:color w:val="auto"/>
                <w:spacing w:val="-1"/>
              </w:rPr>
              <w:t>施工区 52-30</w:t>
            </w:r>
            <w:r>
              <w:rPr>
                <w:rFonts w:hint="eastAsia"/>
                <w:color w:val="auto"/>
              </w:rPr>
              <w:t>0m 区域， 鸟</w:t>
            </w:r>
            <w:r>
              <w:rPr>
                <w:rFonts w:hint="eastAsia"/>
                <w:color w:val="auto"/>
                <w:spacing w:val="4"/>
              </w:rPr>
              <w:t>类</w:t>
            </w:r>
            <w:r>
              <w:rPr>
                <w:rFonts w:hint="eastAsia"/>
                <w:color w:val="auto"/>
                <w:spacing w:val="3"/>
              </w:rPr>
              <w:t>会受到噪声影响，</w:t>
            </w:r>
            <w:r>
              <w:rPr>
                <w:rFonts w:hint="eastAsia"/>
                <w:color w:val="auto"/>
                <w:spacing w:val="9"/>
              </w:rPr>
              <w:t>但</w:t>
            </w:r>
            <w:r>
              <w:rPr>
                <w:rFonts w:hint="eastAsia"/>
                <w:color w:val="auto"/>
                <w:spacing w:val="5"/>
              </w:rPr>
              <w:t>不明显，300</w:t>
            </w:r>
            <w:r>
              <w:rPr>
                <w:rFonts w:hint="eastAsia"/>
                <w:color w:val="auto"/>
              </w:rPr>
              <w:t>m</w:t>
            </w:r>
            <w:r>
              <w:rPr>
                <w:rFonts w:hint="eastAsia"/>
                <w:color w:val="auto"/>
                <w:spacing w:val="5"/>
              </w:rPr>
              <w:t xml:space="preserve"> 以外的</w:t>
            </w:r>
            <w:r>
              <w:rPr>
                <w:rFonts w:hint="eastAsia"/>
                <w:color w:val="auto"/>
                <w:spacing w:val="11"/>
              </w:rPr>
              <w:t>区</w:t>
            </w:r>
            <w:r>
              <w:rPr>
                <w:rFonts w:hint="eastAsia"/>
                <w:color w:val="auto"/>
                <w:spacing w:val="7"/>
              </w:rPr>
              <w:t>域，鸟类不会受到噪</w:t>
            </w:r>
            <w:r>
              <w:rPr>
                <w:rFonts w:hint="eastAsia"/>
                <w:color w:val="auto"/>
              </w:rPr>
              <w:t xml:space="preserve"> </w:t>
            </w:r>
            <w:r>
              <w:rPr>
                <w:rFonts w:hint="eastAsia"/>
                <w:color w:val="auto"/>
                <w:spacing w:val="5"/>
              </w:rPr>
              <w:t>声的影响。</w:t>
            </w:r>
          </w:p>
        </w:tc>
        <w:tc>
          <w:tcPr>
            <w:tcW w:w="613" w:type="pct"/>
            <w:vAlign w:val="center"/>
          </w:tcPr>
          <w:p w14:paraId="2F43013A">
            <w:pPr>
              <w:pStyle w:val="94"/>
              <w:rPr>
                <w:color w:val="auto"/>
              </w:rPr>
            </w:pPr>
            <w:r>
              <w:rPr>
                <w:rFonts w:hint="eastAsia"/>
                <w:color w:val="auto"/>
                <w:spacing w:val="9"/>
              </w:rPr>
              <w:t>短</w:t>
            </w:r>
            <w:r>
              <w:rPr>
                <w:rFonts w:hint="eastAsia"/>
                <w:color w:val="auto"/>
              </w:rPr>
              <w:t>期的、</w:t>
            </w:r>
            <w:r>
              <w:rPr>
                <w:rFonts w:hint="eastAsia"/>
                <w:color w:val="auto"/>
                <w:spacing w:val="7"/>
              </w:rPr>
              <w:t>可恢复</w:t>
            </w:r>
            <w:r>
              <w:rPr>
                <w:rFonts w:hint="eastAsia"/>
                <w:color w:val="auto"/>
              </w:rPr>
              <w:t>、</w:t>
            </w:r>
            <w:r>
              <w:rPr>
                <w:rFonts w:hint="eastAsia"/>
                <w:color w:val="auto"/>
                <w:spacing w:val="7"/>
              </w:rPr>
              <w:t>无法避</w:t>
            </w:r>
            <w:r>
              <w:rPr>
                <w:rFonts w:hint="eastAsia"/>
                <w:color w:val="auto"/>
              </w:rPr>
              <w:t>免的</w:t>
            </w:r>
          </w:p>
        </w:tc>
      </w:tr>
      <w:tr w14:paraId="146109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vMerge w:val="continue"/>
            <w:vAlign w:val="center"/>
          </w:tcPr>
          <w:p w14:paraId="7708851D">
            <w:pPr>
              <w:pStyle w:val="94"/>
              <w:rPr>
                <w:color w:val="auto"/>
              </w:rPr>
            </w:pPr>
          </w:p>
        </w:tc>
        <w:tc>
          <w:tcPr>
            <w:tcW w:w="2509" w:type="pct"/>
            <w:vAlign w:val="center"/>
          </w:tcPr>
          <w:p w14:paraId="1CE7AFF6">
            <w:pPr>
              <w:pStyle w:val="94"/>
              <w:rPr>
                <w:color w:val="auto"/>
              </w:rPr>
            </w:pPr>
            <w:r>
              <w:rPr>
                <w:rFonts w:hint="eastAsia"/>
                <w:color w:val="auto"/>
                <w:spacing w:val="10"/>
              </w:rPr>
              <w:t>研</w:t>
            </w:r>
            <w:r>
              <w:rPr>
                <w:rFonts w:hint="eastAsia"/>
                <w:color w:val="auto"/>
              </w:rPr>
              <w:t xml:space="preserve">究表明，鸟类栖息地噪声平均 24h  噪声不能 </w:t>
            </w:r>
            <w:r>
              <w:rPr>
                <w:rFonts w:hint="eastAsia"/>
                <w:color w:val="auto"/>
                <w:spacing w:val="12"/>
              </w:rPr>
              <w:t>超</w:t>
            </w:r>
            <w:r>
              <w:rPr>
                <w:rFonts w:hint="eastAsia"/>
                <w:color w:val="auto"/>
                <w:spacing w:val="9"/>
              </w:rPr>
              <w:t>过</w:t>
            </w:r>
            <w:r>
              <w:rPr>
                <w:rFonts w:hint="eastAsia"/>
                <w:color w:val="auto"/>
              </w:rPr>
              <w:t xml:space="preserve"> 65dB  </w:t>
            </w:r>
            <w:r>
              <w:rPr>
                <w:color w:val="auto"/>
              </w:rPr>
              <w:t>(</w:t>
            </w:r>
            <w:r>
              <w:rPr>
                <w:rFonts w:hint="eastAsia"/>
                <w:color w:val="auto"/>
              </w:rPr>
              <w:t>Leq24h</w:t>
            </w:r>
            <w:r>
              <w:rPr>
                <w:color w:val="auto"/>
              </w:rPr>
              <w:t xml:space="preserve">) </w:t>
            </w:r>
            <w:r>
              <w:rPr>
                <w:rFonts w:hint="eastAsia"/>
                <w:color w:val="auto"/>
              </w:rPr>
              <w:t xml:space="preserve">，超过这个阈值则对鸟类 </w:t>
            </w:r>
            <w:r>
              <w:rPr>
                <w:rFonts w:hint="eastAsia"/>
                <w:color w:val="auto"/>
                <w:spacing w:val="4"/>
              </w:rPr>
              <w:t>有明显影响，此范</w:t>
            </w:r>
            <w:r>
              <w:rPr>
                <w:rFonts w:hint="eastAsia"/>
                <w:color w:val="auto"/>
                <w:spacing w:val="2"/>
              </w:rPr>
              <w:t>围为施工区外 52</w:t>
            </w:r>
            <w:r>
              <w:rPr>
                <w:rFonts w:hint="eastAsia"/>
                <w:color w:val="auto"/>
              </w:rPr>
              <w:t>m</w:t>
            </w:r>
            <w:r>
              <w:rPr>
                <w:rFonts w:hint="eastAsia"/>
                <w:color w:val="auto"/>
                <w:spacing w:val="2"/>
              </w:rPr>
              <w:t xml:space="preserve"> 以内区域。</w:t>
            </w:r>
          </w:p>
        </w:tc>
        <w:tc>
          <w:tcPr>
            <w:tcW w:w="1329" w:type="pct"/>
            <w:vAlign w:val="center"/>
          </w:tcPr>
          <w:p w14:paraId="7F561EBF">
            <w:pPr>
              <w:pStyle w:val="94"/>
              <w:rPr>
                <w:color w:val="auto"/>
              </w:rPr>
            </w:pPr>
            <w:r>
              <w:rPr>
                <w:rFonts w:hint="eastAsia"/>
                <w:color w:val="auto"/>
                <w:spacing w:val="-6"/>
              </w:rPr>
              <w:t>施</w:t>
            </w:r>
            <w:r>
              <w:rPr>
                <w:rFonts w:hint="eastAsia"/>
                <w:color w:val="auto"/>
                <w:spacing w:val="-5"/>
              </w:rPr>
              <w:t>工</w:t>
            </w:r>
            <w:r>
              <w:rPr>
                <w:rFonts w:hint="eastAsia"/>
                <w:color w:val="auto"/>
                <w:spacing w:val="-3"/>
              </w:rPr>
              <w:t>区 5.5-52m 区域，鸟</w:t>
            </w:r>
            <w:r>
              <w:rPr>
                <w:rFonts w:hint="eastAsia"/>
                <w:color w:val="auto"/>
              </w:rPr>
              <w:t xml:space="preserve"> </w:t>
            </w:r>
            <w:r>
              <w:rPr>
                <w:rFonts w:hint="eastAsia"/>
                <w:color w:val="auto"/>
                <w:spacing w:val="8"/>
              </w:rPr>
              <w:t>类会受到有明显影响。</w:t>
            </w:r>
          </w:p>
        </w:tc>
        <w:tc>
          <w:tcPr>
            <w:tcW w:w="613" w:type="pct"/>
            <w:vMerge w:val="restart"/>
            <w:vAlign w:val="center"/>
          </w:tcPr>
          <w:p w14:paraId="25E66FF0">
            <w:pPr>
              <w:pStyle w:val="94"/>
              <w:rPr>
                <w:color w:val="auto"/>
              </w:rPr>
            </w:pPr>
            <w:r>
              <w:rPr>
                <w:rFonts w:hint="eastAsia"/>
                <w:color w:val="auto"/>
                <w:spacing w:val="9"/>
              </w:rPr>
              <w:t>短</w:t>
            </w:r>
            <w:r>
              <w:rPr>
                <w:rFonts w:hint="eastAsia"/>
                <w:color w:val="auto"/>
              </w:rPr>
              <w:t>期的、</w:t>
            </w:r>
            <w:r>
              <w:rPr>
                <w:rFonts w:hint="eastAsia"/>
                <w:color w:val="auto"/>
                <w:spacing w:val="7"/>
              </w:rPr>
              <w:t>可恢复</w:t>
            </w:r>
            <w:r>
              <w:rPr>
                <w:rFonts w:hint="eastAsia"/>
                <w:color w:val="auto"/>
              </w:rPr>
              <w:t>、</w:t>
            </w:r>
            <w:r>
              <w:rPr>
                <w:rFonts w:hint="eastAsia"/>
                <w:color w:val="auto"/>
                <w:spacing w:val="7"/>
              </w:rPr>
              <w:t>无法避</w:t>
            </w:r>
            <w:r>
              <w:rPr>
                <w:rFonts w:hint="eastAsia"/>
                <w:color w:val="auto"/>
              </w:rPr>
              <w:t>免的</w:t>
            </w:r>
          </w:p>
        </w:tc>
      </w:tr>
      <w:tr w14:paraId="05B35D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vMerge w:val="continue"/>
            <w:vAlign w:val="center"/>
          </w:tcPr>
          <w:p w14:paraId="69A520C5">
            <w:pPr>
              <w:pStyle w:val="94"/>
              <w:rPr>
                <w:color w:val="auto"/>
              </w:rPr>
            </w:pPr>
          </w:p>
        </w:tc>
        <w:tc>
          <w:tcPr>
            <w:tcW w:w="2509" w:type="pct"/>
            <w:vAlign w:val="center"/>
          </w:tcPr>
          <w:p w14:paraId="7EE718BA">
            <w:pPr>
              <w:pStyle w:val="94"/>
              <w:rPr>
                <w:color w:val="auto"/>
              </w:rPr>
            </w:pPr>
            <w:r>
              <w:rPr>
                <w:rFonts w:hint="eastAsia"/>
                <w:color w:val="auto"/>
                <w:spacing w:val="18"/>
              </w:rPr>
              <w:t>研</w:t>
            </w:r>
            <w:r>
              <w:rPr>
                <w:rFonts w:hint="eastAsia"/>
                <w:color w:val="auto"/>
                <w:spacing w:val="9"/>
              </w:rPr>
              <w:t>究表明，一般鸟类耐受的最大噪声不超过87</w:t>
            </w:r>
            <w:r>
              <w:rPr>
                <w:rFonts w:hint="eastAsia"/>
                <w:color w:val="auto"/>
              </w:rPr>
              <w:t>dB</w:t>
            </w:r>
            <w:r>
              <w:rPr>
                <w:rFonts w:hint="eastAsia"/>
                <w:color w:val="auto"/>
                <w:spacing w:val="9"/>
              </w:rPr>
              <w:t xml:space="preserve">  </w:t>
            </w:r>
            <w:r>
              <w:rPr>
                <w:color w:val="auto"/>
                <w:spacing w:val="9"/>
              </w:rPr>
              <w:t>(</w:t>
            </w:r>
            <w:r>
              <w:rPr>
                <w:rFonts w:hint="eastAsia"/>
                <w:color w:val="auto"/>
              </w:rPr>
              <w:t>Lmax</w:t>
            </w:r>
            <w:r>
              <w:rPr>
                <w:color w:val="auto"/>
                <w:spacing w:val="9"/>
              </w:rPr>
              <w:t xml:space="preserve">) </w:t>
            </w:r>
            <w:r>
              <w:rPr>
                <w:rFonts w:hint="eastAsia"/>
                <w:color w:val="auto"/>
                <w:spacing w:val="9"/>
              </w:rPr>
              <w:t>，超过该值鸟类会立刻逃离。</w:t>
            </w:r>
            <w:r>
              <w:rPr>
                <w:rFonts w:hint="eastAsia"/>
                <w:color w:val="auto"/>
                <w:spacing w:val="8"/>
              </w:rPr>
              <w:t>此</w:t>
            </w:r>
            <w:r>
              <w:rPr>
                <w:rFonts w:hint="eastAsia"/>
                <w:color w:val="auto"/>
              </w:rPr>
              <w:t xml:space="preserve"> </w:t>
            </w:r>
            <w:r>
              <w:rPr>
                <w:rFonts w:hint="eastAsia"/>
                <w:color w:val="auto"/>
                <w:spacing w:val="4"/>
              </w:rPr>
              <w:t>范围为工程区外 5.5</w:t>
            </w:r>
            <w:r>
              <w:rPr>
                <w:rFonts w:hint="eastAsia"/>
                <w:color w:val="auto"/>
              </w:rPr>
              <w:t>m</w:t>
            </w:r>
            <w:r>
              <w:rPr>
                <w:rFonts w:hint="eastAsia"/>
                <w:color w:val="auto"/>
                <w:spacing w:val="4"/>
              </w:rPr>
              <w:t xml:space="preserve"> 以内区域。</w:t>
            </w:r>
          </w:p>
        </w:tc>
        <w:tc>
          <w:tcPr>
            <w:tcW w:w="1329" w:type="pct"/>
            <w:vAlign w:val="center"/>
          </w:tcPr>
          <w:p w14:paraId="02AC9EBF">
            <w:pPr>
              <w:pStyle w:val="94"/>
              <w:rPr>
                <w:color w:val="auto"/>
              </w:rPr>
            </w:pPr>
            <w:r>
              <w:rPr>
                <w:rFonts w:hint="eastAsia"/>
                <w:color w:val="auto"/>
                <w:spacing w:val="3"/>
              </w:rPr>
              <w:t>施工区 0-5.5</w:t>
            </w:r>
            <w:r>
              <w:rPr>
                <w:rFonts w:hint="eastAsia"/>
                <w:color w:val="auto"/>
              </w:rPr>
              <w:t>m</w:t>
            </w:r>
            <w:r>
              <w:rPr>
                <w:rFonts w:hint="eastAsia"/>
                <w:color w:val="auto"/>
                <w:spacing w:val="3"/>
              </w:rPr>
              <w:t xml:space="preserve"> 区域，鸟</w:t>
            </w:r>
            <w:r>
              <w:rPr>
                <w:rFonts w:hint="eastAsia"/>
                <w:color w:val="auto"/>
              </w:rPr>
              <w:t xml:space="preserve"> </w:t>
            </w:r>
            <w:r>
              <w:rPr>
                <w:rFonts w:hint="eastAsia"/>
                <w:color w:val="auto"/>
                <w:spacing w:val="8"/>
              </w:rPr>
              <w:t>类无法承受噪声影响。</w:t>
            </w:r>
          </w:p>
        </w:tc>
        <w:tc>
          <w:tcPr>
            <w:tcW w:w="0" w:type="auto"/>
            <w:vMerge w:val="continue"/>
            <w:vAlign w:val="center"/>
          </w:tcPr>
          <w:p w14:paraId="3352AC93">
            <w:pPr>
              <w:pStyle w:val="94"/>
              <w:rPr>
                <w:color w:val="auto"/>
              </w:rPr>
            </w:pPr>
          </w:p>
        </w:tc>
      </w:tr>
    </w:tbl>
    <w:p w14:paraId="4D0A1C54">
      <w:pPr>
        <w:pStyle w:val="96"/>
        <w:ind w:firstLine="480"/>
        <w:rPr>
          <w:rFonts w:cs="Arial"/>
        </w:rPr>
      </w:pPr>
      <w:r>
        <w:rPr>
          <w:rFonts w:hint="eastAsia"/>
        </w:rPr>
        <w:t>由上表可知，施工机械噪声源强100分贝左右，在距离施工区0-5.5m区域，鸟类无法承受噪声影响；距离施工区5.5-52m区域，鸟类会受到有明显影响；距离施工区52-300m区域，鸟类会受到噪声轻微的影响；距离施工区300m以外的区域，鸟类不会受到噪声的影响。由此计算可知，工程区周边鸟类受到噪声影响的区域(工程300m以内的区域)面积为525.49ha，难以承受噪声干扰的鸟类可能会暂时远离施工区，但由于工程施工期较短，而且周边很容易找到类似生境，施工结束后施工噪声 的影响随即消失，因此施工噪声对鸟类的影响不大。</w:t>
      </w:r>
    </w:p>
    <w:p w14:paraId="17ED96F6">
      <w:pPr>
        <w:pStyle w:val="96"/>
        <w:ind w:firstLine="480"/>
      </w:pPr>
      <w:r>
        <w:rPr>
          <w:rFonts w:hint="eastAsia"/>
        </w:rPr>
        <w:t>(2)工程占用栖息地的影响</w:t>
      </w:r>
    </w:p>
    <w:p w14:paraId="10C52A0C">
      <w:pPr>
        <w:pStyle w:val="96"/>
        <w:ind w:firstLine="480"/>
      </w:pPr>
      <w:r>
        <w:rPr>
          <w:rFonts w:hint="eastAsia"/>
        </w:rPr>
        <w:t>评价区鸟类主要栖息于农田、林地中，分布比较分散，在工程区附近未见有鸟类密集分布区。工程占地将导致评价区内鸟类生境减少22.</w:t>
      </w:r>
      <w:r>
        <w:t>91</w:t>
      </w:r>
      <w:r>
        <w:rPr>
          <w:rFonts w:hint="eastAsia"/>
        </w:rPr>
        <w:t>ha，仅占评价区总面积的</w:t>
      </w:r>
      <w:r>
        <w:t>4.</w:t>
      </w:r>
      <w:r>
        <w:rPr>
          <w:rFonts w:hint="eastAsia"/>
        </w:rPr>
        <w:t>36%，由于工程区两侧鸟类类似生境依然十分广阔，因此该影响不大。</w:t>
      </w:r>
    </w:p>
    <w:p w14:paraId="76EAB731">
      <w:pPr>
        <w:pStyle w:val="96"/>
        <w:ind w:firstLine="480"/>
      </w:pPr>
      <w:r>
        <w:rPr>
          <w:rFonts w:hint="eastAsia"/>
        </w:rPr>
        <w:t>2、对哺乳类的影响</w:t>
      </w:r>
    </w:p>
    <w:p w14:paraId="2582D2C8">
      <w:pPr>
        <w:pStyle w:val="96"/>
        <w:ind w:firstLine="480"/>
      </w:pPr>
      <w:r>
        <w:rPr>
          <w:rFonts w:hint="eastAsia"/>
        </w:rPr>
        <w:t>施工期工程对哺乳动物影响主要体现在压缩野生动物栖息范围，并在一定程度上破坏其觅食环境。但由于工程位于农业区，人类活动频繁，野生哺乳类非常稀少，主要为褐家鼠和小家鼠等小型啮齿类动物，这些野生动物大多对人类活动不十分敏感，而且栖息地范围一般很小，受到影响后很容易在附近找到适宜生境，因此施工期对哺乳类栖息地影响不大。</w:t>
      </w:r>
    </w:p>
    <w:p w14:paraId="26DCFF6D">
      <w:pPr>
        <w:pStyle w:val="96"/>
        <w:ind w:firstLine="480"/>
      </w:pPr>
      <w:r>
        <w:rPr>
          <w:rFonts w:hint="eastAsia"/>
        </w:rPr>
        <w:t>3、对两栖动物的影响</w:t>
      </w:r>
    </w:p>
    <w:p w14:paraId="073FB7FE">
      <w:pPr>
        <w:pStyle w:val="96"/>
        <w:ind w:firstLine="480"/>
      </w:pPr>
      <w:r>
        <w:rPr>
          <w:rFonts w:hint="eastAsia"/>
        </w:rPr>
        <w:t>工程区有两栖动物主要为常见蛙类，这些两栖动物主要栖息在水域生境中。施工期，工程建设会破坏相应区域两栖动物的生境，使两栖动物迁移他处，种类和数量减少，随着工程建设结束，影响区域两栖动物种群数量将逐渐恢复，因此工程建设对两栖动物影响有限。</w:t>
      </w:r>
    </w:p>
    <w:p w14:paraId="32823203">
      <w:pPr>
        <w:pStyle w:val="96"/>
        <w:ind w:firstLine="480"/>
      </w:pPr>
      <w:r>
        <w:rPr>
          <w:rFonts w:hint="eastAsia"/>
        </w:rPr>
        <w:t>4、对爬行动物的影响</w:t>
      </w:r>
    </w:p>
    <w:p w14:paraId="47C57368">
      <w:pPr>
        <w:pStyle w:val="96"/>
        <w:ind w:firstLine="480"/>
      </w:pPr>
      <w:r>
        <w:rPr>
          <w:rFonts w:hint="eastAsia"/>
        </w:rPr>
        <w:t>工程区有两栖爬行动物主要为有3目5科</w:t>
      </w:r>
      <w:r>
        <w:t>6</w:t>
      </w:r>
      <w:r>
        <w:rPr>
          <w:rFonts w:hint="eastAsia"/>
        </w:rPr>
        <w:t>种两栖爬行类野生动物，这些爬行动物主要栖息在评价区草丛和林地中，工程建设会破坏地表植被，使得原生境对爬行类动物适宜性降低，导致一部分爬行动物迁移栖息地，但对种群数量影响较小；工程运营期，机车运行振动可能对栖息在缝隙或洞穴中的部分爬行类动物造成一定影响，待爬行动物对振动影响适应后，工程对该部分爬行动物的环境影响将逐渐降低。</w:t>
      </w:r>
    </w:p>
    <w:p w14:paraId="7CE94035">
      <w:pPr>
        <w:pStyle w:val="5"/>
        <w:rPr>
          <w:szCs w:val="24"/>
        </w:rPr>
      </w:pPr>
      <w:r>
        <w:rPr>
          <w:rFonts w:hint="eastAsia"/>
        </w:rPr>
        <w:t>对水土流失的影响</w:t>
      </w:r>
    </w:p>
    <w:p w14:paraId="1B5132E2">
      <w:pPr>
        <w:pStyle w:val="96"/>
        <w:ind w:firstLine="480"/>
      </w:pPr>
      <w:r>
        <w:rPr>
          <w:rFonts w:hint="eastAsia"/>
        </w:rPr>
        <w:t>1、水土流失原因分析</w:t>
      </w:r>
    </w:p>
    <w:p w14:paraId="1519C4DF">
      <w:pPr>
        <w:pStyle w:val="96"/>
        <w:ind w:firstLine="498"/>
      </w:pPr>
      <w:r>
        <w:rPr>
          <w:rFonts w:hint="eastAsia"/>
          <w:spacing w:val="9"/>
        </w:rPr>
        <w:t>工程导致水土流失加剧主要来源于如下两方面</w:t>
      </w:r>
      <w:r>
        <w:rPr>
          <w:rFonts w:hint="eastAsia"/>
        </w:rPr>
        <w:t>：</w:t>
      </w:r>
    </w:p>
    <w:p w14:paraId="18A25E67">
      <w:pPr>
        <w:pStyle w:val="96"/>
        <w:ind w:firstLine="480"/>
      </w:pPr>
      <w:r>
        <w:rPr>
          <w:rFonts w:hint="eastAsia"/>
        </w:rPr>
        <w:t>（1）在施工建设中，占用土地、布设施工区、施工便道等会扰动地表，破坏地貌，使水土流失加剧。</w:t>
      </w:r>
    </w:p>
    <w:p w14:paraId="280C6285">
      <w:pPr>
        <w:pStyle w:val="96"/>
        <w:ind w:firstLine="480"/>
      </w:pPr>
      <w:r>
        <w:rPr>
          <w:rFonts w:hint="eastAsia"/>
        </w:rPr>
        <w:t>（2）在开挖、倒运和堆放土石方的过程中，土体在风、水作用下极易流失，若不采取有效预防措施，会导致水土流失加剧。</w:t>
      </w:r>
    </w:p>
    <w:p w14:paraId="7E2C5EA1">
      <w:pPr>
        <w:pStyle w:val="96"/>
        <w:ind w:firstLine="480"/>
      </w:pPr>
      <w:r>
        <w:rPr>
          <w:rFonts w:hint="eastAsia"/>
        </w:rPr>
        <w:t>2、水土流失量预测方法</w:t>
      </w:r>
    </w:p>
    <w:p w14:paraId="07375049">
      <w:pPr>
        <w:pStyle w:val="96"/>
        <w:ind w:firstLine="496"/>
      </w:pPr>
      <w:r>
        <w:rPr>
          <w:rFonts w:hint="eastAsia"/>
          <w:spacing w:val="8"/>
        </w:rPr>
        <w:t>根据《生产建设项目土壤流失量测算导则》（SL773-2018）水土流失量计算公式为</w:t>
      </w:r>
      <w:r>
        <w:rPr>
          <w:rFonts w:hint="eastAsia"/>
        </w:rPr>
        <w:t>：</w:t>
      </w:r>
    </w:p>
    <w:p w14:paraId="700FB57E">
      <w:pPr>
        <w:ind w:firstLine="480"/>
        <w:jc w:val="center"/>
        <w:rPr>
          <w:rFonts w:ascii="Arial" w:hAnsi="Arial"/>
          <w:sz w:val="23"/>
          <w:szCs w:val="23"/>
        </w:rPr>
      </w:pPr>
      <w:r>
        <w:drawing>
          <wp:inline distT="0" distB="0" distL="0" distR="0">
            <wp:extent cx="2315845" cy="391795"/>
            <wp:effectExtent l="0" t="0" r="8255" b="825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2315845" cy="391795"/>
                    </a:xfrm>
                    <a:prstGeom prst="rect">
                      <a:avLst/>
                    </a:prstGeom>
                    <a:noFill/>
                    <a:ln>
                      <a:noFill/>
                    </a:ln>
                  </pic:spPr>
                </pic:pic>
              </a:graphicData>
            </a:graphic>
          </wp:inline>
        </w:drawing>
      </w:r>
    </w:p>
    <w:p w14:paraId="25B28CB9">
      <w:pPr>
        <w:pStyle w:val="96"/>
        <w:ind w:firstLine="480"/>
      </w:pPr>
      <w:r>
        <w:rPr>
          <w:rFonts w:hint="eastAsia"/>
        </w:rPr>
        <w:t>式中：M</w:t>
      </w:r>
      <w:r>
        <w:rPr>
          <w:rFonts w:hint="eastAsia"/>
          <w:vertAlign w:val="subscript"/>
        </w:rPr>
        <w:t>yz</w:t>
      </w:r>
      <w:r>
        <w:rPr>
          <w:rFonts w:hint="eastAsia"/>
        </w:rPr>
        <w:t>——植被破坏型一般扰动地表计算单元土壤流失量，t；</w:t>
      </w:r>
    </w:p>
    <w:p w14:paraId="4DCD690D">
      <w:pPr>
        <w:pStyle w:val="96"/>
        <w:ind w:firstLine="480"/>
      </w:pPr>
      <w:r>
        <w:rPr>
          <w:rFonts w:hint="eastAsia"/>
        </w:rPr>
        <w:t>R——降雨侵蚀力因子，MJ·mm/(hm</w:t>
      </w:r>
      <w:r>
        <w:rPr>
          <w:rFonts w:hint="eastAsia"/>
          <w:vertAlign w:val="superscript"/>
        </w:rPr>
        <w:t>2</w:t>
      </w:r>
      <w:r>
        <w:rPr>
          <w:rFonts w:hint="eastAsia"/>
        </w:rPr>
        <w:t>·h)；</w:t>
      </w:r>
    </w:p>
    <w:p w14:paraId="5C43FB60">
      <w:pPr>
        <w:pStyle w:val="96"/>
        <w:ind w:firstLine="480"/>
      </w:pPr>
      <w:r>
        <w:rPr>
          <w:rFonts w:hint="eastAsia"/>
        </w:rPr>
        <w:t>K——土壤可蚀性因子，t·hm</w:t>
      </w:r>
      <w:r>
        <w:rPr>
          <w:rFonts w:hint="eastAsia"/>
          <w:vertAlign w:val="superscript"/>
        </w:rPr>
        <w:t>2</w:t>
      </w:r>
      <w:r>
        <w:rPr>
          <w:rFonts w:hint="eastAsia"/>
        </w:rPr>
        <w:t>·h/(hm</w:t>
      </w:r>
      <w:r>
        <w:rPr>
          <w:rFonts w:hint="eastAsia"/>
          <w:vertAlign w:val="superscript"/>
        </w:rPr>
        <w:t>2</w:t>
      </w:r>
      <w:r>
        <w:rPr>
          <w:rFonts w:hint="eastAsia"/>
        </w:rPr>
        <w:t>·MJ·mm)；</w:t>
      </w:r>
    </w:p>
    <w:p w14:paraId="370F820B">
      <w:pPr>
        <w:pStyle w:val="96"/>
        <w:ind w:firstLine="480"/>
      </w:pPr>
      <w:r>
        <w:rPr>
          <w:rFonts w:hint="eastAsia"/>
        </w:rPr>
        <w:t>Ly——坡长因子，无量纲；</w:t>
      </w:r>
    </w:p>
    <w:p w14:paraId="68FCB69C">
      <w:pPr>
        <w:pStyle w:val="96"/>
        <w:ind w:firstLine="480"/>
      </w:pPr>
      <w:r>
        <w:rPr>
          <w:rFonts w:hint="eastAsia"/>
        </w:rPr>
        <w:t>Sy——坡度因子，无量纲；</w:t>
      </w:r>
    </w:p>
    <w:p w14:paraId="41F67DFA">
      <w:pPr>
        <w:pStyle w:val="96"/>
        <w:ind w:firstLine="480"/>
        <w:rPr>
          <w:rFonts w:ascii="Arial" w:hAnsi="Arial"/>
          <w:sz w:val="21"/>
          <w:szCs w:val="21"/>
        </w:rPr>
      </w:pPr>
      <w:r>
        <w:rPr>
          <w:rFonts w:hint="eastAsia"/>
        </w:rPr>
        <w:t>B——植被覆盖因子，无量纲；</w:t>
      </w:r>
    </w:p>
    <w:p w14:paraId="284BAA9A">
      <w:pPr>
        <w:pStyle w:val="96"/>
        <w:ind w:firstLine="480"/>
      </w:pPr>
      <w:r>
        <w:rPr>
          <w:rFonts w:hint="eastAsia"/>
        </w:rPr>
        <w:t>E——工程措施因子，无量纲；</w:t>
      </w:r>
    </w:p>
    <w:p w14:paraId="79DC940F">
      <w:pPr>
        <w:pStyle w:val="96"/>
        <w:ind w:firstLine="480"/>
      </w:pPr>
      <w:r>
        <w:rPr>
          <w:rFonts w:hint="eastAsia"/>
        </w:rPr>
        <w:t>T——耕作措施因子，无量纲；</w:t>
      </w:r>
    </w:p>
    <w:p w14:paraId="1E28F38B">
      <w:pPr>
        <w:pStyle w:val="96"/>
        <w:ind w:firstLine="480"/>
      </w:pPr>
      <w:r>
        <w:rPr>
          <w:rFonts w:hint="eastAsia"/>
        </w:rPr>
        <w:t>A——计算单元的水平投影面积，hm</w:t>
      </w:r>
      <w:r>
        <w:rPr>
          <w:rFonts w:hint="eastAsia"/>
          <w:vertAlign w:val="superscript"/>
        </w:rPr>
        <w:t>2</w:t>
      </w:r>
      <w:r>
        <w:rPr>
          <w:rFonts w:hint="eastAsia"/>
        </w:rPr>
        <w:t>。</w:t>
      </w:r>
    </w:p>
    <w:p w14:paraId="2413EB26">
      <w:pPr>
        <w:pStyle w:val="96"/>
        <w:ind w:firstLine="480"/>
      </w:pPr>
      <w:r>
        <w:rPr>
          <w:rFonts w:hint="eastAsia"/>
        </w:rPr>
        <w:t>本项目共新增占地22.</w:t>
      </w:r>
      <w:r>
        <w:t>91</w:t>
      </w:r>
      <w:r>
        <w:rPr>
          <w:rFonts w:hint="eastAsia"/>
        </w:rPr>
        <w:t>ha，经计算，本项目造成水土流失总量为</w:t>
      </w:r>
      <w:r>
        <w:t>961.07</w:t>
      </w:r>
      <w:r>
        <w:rPr>
          <w:rFonts w:hint="eastAsia"/>
        </w:rPr>
        <w:t>t，因此必须采取严格的水保措施。</w:t>
      </w:r>
    </w:p>
    <w:p w14:paraId="2B30C781">
      <w:pPr>
        <w:pStyle w:val="5"/>
        <w:rPr>
          <w:szCs w:val="24"/>
        </w:rPr>
      </w:pPr>
      <w:r>
        <w:rPr>
          <w:rFonts w:hint="eastAsia"/>
        </w:rPr>
        <w:t>对区域景观的影响</w:t>
      </w:r>
    </w:p>
    <w:p w14:paraId="09626A45">
      <w:pPr>
        <w:pStyle w:val="96"/>
        <w:ind w:firstLine="480"/>
        <w:rPr>
          <w:rFonts w:ascii="Times New Roman" w:hAnsi="Times New Roman"/>
        </w:rPr>
      </w:pPr>
      <w:r>
        <w:t>（</w:t>
      </w:r>
      <w:r>
        <w:rPr>
          <w:rFonts w:ascii="Times New Roman" w:hAnsi="Times New Roman"/>
        </w:rPr>
        <w:t>1</w:t>
      </w:r>
      <w:r>
        <w:t>）对景观结构的影响</w:t>
      </w:r>
    </w:p>
    <w:p w14:paraId="1F939AB5">
      <w:pPr>
        <w:pStyle w:val="96"/>
        <w:ind w:firstLine="480"/>
        <w:rPr>
          <w:rFonts w:ascii="Times New Roman" w:hAnsi="Times New Roman"/>
        </w:rPr>
      </w:pPr>
      <w:r>
        <w:t>本项目建设将使评价区内新增工业景观类型，如井场和道路，在一定程度上增加了景观多样性，评价区域新增加的井场和道路等人工景观要素，呈点状和线状分布，增加了评价区的斑块和廊道数量，同时也使原有自然景观比例和结构发生变化，由于新的斑块和廊道的增加，对原有景观基质的面积造成一定的挤占，使原有基质及板块之间的连续性和连通性受到一定影响，对景观产生较强的分裂效果。</w:t>
      </w:r>
    </w:p>
    <w:p w14:paraId="7CA2C9B9">
      <w:pPr>
        <w:pStyle w:val="96"/>
        <w:ind w:firstLine="480"/>
        <w:rPr>
          <w:rFonts w:ascii="Times New Roman" w:hAnsi="Times New Roman"/>
        </w:rPr>
      </w:pPr>
      <w:r>
        <w:t>本项目占地以</w:t>
      </w:r>
      <w:r>
        <w:rPr>
          <w:rFonts w:hint="eastAsia"/>
        </w:rPr>
        <w:t>山地</w:t>
      </w:r>
      <w:r>
        <w:t>为主，从景观生态现状调查评价得出，该区域以</w:t>
      </w:r>
      <w:r>
        <w:rPr>
          <w:rFonts w:hint="eastAsia"/>
        </w:rPr>
        <w:t>草丛</w:t>
      </w:r>
      <w:r>
        <w:t>景观为主导。从整个工程的景观格局来看，当项目全部建成后，评价区内各类景观与目前的景观相比将会有较大的变化，虽然评价区内的景观拼块密度增加，但景观比例较低，说明这类景观拼块十分分散、破碎，而且连通性差，且不具备动态控制能力，对生态调控作用很少，因此尚不构成对生态环境起决定作用的景观模地。体现了项目占地面积的绝对值比较小，但十分分散、影响范围较大的特点。</w:t>
      </w:r>
    </w:p>
    <w:p w14:paraId="0C21B259">
      <w:pPr>
        <w:pStyle w:val="96"/>
        <w:ind w:firstLine="480"/>
        <w:rPr>
          <w:rFonts w:ascii="Times New Roman" w:hAnsi="Times New Roman"/>
        </w:rPr>
      </w:pPr>
      <w:r>
        <w:t>该工程施工期间会直接影响到该地段的各类景观，由于</w:t>
      </w:r>
      <w:r>
        <w:rPr>
          <w:rFonts w:hint="eastAsia"/>
        </w:rPr>
        <w:t>工程</w:t>
      </w:r>
      <w:r>
        <w:t>施工对农业景观的影响是短暂的，它随着施工结束后的复种、复垦而结束，农田植被即可恢复到原来的景观，因此对农田景观影响不大，也就是说绝大部分区域农田景观的主导性仍然保留，景观整体生态格局没有发生大的变化。</w:t>
      </w:r>
    </w:p>
    <w:p w14:paraId="03C3C8CB">
      <w:pPr>
        <w:pStyle w:val="96"/>
        <w:ind w:firstLine="480"/>
        <w:rPr>
          <w:rFonts w:ascii="Times New Roman" w:hAnsi="Times New Roman"/>
        </w:rPr>
      </w:pPr>
      <w:r>
        <w:t>（</w:t>
      </w:r>
      <w:r>
        <w:rPr>
          <w:rFonts w:ascii="Times New Roman" w:hAnsi="Times New Roman"/>
        </w:rPr>
        <w:t>2</w:t>
      </w:r>
      <w:r>
        <w:t>）对景观完整性的影响</w:t>
      </w:r>
    </w:p>
    <w:p w14:paraId="08FAB9AA">
      <w:pPr>
        <w:pStyle w:val="96"/>
        <w:ind w:firstLine="480"/>
        <w:rPr>
          <w:rFonts w:ascii="Times New Roman" w:hAnsi="Times New Roman"/>
        </w:rPr>
      </w:pPr>
      <w:r>
        <w:t>对区域自然体系生态完整性的影响是由工程占地引起的，由于</w:t>
      </w:r>
      <w:r>
        <w:rPr>
          <w:rFonts w:hint="eastAsia"/>
        </w:rPr>
        <w:t>致密气勘探</w:t>
      </w:r>
      <w:r>
        <w:t>的特殊性，施工过程中占用了较多的土地，其中施工道路、</w:t>
      </w:r>
      <w:r>
        <w:rPr>
          <w:rFonts w:hint="eastAsia"/>
        </w:rPr>
        <w:t>井场占地</w:t>
      </w:r>
      <w:r>
        <w:t>的土地最多。施工结束后，为</w:t>
      </w:r>
      <w:r>
        <w:rPr>
          <w:rFonts w:hint="eastAsia"/>
        </w:rPr>
        <w:t>井场建设</w:t>
      </w:r>
      <w:r>
        <w:t>而开挖的土地都会恢复，施工区域绝大部分是具有多年形成的较稳定的</w:t>
      </w:r>
      <w:r>
        <w:rPr>
          <w:rFonts w:hint="eastAsia"/>
        </w:rPr>
        <w:t>农田</w:t>
      </w:r>
      <w:r>
        <w:t>生态系统，且其工程影响范围是</w:t>
      </w:r>
      <w:r>
        <w:rPr>
          <w:rFonts w:hint="eastAsia"/>
        </w:rPr>
        <w:t>点</w:t>
      </w:r>
      <w:r>
        <w:t>状，因而施工不会影响生态系统的稳定性和完整性。</w:t>
      </w:r>
    </w:p>
    <w:p w14:paraId="15B15ECA">
      <w:pPr>
        <w:pStyle w:val="96"/>
        <w:ind w:firstLine="480"/>
        <w:rPr>
          <w:rFonts w:ascii="Times New Roman" w:hAnsi="Times New Roman"/>
        </w:rPr>
      </w:pPr>
      <w:r>
        <w:t>本项目井场</w:t>
      </w:r>
      <w:r>
        <w:rPr>
          <w:rFonts w:hint="eastAsia"/>
        </w:rPr>
        <w:t>、井场道路</w:t>
      </w:r>
      <w:r>
        <w:t>占地面积约为</w:t>
      </w:r>
      <w:r>
        <w:rPr>
          <w:rFonts w:ascii="Times New Roman" w:hAnsi="Times New Roman"/>
        </w:rPr>
        <w:t>22.91ha</w:t>
      </w:r>
      <w:r>
        <w:t>，占项目评价区的</w:t>
      </w:r>
      <w:r>
        <w:rPr>
          <w:rFonts w:ascii="Times New Roman" w:hAnsi="Times New Roman"/>
        </w:rPr>
        <w:t>4.36</w:t>
      </w:r>
      <w:r>
        <w:t>％，由于</w:t>
      </w:r>
      <w:r>
        <w:rPr>
          <w:rFonts w:hint="eastAsia"/>
        </w:rPr>
        <w:t>致密气</w:t>
      </w:r>
      <w:r>
        <w:t>井站占地面积较小，呈点状分布于项目区内，选址绝大部分都是</w:t>
      </w:r>
      <w:r>
        <w:rPr>
          <w:rFonts w:hint="eastAsia"/>
        </w:rPr>
        <w:t>农田</w:t>
      </w:r>
      <w:r>
        <w:t>生态系统，且做好生态恢复措施，因而施工不会造成较大影响，占地类型以</w:t>
      </w:r>
      <w:r>
        <w:rPr>
          <w:rFonts w:hint="eastAsia"/>
        </w:rPr>
        <w:t>旱地</w:t>
      </w:r>
      <w:r>
        <w:t>为主，</w:t>
      </w:r>
      <w:r>
        <w:rPr>
          <w:rFonts w:hint="eastAsia"/>
        </w:rPr>
        <w:t>但因其点状分布不会</w:t>
      </w:r>
      <w:r>
        <w:t>对</w:t>
      </w:r>
      <w:r>
        <w:rPr>
          <w:rFonts w:hint="eastAsia"/>
        </w:rPr>
        <w:t>农田</w:t>
      </w:r>
      <w:r>
        <w:t>生态系统</w:t>
      </w:r>
      <w:r>
        <w:rPr>
          <w:rFonts w:hint="eastAsia"/>
        </w:rPr>
        <w:t>造成较大影响</w:t>
      </w:r>
      <w:r>
        <w:t>，所以，工程道路施工对区域自然生态体系生产能力和稳定状况不会造成较大改变，对区域生态完整性影响较小。</w:t>
      </w:r>
    </w:p>
    <w:p w14:paraId="508E2F6B">
      <w:pPr>
        <w:pStyle w:val="96"/>
        <w:ind w:firstLine="480"/>
        <w:rPr>
          <w:rFonts w:ascii="Times New Roman" w:hAnsi="Times New Roman"/>
        </w:rPr>
      </w:pPr>
      <w:r>
        <w:t>（</w:t>
      </w:r>
      <w:r>
        <w:rPr>
          <w:rFonts w:ascii="Times New Roman" w:hAnsi="Times New Roman"/>
        </w:rPr>
        <w:t>3</w:t>
      </w:r>
      <w:r>
        <w:t>）对林地生态景观的影响</w:t>
      </w:r>
    </w:p>
    <w:p w14:paraId="79BDF302">
      <w:pPr>
        <w:pStyle w:val="96"/>
        <w:ind w:firstLine="480"/>
        <w:rPr>
          <w:rFonts w:ascii="Times New Roman" w:hAnsi="Times New Roman"/>
        </w:rPr>
      </w:pPr>
      <w:r>
        <w:t>施工期内会有废弃土石产生，影响景观。对石料弃渣的处理，应该根据附近地形及土地利用现状，将废弃渣石堆在凹地或者荒地上，堆渣前将表层熟土集中堆放，凹地填平后，将事先准备好的表层熟土回铺在弃渣上面，并在其上积极进行植被恢复。</w:t>
      </w:r>
    </w:p>
    <w:p w14:paraId="07209D73">
      <w:pPr>
        <w:pStyle w:val="96"/>
        <w:ind w:firstLine="480"/>
        <w:rPr>
          <w:rFonts w:ascii="Times New Roman" w:hAnsi="Times New Roman"/>
        </w:rPr>
      </w:pPr>
      <w:r>
        <w:t>但从整个</w:t>
      </w:r>
      <w:r>
        <w:rPr>
          <w:rFonts w:hint="eastAsia"/>
        </w:rPr>
        <w:t>井场</w:t>
      </w:r>
      <w:r>
        <w:t>的林地分布现状来看，呈不连续分布在，总斑块数</w:t>
      </w:r>
      <w:r>
        <w:rPr>
          <w:rFonts w:hint="eastAsia"/>
        </w:rPr>
        <w:t>少</w:t>
      </w:r>
      <w:r>
        <w:t>，平均面积不大，不会对区域的林地生态系统产生明显影响，影响范围仅限于施工区。</w:t>
      </w:r>
    </w:p>
    <w:p w14:paraId="0944F2DD">
      <w:pPr>
        <w:pStyle w:val="96"/>
        <w:ind w:firstLine="480"/>
        <w:rPr>
          <w:rFonts w:ascii="Times New Roman" w:hAnsi="Times New Roman"/>
        </w:rPr>
      </w:pPr>
      <w:r>
        <w:t>按照生态学理论，</w:t>
      </w:r>
      <w:r>
        <w:rPr>
          <w:rFonts w:hint="eastAsia"/>
        </w:rPr>
        <w:t>井场占地</w:t>
      </w:r>
      <w:r>
        <w:t>的植被破坏具有暂时性，一般随施工完工而终止。根据</w:t>
      </w:r>
      <w:r>
        <w:rPr>
          <w:rFonts w:hint="eastAsia"/>
        </w:rPr>
        <w:t>井场所占</w:t>
      </w:r>
      <w:r>
        <w:t>地区的土壤、气候等自然条件分析，施工结束后，周围植物渐次侵入，开始恢复演替过程。要恢复植被覆盖，采用人工植树种草的措施，可以加快恢复进程，</w:t>
      </w:r>
      <w:r>
        <w:rPr>
          <w:rFonts w:ascii="Times New Roman" w:hAnsi="Times New Roman"/>
        </w:rPr>
        <w:t>2~3</w:t>
      </w:r>
      <w:r>
        <w:t>年恢复草本植被，</w:t>
      </w:r>
      <w:r>
        <w:rPr>
          <w:rFonts w:ascii="Times New Roman" w:hAnsi="Times New Roman"/>
        </w:rPr>
        <w:t>3~5</w:t>
      </w:r>
      <w:r>
        <w:t>年恢复灌木植被，</w:t>
      </w:r>
      <w:r>
        <w:rPr>
          <w:rFonts w:ascii="Times New Roman" w:hAnsi="Times New Roman"/>
        </w:rPr>
        <w:t>10~15</w:t>
      </w:r>
      <w:r>
        <w:t>年恢复乔木植被。</w:t>
      </w:r>
    </w:p>
    <w:p w14:paraId="3525B099">
      <w:pPr>
        <w:pStyle w:val="5"/>
        <w:rPr>
          <w:rFonts w:cs="Arial"/>
        </w:rPr>
      </w:pPr>
      <w:r>
        <w:rPr>
          <w:rFonts w:hint="eastAsia"/>
        </w:rPr>
        <w:t>对生态公益林的影响</w:t>
      </w:r>
    </w:p>
    <w:p w14:paraId="01F4ACC9">
      <w:pPr>
        <w:pStyle w:val="96"/>
        <w:ind w:firstLine="480"/>
      </w:pPr>
      <w:r>
        <w:rPr>
          <w:rFonts w:hint="eastAsia"/>
        </w:rPr>
        <w:t>经核查，该勘查区块范围经兴县林业局核查，与国家一级公益林、国家二级公益林、I级保护林地、II级保护林地、山西省永久性生态公益林不重叠。因此本项目不会对公益林产生影响。</w:t>
      </w:r>
    </w:p>
    <w:p w14:paraId="22954E46">
      <w:pPr>
        <w:pStyle w:val="5"/>
        <w:rPr>
          <w:szCs w:val="24"/>
        </w:rPr>
      </w:pPr>
      <w:r>
        <w:rPr>
          <w:rFonts w:hint="eastAsia"/>
        </w:rPr>
        <w:t>对农田的影响分析</w:t>
      </w:r>
    </w:p>
    <w:p w14:paraId="54E89033">
      <w:pPr>
        <w:pStyle w:val="96"/>
        <w:ind w:firstLine="480"/>
        <w:rPr>
          <w:rFonts w:ascii="Times New Roman" w:hAnsi="Times New Roman"/>
        </w:rPr>
      </w:pPr>
      <w:r>
        <w:rPr>
          <w:rFonts w:hint="eastAsia" w:ascii="Times New Roman" w:hAnsi="Times New Roman"/>
        </w:rPr>
        <w:t>2</w:t>
      </w:r>
      <w:r>
        <w:rPr>
          <w:rFonts w:hint="eastAsia"/>
        </w:rPr>
        <w:t>、井场建设农业生产影响分析</w:t>
      </w:r>
    </w:p>
    <w:p w14:paraId="78F0CAEB">
      <w:pPr>
        <w:pStyle w:val="96"/>
        <w:ind w:firstLine="480"/>
        <w:rPr>
          <w:rFonts w:ascii="Times New Roman" w:hAnsi="Times New Roman"/>
        </w:rPr>
      </w:pPr>
      <w:r>
        <w:rPr>
          <w:rFonts w:hint="eastAsia"/>
        </w:rPr>
        <w:t>评价范围</w:t>
      </w:r>
      <w:r>
        <w:t>共涉及基本农田</w:t>
      </w:r>
      <w:r>
        <w:rPr>
          <w:rFonts w:hint="eastAsia" w:ascii="Times New Roman" w:hAnsi="Times New Roman"/>
        </w:rPr>
        <w:t>84.47</w:t>
      </w:r>
      <w:r>
        <w:rPr>
          <w:rFonts w:ascii="Times New Roman" w:hAnsi="Times New Roman"/>
        </w:rPr>
        <w:t>hm</w:t>
      </w:r>
      <w:r>
        <w:rPr>
          <w:rFonts w:ascii="Times New Roman" w:hAnsi="Times New Roman"/>
          <w:vertAlign w:val="superscript"/>
        </w:rPr>
        <w:t>2</w:t>
      </w:r>
      <w:r>
        <w:t>，项目</w:t>
      </w:r>
      <w:r>
        <w:rPr>
          <w:rFonts w:hint="eastAsia"/>
        </w:rPr>
        <w:t>井场、井场道路临时</w:t>
      </w:r>
      <w:r>
        <w:t>占地范围内不涉及占用基本农田，</w:t>
      </w:r>
      <w:r>
        <w:rPr>
          <w:rFonts w:hint="eastAsia"/>
        </w:rPr>
        <w:t>但井场占地范围内涉及一部分耕地</w:t>
      </w:r>
      <w:r>
        <w:t>，工程建设不可避免会对农业生</w:t>
      </w:r>
      <w:r>
        <w:rPr>
          <w:rFonts w:hint="eastAsia"/>
        </w:rPr>
        <w:t>产</w:t>
      </w:r>
      <w:r>
        <w:t>产生一定影响。</w:t>
      </w:r>
    </w:p>
    <w:p w14:paraId="48A583C5">
      <w:pPr>
        <w:pStyle w:val="96"/>
        <w:ind w:firstLine="480"/>
        <w:rPr>
          <w:rFonts w:ascii="Times New Roman" w:hAnsi="Times New Roman"/>
        </w:rPr>
      </w:pPr>
      <w:r>
        <w:t>本项目占地引起的农业损失为永久性农业损失，按照下式计算：</w:t>
      </w:r>
    </w:p>
    <w:p w14:paraId="10BCF3B6">
      <w:pPr>
        <w:pStyle w:val="96"/>
        <w:ind w:firstLine="480"/>
        <w:jc w:val="center"/>
      </w:pPr>
      <w:r>
        <w:drawing>
          <wp:inline distT="0" distB="0" distL="0" distR="0">
            <wp:extent cx="748030" cy="166370"/>
            <wp:effectExtent l="0" t="0" r="0" b="508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748030" cy="166370"/>
                    </a:xfrm>
                    <a:prstGeom prst="rect">
                      <a:avLst/>
                    </a:prstGeom>
                    <a:noFill/>
                    <a:ln>
                      <a:noFill/>
                    </a:ln>
                  </pic:spPr>
                </pic:pic>
              </a:graphicData>
            </a:graphic>
          </wp:inline>
        </w:drawing>
      </w:r>
    </w:p>
    <w:p w14:paraId="3BDE4A1C">
      <w:pPr>
        <w:pStyle w:val="96"/>
        <w:ind w:firstLine="480"/>
        <w:rPr>
          <w:rFonts w:ascii="Times New Roman" w:hAnsi="Times New Roman" w:cs="Times New Roman"/>
        </w:rPr>
      </w:pPr>
      <w:r>
        <w:rPr>
          <w:rFonts w:ascii="Times New Roman" w:hAnsi="Times New Roman" w:cs="Times New Roman"/>
        </w:rPr>
        <w:t>S1——</w:t>
      </w:r>
      <w:r>
        <w:rPr>
          <w:rFonts w:cs="Times New Roman"/>
        </w:rPr>
        <w:t>占用耕地面积，</w:t>
      </w:r>
      <w:r>
        <w:rPr>
          <w:rFonts w:ascii="Times New Roman" w:hAnsi="Times New Roman" w:cs="Times New Roman"/>
        </w:rPr>
        <w:t>ha</w:t>
      </w:r>
      <w:r>
        <w:rPr>
          <w:rFonts w:cs="Times New Roman"/>
        </w:rPr>
        <w:t>，本项目占</w:t>
      </w:r>
      <w:r>
        <w:rPr>
          <w:rFonts w:hint="eastAsia" w:cs="Times New Roman"/>
        </w:rPr>
        <w:t>用耕地面积</w:t>
      </w:r>
      <w:r>
        <w:rPr>
          <w:rFonts w:hint="eastAsia" w:ascii="Times New Roman" w:hAnsi="Times New Roman" w:cs="Times New Roman"/>
        </w:rPr>
        <w:t>6.92</w:t>
      </w:r>
      <w:r>
        <w:rPr>
          <w:rFonts w:ascii="Times New Roman" w:hAnsi="Times New Roman" w:cs="Times New Roman"/>
        </w:rPr>
        <w:t>ha</w:t>
      </w:r>
    </w:p>
    <w:p w14:paraId="59CDE877">
      <w:pPr>
        <w:pStyle w:val="96"/>
        <w:ind w:firstLine="480"/>
        <w:rPr>
          <w:rFonts w:ascii="Times New Roman" w:hAnsi="Times New Roman" w:cs="Times New Roman"/>
        </w:rPr>
      </w:pPr>
      <w:r>
        <w:rPr>
          <w:rFonts w:ascii="Times New Roman" w:hAnsi="Times New Roman" w:cs="Times New Roman"/>
        </w:rPr>
        <w:t>W1——</w:t>
      </w:r>
      <w:r>
        <w:rPr>
          <w:rFonts w:cs="Times New Roman"/>
        </w:rPr>
        <w:t>单位面积产量，</w:t>
      </w:r>
      <w:r>
        <w:rPr>
          <w:rFonts w:ascii="Times New Roman" w:hAnsi="Times New Roman" w:cs="Times New Roman"/>
        </w:rPr>
        <w:t>ha</w:t>
      </w:r>
      <w:r>
        <w:rPr>
          <w:rFonts w:cs="Times New Roman"/>
        </w:rPr>
        <w:t>，根据</w:t>
      </w:r>
      <w:r>
        <w:rPr>
          <w:rFonts w:hint="eastAsia" w:cs="Times New Roman"/>
        </w:rPr>
        <w:t>吕梁市</w:t>
      </w:r>
      <w:r>
        <w:rPr>
          <w:rFonts w:ascii="Times New Roman" w:hAnsi="Times New Roman" w:cs="Times New Roman"/>
        </w:rPr>
        <w:t>2023</w:t>
      </w:r>
      <w:r>
        <w:rPr>
          <w:rFonts w:cs="Times New Roman"/>
        </w:rPr>
        <w:t>年统计资料显示，粮食平均单位面积产量为</w:t>
      </w:r>
      <w:r>
        <w:rPr>
          <w:rFonts w:ascii="Times New Roman" w:hAnsi="Times New Roman" w:cs="Times New Roman"/>
        </w:rPr>
        <w:t>3.19t/ha</w:t>
      </w:r>
      <w:r>
        <w:rPr>
          <w:rFonts w:cs="Times New Roman"/>
        </w:rPr>
        <w:t>。</w:t>
      </w:r>
    </w:p>
    <w:p w14:paraId="4B5C0455">
      <w:pPr>
        <w:pStyle w:val="96"/>
        <w:ind w:firstLine="480"/>
        <w:rPr>
          <w:rFonts w:ascii="Times New Roman" w:hAnsi="Times New Roman" w:cs="Times New Roman"/>
        </w:rPr>
      </w:pPr>
      <w:r>
        <w:rPr>
          <w:rFonts w:cs="Times New Roman"/>
        </w:rPr>
        <w:t>根据上式计算得出，本项目占地造成的农业生产损失为</w:t>
      </w:r>
      <w:r>
        <w:rPr>
          <w:rFonts w:ascii="Times New Roman" w:hAnsi="Times New Roman" w:cs="Times New Roman"/>
        </w:rPr>
        <w:t>22.07t</w:t>
      </w:r>
      <w:r>
        <w:rPr>
          <w:rFonts w:cs="Times New Roman"/>
        </w:rPr>
        <w:t>。</w:t>
      </w:r>
    </w:p>
    <w:p w14:paraId="241F0852">
      <w:pPr>
        <w:pStyle w:val="19"/>
        <w:keepNext/>
      </w:pPr>
      <w:r>
        <w:t xml:space="preserve">表 </w:t>
      </w:r>
      <w:r>
        <w:fldChar w:fldCharType="begin"/>
      </w:r>
      <w:r>
        <w:instrText xml:space="preserve"> SEQ 表 \* ARABIC </w:instrText>
      </w:r>
      <w:r>
        <w:fldChar w:fldCharType="separate"/>
      </w:r>
      <w:r>
        <w:t>93</w:t>
      </w:r>
      <w:r>
        <w:fldChar w:fldCharType="end"/>
      </w:r>
      <w:r>
        <w:rPr>
          <w:rFonts w:hint="eastAsia"/>
        </w:rPr>
        <w:t>本项目建设导致的农业减产量损失</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78"/>
        <w:gridCol w:w="1103"/>
        <w:gridCol w:w="1705"/>
        <w:gridCol w:w="1718"/>
        <w:gridCol w:w="1638"/>
        <w:gridCol w:w="3440"/>
      </w:tblGrid>
      <w:tr w14:paraId="39E12B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903" w:type="dxa"/>
            <w:vMerge w:val="restart"/>
            <w:noWrap/>
            <w:vAlign w:val="center"/>
          </w:tcPr>
          <w:p w14:paraId="558F0AA7">
            <w:pPr>
              <w:pStyle w:val="94"/>
              <w:rPr>
                <w:color w:val="auto"/>
              </w:rPr>
            </w:pPr>
            <w:r>
              <w:rPr>
                <w:rFonts w:hint="eastAsia"/>
                <w:color w:val="auto"/>
              </w:rPr>
              <w:t>占地类型</w:t>
            </w:r>
          </w:p>
        </w:tc>
        <w:tc>
          <w:tcPr>
            <w:tcW w:w="5164" w:type="dxa"/>
            <w:gridSpan w:val="4"/>
            <w:noWrap/>
            <w:vAlign w:val="center"/>
          </w:tcPr>
          <w:p w14:paraId="6B9892D7">
            <w:pPr>
              <w:pStyle w:val="94"/>
              <w:rPr>
                <w:color w:val="auto"/>
              </w:rPr>
            </w:pPr>
            <w:r>
              <w:rPr>
                <w:rFonts w:hint="eastAsia"/>
                <w:color w:val="auto"/>
              </w:rPr>
              <w:t>生物量损失</w:t>
            </w:r>
          </w:p>
        </w:tc>
        <w:tc>
          <w:tcPr>
            <w:tcW w:w="2882" w:type="dxa"/>
            <w:vMerge w:val="restart"/>
            <w:noWrap/>
            <w:vAlign w:val="center"/>
          </w:tcPr>
          <w:p w14:paraId="57462AB4">
            <w:pPr>
              <w:pStyle w:val="94"/>
              <w:rPr>
                <w:color w:val="auto"/>
              </w:rPr>
            </w:pPr>
            <w:r>
              <w:rPr>
                <w:rFonts w:hint="eastAsia"/>
                <w:color w:val="auto"/>
              </w:rPr>
              <w:t>减产量损失来源</w:t>
            </w:r>
          </w:p>
        </w:tc>
      </w:tr>
      <w:tr w14:paraId="3D555D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0" w:hRule="atLeast"/>
        </w:trPr>
        <w:tc>
          <w:tcPr>
            <w:tcW w:w="903" w:type="dxa"/>
            <w:vMerge w:val="continue"/>
            <w:vAlign w:val="center"/>
          </w:tcPr>
          <w:p w14:paraId="0E3FA458">
            <w:pPr>
              <w:pStyle w:val="94"/>
              <w:rPr>
                <w:color w:val="auto"/>
              </w:rPr>
            </w:pPr>
          </w:p>
        </w:tc>
        <w:tc>
          <w:tcPr>
            <w:tcW w:w="924" w:type="dxa"/>
            <w:vAlign w:val="center"/>
          </w:tcPr>
          <w:p w14:paraId="3A908F46">
            <w:pPr>
              <w:pStyle w:val="94"/>
              <w:rPr>
                <w:color w:val="auto"/>
              </w:rPr>
            </w:pPr>
            <w:r>
              <w:rPr>
                <w:rFonts w:hint="eastAsia"/>
                <w:color w:val="auto"/>
              </w:rPr>
              <w:t>占用耕地面积（ha)</w:t>
            </w:r>
          </w:p>
        </w:tc>
        <w:tc>
          <w:tcPr>
            <w:tcW w:w="1429" w:type="dxa"/>
            <w:vAlign w:val="center"/>
          </w:tcPr>
          <w:p w14:paraId="56D538F6">
            <w:pPr>
              <w:pStyle w:val="94"/>
              <w:rPr>
                <w:color w:val="auto"/>
              </w:rPr>
            </w:pPr>
            <w:r>
              <w:rPr>
                <w:rFonts w:hint="eastAsia"/>
                <w:color w:val="auto"/>
              </w:rPr>
              <w:t>粮食平均单位面积产量(t/ha)</w:t>
            </w:r>
          </w:p>
        </w:tc>
        <w:tc>
          <w:tcPr>
            <w:tcW w:w="1439" w:type="dxa"/>
            <w:noWrap/>
            <w:vAlign w:val="center"/>
          </w:tcPr>
          <w:p w14:paraId="4CF7089D">
            <w:pPr>
              <w:pStyle w:val="94"/>
              <w:rPr>
                <w:color w:val="auto"/>
              </w:rPr>
            </w:pPr>
            <w:r>
              <w:rPr>
                <w:rFonts w:hint="eastAsia"/>
                <w:color w:val="auto"/>
              </w:rPr>
              <w:t>总农业减产量(t）</w:t>
            </w:r>
          </w:p>
        </w:tc>
        <w:tc>
          <w:tcPr>
            <w:tcW w:w="1372" w:type="dxa"/>
            <w:vAlign w:val="center"/>
          </w:tcPr>
          <w:p w14:paraId="3C12414F">
            <w:pPr>
              <w:pStyle w:val="94"/>
              <w:rPr>
                <w:color w:val="auto"/>
              </w:rPr>
            </w:pPr>
            <w:r>
              <w:rPr>
                <w:rFonts w:hint="eastAsia"/>
                <w:color w:val="auto"/>
              </w:rPr>
              <w:t>所占比例(%)</w:t>
            </w:r>
          </w:p>
        </w:tc>
        <w:tc>
          <w:tcPr>
            <w:tcW w:w="2882" w:type="dxa"/>
            <w:vMerge w:val="continue"/>
            <w:vAlign w:val="center"/>
          </w:tcPr>
          <w:p w14:paraId="2360381C">
            <w:pPr>
              <w:pStyle w:val="94"/>
              <w:rPr>
                <w:color w:val="auto"/>
              </w:rPr>
            </w:pPr>
          </w:p>
        </w:tc>
      </w:tr>
      <w:tr w14:paraId="65858E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903" w:type="dxa"/>
            <w:noWrap/>
            <w:vAlign w:val="center"/>
          </w:tcPr>
          <w:p w14:paraId="0EFC0380">
            <w:pPr>
              <w:pStyle w:val="94"/>
              <w:rPr>
                <w:color w:val="auto"/>
              </w:rPr>
            </w:pPr>
            <w:r>
              <w:rPr>
                <w:rFonts w:hint="eastAsia"/>
                <w:color w:val="auto"/>
              </w:rPr>
              <w:t>临时占地</w:t>
            </w:r>
          </w:p>
        </w:tc>
        <w:tc>
          <w:tcPr>
            <w:tcW w:w="924" w:type="dxa"/>
            <w:noWrap/>
            <w:vAlign w:val="center"/>
          </w:tcPr>
          <w:p w14:paraId="751EF54D">
            <w:pPr>
              <w:pStyle w:val="94"/>
              <w:rPr>
                <w:color w:val="auto"/>
              </w:rPr>
            </w:pPr>
            <w:r>
              <w:rPr>
                <w:rFonts w:hint="eastAsia"/>
                <w:color w:val="auto"/>
              </w:rPr>
              <w:t>6.92</w:t>
            </w:r>
          </w:p>
        </w:tc>
        <w:tc>
          <w:tcPr>
            <w:tcW w:w="1429" w:type="dxa"/>
            <w:noWrap/>
            <w:vAlign w:val="center"/>
          </w:tcPr>
          <w:p w14:paraId="3FB586D4">
            <w:pPr>
              <w:pStyle w:val="94"/>
              <w:rPr>
                <w:color w:val="auto"/>
              </w:rPr>
            </w:pPr>
            <w:r>
              <w:rPr>
                <w:color w:val="auto"/>
              </w:rPr>
              <w:t>3.19</w:t>
            </w:r>
          </w:p>
        </w:tc>
        <w:tc>
          <w:tcPr>
            <w:tcW w:w="1439" w:type="dxa"/>
            <w:noWrap/>
            <w:vAlign w:val="center"/>
          </w:tcPr>
          <w:p w14:paraId="32025699">
            <w:pPr>
              <w:pStyle w:val="94"/>
              <w:rPr>
                <w:color w:val="auto"/>
              </w:rPr>
            </w:pPr>
            <w:r>
              <w:rPr>
                <w:rFonts w:hint="eastAsia"/>
                <w:color w:val="auto"/>
              </w:rPr>
              <w:t>22.07</w:t>
            </w:r>
          </w:p>
        </w:tc>
        <w:tc>
          <w:tcPr>
            <w:tcW w:w="1372" w:type="dxa"/>
            <w:noWrap/>
            <w:vAlign w:val="center"/>
          </w:tcPr>
          <w:p w14:paraId="1EC0EE6C">
            <w:pPr>
              <w:pStyle w:val="94"/>
              <w:rPr>
                <w:color w:val="auto"/>
              </w:rPr>
            </w:pPr>
            <w:r>
              <w:rPr>
                <w:rFonts w:hint="eastAsia"/>
                <w:color w:val="auto"/>
              </w:rPr>
              <w:t>5.28</w:t>
            </w:r>
          </w:p>
        </w:tc>
        <w:tc>
          <w:tcPr>
            <w:tcW w:w="2882" w:type="dxa"/>
            <w:noWrap/>
            <w:vAlign w:val="center"/>
          </w:tcPr>
          <w:p w14:paraId="6A87599B">
            <w:pPr>
              <w:pStyle w:val="94"/>
              <w:rPr>
                <w:color w:val="auto"/>
              </w:rPr>
            </w:pPr>
            <w:r>
              <w:rPr>
                <w:rFonts w:hint="eastAsia"/>
                <w:color w:val="auto"/>
              </w:rPr>
              <w:t>主要来源于项目井场及道路临时占地等对农田植被的破坏。</w:t>
            </w:r>
          </w:p>
        </w:tc>
      </w:tr>
    </w:tbl>
    <w:p w14:paraId="4FAE8876">
      <w:pPr>
        <w:pStyle w:val="96"/>
        <w:ind w:firstLine="480"/>
        <w:rPr>
          <w:rFonts w:cs="Arial"/>
        </w:rPr>
      </w:pPr>
      <w:r>
        <w:rPr>
          <w:rFonts w:hint="eastAsia"/>
        </w:rPr>
        <w:t>由上表可知，本项目是施工期间导致的基本农田农业减产量损失约22.07t，全部为临时占地。施工临时占地对农业生态的影响是短期、暂时性的，待施工结束后通过表土回填、土地复垦后即可恢复耕作，不改变所占用土地原有的功能。</w:t>
      </w:r>
    </w:p>
    <w:p w14:paraId="75B5E996">
      <w:pPr>
        <w:pStyle w:val="96"/>
        <w:ind w:firstLine="480"/>
      </w:pPr>
      <w:r>
        <w:rPr>
          <w:rFonts w:hint="eastAsia"/>
        </w:rPr>
        <w:t>因此，本项目施工期间对农业生态影响可接受。</w:t>
      </w:r>
    </w:p>
    <w:p w14:paraId="5ECF0DB6">
      <w:pPr>
        <w:pStyle w:val="5"/>
        <w:rPr>
          <w:szCs w:val="24"/>
        </w:rPr>
      </w:pPr>
      <w:r>
        <w:rPr>
          <w:rFonts w:hint="eastAsia"/>
        </w:rPr>
        <w:t>区域生物多样性影响分析</w:t>
      </w:r>
    </w:p>
    <w:p w14:paraId="484DE073">
      <w:pPr>
        <w:pStyle w:val="96"/>
        <w:ind w:firstLine="480"/>
      </w:pPr>
      <w:r>
        <w:rPr>
          <w:rFonts w:hint="eastAsia"/>
        </w:rPr>
        <w:t>工程对生物多样性的影响难以定量化分析，下面针对生物多样性的 6个指标进行定性分析。分析可知，本工程对评价区野生维管束植物丰富度、野生动物丰富度生态系统类型多样性、物种特有性、受威胁物种的丰富度、外来物种入侵度影响均不大，因此对评价区生物多样性影响较小。详见下表。</w:t>
      </w:r>
    </w:p>
    <w:p w14:paraId="6EA873BE">
      <w:pPr>
        <w:pStyle w:val="19"/>
        <w:keepNext/>
      </w:pPr>
      <w:r>
        <w:t xml:space="preserve">表 </w:t>
      </w:r>
      <w:r>
        <w:fldChar w:fldCharType="begin"/>
      </w:r>
      <w:r>
        <w:instrText xml:space="preserve"> SEQ 表 \* ARABIC </w:instrText>
      </w:r>
      <w:r>
        <w:fldChar w:fldCharType="separate"/>
      </w:r>
      <w:r>
        <w:t>94</w:t>
      </w:r>
      <w:r>
        <w:fldChar w:fldCharType="end"/>
      </w:r>
      <w:r>
        <w:rPr>
          <w:rFonts w:hint="eastAsia"/>
        </w:rPr>
        <w:t>生物多样性指标影响分析</w:t>
      </w:r>
    </w:p>
    <w:tbl>
      <w:tblPr>
        <w:tblStyle w:val="72"/>
        <w:tblW w:w="4996" w:type="pct"/>
        <w:tblInd w:w="0" w:type="dxa"/>
        <w:tblLayout w:type="autofit"/>
        <w:tblCellMar>
          <w:top w:w="0" w:type="dxa"/>
          <w:left w:w="108" w:type="dxa"/>
          <w:bottom w:w="0" w:type="dxa"/>
          <w:right w:w="108" w:type="dxa"/>
        </w:tblCellMar>
      </w:tblPr>
      <w:tblGrid>
        <w:gridCol w:w="2711"/>
        <w:gridCol w:w="7962"/>
      </w:tblGrid>
      <w:tr w14:paraId="2224027D">
        <w:trPr>
          <w:trHeight w:val="23" w:hRule="atLeast"/>
        </w:trPr>
        <w:tc>
          <w:tcPr>
            <w:tcW w:w="1270" w:type="pct"/>
            <w:tcBorders>
              <w:top w:val="single" w:color="000000" w:sz="4" w:space="0"/>
              <w:left w:val="single" w:color="000000" w:sz="4" w:space="0"/>
              <w:bottom w:val="single" w:color="000000" w:sz="4" w:space="0"/>
              <w:right w:val="single" w:color="000000" w:sz="4" w:space="0"/>
            </w:tcBorders>
            <w:vAlign w:val="center"/>
          </w:tcPr>
          <w:p w14:paraId="4F6D234E">
            <w:pPr>
              <w:pStyle w:val="94"/>
              <w:rPr>
                <w:color w:val="auto"/>
              </w:rPr>
            </w:pPr>
            <w:r>
              <w:rPr>
                <w:rFonts w:hint="eastAsia"/>
                <w:color w:val="auto"/>
              </w:rPr>
              <w:t>指标</w:t>
            </w:r>
          </w:p>
        </w:tc>
        <w:tc>
          <w:tcPr>
            <w:tcW w:w="3730" w:type="pct"/>
            <w:tcBorders>
              <w:top w:val="single" w:color="000000" w:sz="4" w:space="0"/>
              <w:left w:val="nil"/>
              <w:bottom w:val="single" w:color="000000" w:sz="4" w:space="0"/>
              <w:right w:val="single" w:color="000000" w:sz="4" w:space="0"/>
            </w:tcBorders>
            <w:vAlign w:val="center"/>
          </w:tcPr>
          <w:p w14:paraId="28F034BD">
            <w:pPr>
              <w:pStyle w:val="94"/>
              <w:rPr>
                <w:color w:val="auto"/>
              </w:rPr>
            </w:pPr>
            <w:r>
              <w:rPr>
                <w:rFonts w:hint="eastAsia"/>
                <w:color w:val="auto"/>
              </w:rPr>
              <w:t>影响程度</w:t>
            </w:r>
          </w:p>
        </w:tc>
      </w:tr>
      <w:tr w14:paraId="5E86F82E">
        <w:tblPrEx>
          <w:tblCellMar>
            <w:top w:w="0" w:type="dxa"/>
            <w:left w:w="108" w:type="dxa"/>
            <w:bottom w:w="0" w:type="dxa"/>
            <w:right w:w="108" w:type="dxa"/>
          </w:tblCellMar>
        </w:tblPrEx>
        <w:trPr>
          <w:trHeight w:val="23" w:hRule="atLeast"/>
        </w:trPr>
        <w:tc>
          <w:tcPr>
            <w:tcW w:w="1270" w:type="pct"/>
            <w:tcBorders>
              <w:top w:val="single" w:color="000000" w:sz="4" w:space="0"/>
              <w:left w:val="single" w:color="000000" w:sz="4" w:space="0"/>
              <w:bottom w:val="single" w:color="000000" w:sz="4" w:space="0"/>
              <w:right w:val="single" w:color="000000" w:sz="4" w:space="0"/>
            </w:tcBorders>
            <w:vAlign w:val="bottom"/>
          </w:tcPr>
          <w:p w14:paraId="5A80485B">
            <w:pPr>
              <w:pStyle w:val="94"/>
              <w:rPr>
                <w:color w:val="auto"/>
              </w:rPr>
            </w:pPr>
            <w:r>
              <w:rPr>
                <w:rFonts w:hint="eastAsia"/>
                <w:color w:val="auto"/>
              </w:rPr>
              <w:t>野生维管束植物丰富度</w:t>
            </w:r>
          </w:p>
        </w:tc>
        <w:tc>
          <w:tcPr>
            <w:tcW w:w="3730" w:type="pct"/>
            <w:tcBorders>
              <w:top w:val="single" w:color="000000" w:sz="4" w:space="0"/>
              <w:left w:val="nil"/>
              <w:bottom w:val="single" w:color="000000" w:sz="4" w:space="0"/>
              <w:right w:val="single" w:color="000000" w:sz="4" w:space="0"/>
            </w:tcBorders>
            <w:vAlign w:val="bottom"/>
          </w:tcPr>
          <w:p w14:paraId="0664A7D3">
            <w:pPr>
              <w:pStyle w:val="94"/>
              <w:rPr>
                <w:color w:val="auto"/>
              </w:rPr>
            </w:pPr>
            <w:r>
              <w:rPr>
                <w:rFonts w:hint="eastAsia"/>
                <w:color w:val="auto"/>
              </w:rPr>
              <w:t>工程不会导致工程区野生维管束物种类减少，影响不大。</w:t>
            </w:r>
          </w:p>
        </w:tc>
      </w:tr>
      <w:tr w14:paraId="338C9728">
        <w:tblPrEx>
          <w:tblCellMar>
            <w:top w:w="0" w:type="dxa"/>
            <w:left w:w="108" w:type="dxa"/>
            <w:bottom w:w="0" w:type="dxa"/>
            <w:right w:w="108" w:type="dxa"/>
          </w:tblCellMar>
        </w:tblPrEx>
        <w:trPr>
          <w:trHeight w:val="23" w:hRule="atLeast"/>
        </w:trPr>
        <w:tc>
          <w:tcPr>
            <w:tcW w:w="1270" w:type="pct"/>
            <w:tcBorders>
              <w:top w:val="single" w:color="000000" w:sz="4" w:space="0"/>
              <w:left w:val="single" w:color="000000" w:sz="4" w:space="0"/>
              <w:bottom w:val="single" w:color="000000" w:sz="4" w:space="0"/>
              <w:right w:val="single" w:color="000000" w:sz="4" w:space="0"/>
            </w:tcBorders>
            <w:vAlign w:val="center"/>
          </w:tcPr>
          <w:p w14:paraId="7AEBF531">
            <w:pPr>
              <w:pStyle w:val="94"/>
              <w:rPr>
                <w:color w:val="auto"/>
              </w:rPr>
            </w:pPr>
            <w:r>
              <w:rPr>
                <w:rFonts w:hint="eastAsia"/>
                <w:color w:val="auto"/>
              </w:rPr>
              <w:t>野生动物丰富度</w:t>
            </w:r>
          </w:p>
        </w:tc>
        <w:tc>
          <w:tcPr>
            <w:tcW w:w="3730" w:type="pct"/>
            <w:tcBorders>
              <w:top w:val="single" w:color="000000" w:sz="4" w:space="0"/>
              <w:left w:val="nil"/>
              <w:bottom w:val="single" w:color="000000" w:sz="4" w:space="0"/>
              <w:right w:val="single" w:color="000000" w:sz="4" w:space="0"/>
            </w:tcBorders>
            <w:vAlign w:val="bottom"/>
          </w:tcPr>
          <w:p w14:paraId="492A5C00">
            <w:pPr>
              <w:pStyle w:val="94"/>
              <w:rPr>
                <w:color w:val="auto"/>
              </w:rPr>
            </w:pPr>
            <w:r>
              <w:rPr>
                <w:rFonts w:hint="eastAsia"/>
                <w:color w:val="auto"/>
              </w:rPr>
              <w:t>施工期，施工噪声和人员活动会降低工程区附近野生动物数量和种</w:t>
            </w:r>
          </w:p>
          <w:p w14:paraId="791847EF">
            <w:pPr>
              <w:pStyle w:val="94"/>
              <w:rPr>
                <w:color w:val="auto"/>
              </w:rPr>
            </w:pPr>
            <w:r>
              <w:rPr>
                <w:rFonts w:hint="eastAsia"/>
                <w:color w:val="auto"/>
              </w:rPr>
              <w:t>类，因此会导致野生动物丰富度降低。</w:t>
            </w:r>
          </w:p>
        </w:tc>
      </w:tr>
      <w:tr w14:paraId="4D0872D5">
        <w:tblPrEx>
          <w:tblCellMar>
            <w:top w:w="0" w:type="dxa"/>
            <w:left w:w="108" w:type="dxa"/>
            <w:bottom w:w="0" w:type="dxa"/>
            <w:right w:w="108" w:type="dxa"/>
          </w:tblCellMar>
        </w:tblPrEx>
        <w:trPr>
          <w:trHeight w:val="23" w:hRule="atLeast"/>
        </w:trPr>
        <w:tc>
          <w:tcPr>
            <w:tcW w:w="1270" w:type="pct"/>
            <w:tcBorders>
              <w:top w:val="single" w:color="000000" w:sz="4" w:space="0"/>
              <w:left w:val="single" w:color="000000" w:sz="4" w:space="0"/>
              <w:bottom w:val="single" w:color="000000" w:sz="4" w:space="0"/>
              <w:right w:val="single" w:color="000000" w:sz="4" w:space="0"/>
            </w:tcBorders>
            <w:vAlign w:val="center"/>
          </w:tcPr>
          <w:p w14:paraId="338FB2C6">
            <w:pPr>
              <w:pStyle w:val="94"/>
              <w:rPr>
                <w:color w:val="auto"/>
              </w:rPr>
            </w:pPr>
            <w:r>
              <w:rPr>
                <w:rFonts w:hint="eastAsia"/>
                <w:color w:val="auto"/>
              </w:rPr>
              <w:t>生态系统类型多样性</w:t>
            </w:r>
          </w:p>
        </w:tc>
        <w:tc>
          <w:tcPr>
            <w:tcW w:w="3730" w:type="pct"/>
            <w:tcBorders>
              <w:top w:val="single" w:color="000000" w:sz="4" w:space="0"/>
              <w:left w:val="nil"/>
              <w:bottom w:val="single" w:color="000000" w:sz="4" w:space="0"/>
              <w:right w:val="single" w:color="000000" w:sz="4" w:space="0"/>
            </w:tcBorders>
            <w:vAlign w:val="bottom"/>
          </w:tcPr>
          <w:p w14:paraId="2ACA1638">
            <w:pPr>
              <w:pStyle w:val="94"/>
              <w:rPr>
                <w:color w:val="auto"/>
              </w:rPr>
            </w:pPr>
            <w:r>
              <w:rPr>
                <w:rFonts w:hint="eastAsia"/>
                <w:color w:val="auto"/>
              </w:rPr>
              <w:t>与评价区相比，工程占地面积不大，不会导致生态系统类型多样性降</w:t>
            </w:r>
          </w:p>
          <w:p w14:paraId="25C33657">
            <w:pPr>
              <w:pStyle w:val="94"/>
              <w:rPr>
                <w:color w:val="auto"/>
              </w:rPr>
            </w:pPr>
            <w:r>
              <w:rPr>
                <w:rFonts w:hint="eastAsia"/>
                <w:color w:val="auto"/>
              </w:rPr>
              <w:t>低。</w:t>
            </w:r>
          </w:p>
        </w:tc>
      </w:tr>
      <w:tr w14:paraId="024DBB4B">
        <w:tblPrEx>
          <w:tblCellMar>
            <w:top w:w="0" w:type="dxa"/>
            <w:left w:w="108" w:type="dxa"/>
            <w:bottom w:w="0" w:type="dxa"/>
            <w:right w:w="108" w:type="dxa"/>
          </w:tblCellMar>
        </w:tblPrEx>
        <w:trPr>
          <w:trHeight w:val="23" w:hRule="atLeast"/>
        </w:trPr>
        <w:tc>
          <w:tcPr>
            <w:tcW w:w="1270" w:type="pct"/>
            <w:tcBorders>
              <w:top w:val="single" w:color="000000" w:sz="4" w:space="0"/>
              <w:left w:val="single" w:color="000000" w:sz="4" w:space="0"/>
              <w:bottom w:val="single" w:color="000000" w:sz="4" w:space="0"/>
              <w:right w:val="single" w:color="000000" w:sz="4" w:space="0"/>
            </w:tcBorders>
            <w:vAlign w:val="center"/>
          </w:tcPr>
          <w:p w14:paraId="582A3D4E">
            <w:pPr>
              <w:pStyle w:val="94"/>
              <w:rPr>
                <w:color w:val="auto"/>
              </w:rPr>
            </w:pPr>
            <w:r>
              <w:rPr>
                <w:rFonts w:hint="eastAsia"/>
                <w:color w:val="auto"/>
              </w:rPr>
              <w:t>物种特有性</w:t>
            </w:r>
          </w:p>
        </w:tc>
        <w:tc>
          <w:tcPr>
            <w:tcW w:w="3730" w:type="pct"/>
            <w:tcBorders>
              <w:top w:val="single" w:color="000000" w:sz="4" w:space="0"/>
              <w:left w:val="nil"/>
              <w:bottom w:val="single" w:color="000000" w:sz="4" w:space="0"/>
              <w:right w:val="single" w:color="000000" w:sz="4" w:space="0"/>
            </w:tcBorders>
            <w:vAlign w:val="bottom"/>
          </w:tcPr>
          <w:p w14:paraId="677EB0B3">
            <w:pPr>
              <w:pStyle w:val="94"/>
              <w:rPr>
                <w:color w:val="auto"/>
              </w:rPr>
            </w:pPr>
            <w:r>
              <w:rPr>
                <w:rFonts w:hint="eastAsia"/>
                <w:color w:val="auto"/>
              </w:rPr>
              <w:t>评价区分布中国特有野生植物，因此工程对物种特有性造成一定影响。但特有种分布较广自然恢复程度较高。</w:t>
            </w:r>
          </w:p>
        </w:tc>
      </w:tr>
      <w:tr w14:paraId="72400542">
        <w:tblPrEx>
          <w:tblCellMar>
            <w:top w:w="0" w:type="dxa"/>
            <w:left w:w="108" w:type="dxa"/>
            <w:bottom w:w="0" w:type="dxa"/>
            <w:right w:w="108" w:type="dxa"/>
          </w:tblCellMar>
        </w:tblPrEx>
        <w:trPr>
          <w:trHeight w:val="23" w:hRule="atLeast"/>
        </w:trPr>
        <w:tc>
          <w:tcPr>
            <w:tcW w:w="1270" w:type="pct"/>
            <w:tcBorders>
              <w:top w:val="single" w:color="000000" w:sz="4" w:space="0"/>
              <w:left w:val="single" w:color="000000" w:sz="4" w:space="0"/>
              <w:bottom w:val="single" w:color="000000" w:sz="4" w:space="0"/>
              <w:right w:val="single" w:color="000000" w:sz="4" w:space="0"/>
            </w:tcBorders>
            <w:vAlign w:val="center"/>
          </w:tcPr>
          <w:p w14:paraId="7B16CDD0">
            <w:pPr>
              <w:pStyle w:val="94"/>
              <w:rPr>
                <w:color w:val="auto"/>
              </w:rPr>
            </w:pPr>
            <w:r>
              <w:rPr>
                <w:rFonts w:hint="eastAsia"/>
                <w:color w:val="auto"/>
              </w:rPr>
              <w:t>受威胁物种的丰富度</w:t>
            </w:r>
          </w:p>
        </w:tc>
        <w:tc>
          <w:tcPr>
            <w:tcW w:w="3730" w:type="pct"/>
            <w:tcBorders>
              <w:top w:val="single" w:color="000000" w:sz="4" w:space="0"/>
              <w:left w:val="nil"/>
              <w:bottom w:val="single" w:color="000000" w:sz="4" w:space="0"/>
              <w:right w:val="single" w:color="000000" w:sz="4" w:space="0"/>
            </w:tcBorders>
            <w:vAlign w:val="bottom"/>
          </w:tcPr>
          <w:p w14:paraId="34E28CCB">
            <w:pPr>
              <w:pStyle w:val="94"/>
              <w:rPr>
                <w:color w:val="auto"/>
              </w:rPr>
            </w:pPr>
            <w:r>
              <w:rPr>
                <w:rFonts w:hint="eastAsia"/>
                <w:color w:val="auto"/>
              </w:rPr>
              <w:t>本工程不会导致评价区某个动植物物种数量大幅降低进而变成受威胁的物种，因此对受威胁物种的丰富度影响不大</w:t>
            </w:r>
          </w:p>
        </w:tc>
      </w:tr>
      <w:tr w14:paraId="039EA6E3">
        <w:tblPrEx>
          <w:tblCellMar>
            <w:top w:w="0" w:type="dxa"/>
            <w:left w:w="108" w:type="dxa"/>
            <w:bottom w:w="0" w:type="dxa"/>
            <w:right w:w="108" w:type="dxa"/>
          </w:tblCellMar>
        </w:tblPrEx>
        <w:trPr>
          <w:trHeight w:val="23" w:hRule="atLeast"/>
        </w:trPr>
        <w:tc>
          <w:tcPr>
            <w:tcW w:w="1270" w:type="pct"/>
            <w:tcBorders>
              <w:top w:val="single" w:color="000000" w:sz="4" w:space="0"/>
              <w:left w:val="single" w:color="000000" w:sz="4" w:space="0"/>
              <w:bottom w:val="single" w:color="000000" w:sz="4" w:space="0"/>
              <w:right w:val="single" w:color="000000" w:sz="4" w:space="0"/>
            </w:tcBorders>
            <w:vAlign w:val="center"/>
          </w:tcPr>
          <w:p w14:paraId="1D16BA0D">
            <w:pPr>
              <w:pStyle w:val="94"/>
              <w:rPr>
                <w:color w:val="auto"/>
              </w:rPr>
            </w:pPr>
            <w:r>
              <w:rPr>
                <w:rFonts w:hint="eastAsia"/>
                <w:color w:val="auto"/>
              </w:rPr>
              <w:t>外来物种入侵度</w:t>
            </w:r>
          </w:p>
        </w:tc>
        <w:tc>
          <w:tcPr>
            <w:tcW w:w="3730" w:type="pct"/>
            <w:tcBorders>
              <w:top w:val="single" w:color="000000" w:sz="4" w:space="0"/>
              <w:left w:val="nil"/>
              <w:bottom w:val="single" w:color="000000" w:sz="4" w:space="0"/>
              <w:right w:val="single" w:color="000000" w:sz="4" w:space="0"/>
            </w:tcBorders>
            <w:vAlign w:val="bottom"/>
          </w:tcPr>
          <w:p w14:paraId="0BEC4EFB">
            <w:pPr>
              <w:pStyle w:val="94"/>
              <w:rPr>
                <w:color w:val="auto"/>
              </w:rPr>
            </w:pPr>
            <w:r>
              <w:rPr>
                <w:rFonts w:hint="eastAsia"/>
                <w:color w:val="auto"/>
              </w:rPr>
              <w:t>本工程只要生态恢复时，只要不使用外来物种，就不会涉及外来物种入侵问题，因此对外来物种入侵度影响很小。</w:t>
            </w:r>
          </w:p>
        </w:tc>
      </w:tr>
    </w:tbl>
    <w:p w14:paraId="787512AD">
      <w:pPr>
        <w:pStyle w:val="4"/>
      </w:pPr>
      <w:bookmarkStart w:id="162" w:name="_Toc171579830"/>
      <w:r>
        <w:rPr>
          <w:rFonts w:hint="eastAsia"/>
        </w:rPr>
        <w:t>试气期</w:t>
      </w:r>
      <w:r>
        <w:t>生态环境影响分析</w:t>
      </w:r>
      <w:bookmarkEnd w:id="162"/>
    </w:p>
    <w:p w14:paraId="3E5A6A3D">
      <w:pPr>
        <w:pStyle w:val="96"/>
        <w:ind w:firstLine="480"/>
      </w:pPr>
      <w:r>
        <w:rPr>
          <w:rFonts w:hint="eastAsia"/>
        </w:rPr>
        <w:t>试气期正常情况下井场采用抽油机排水降压采气，井口安装气液分离器，分离后的采出水</w:t>
      </w:r>
      <w:r>
        <w:rPr>
          <w:rFonts w:hint="eastAsia" w:cs="宋体"/>
          <w:szCs w:val="21"/>
          <w:lang w:bidi="ar"/>
        </w:rPr>
        <w:t>设软体水箱储存，</w:t>
      </w:r>
      <w:r>
        <w:rPr>
          <w:rFonts w:hint="eastAsia" w:ascii="Times New Roman" w:hAnsi="Times New Roman" w:cs="Times New Roman"/>
          <w:szCs w:val="21"/>
        </w:rPr>
        <w:t>优先回用于其他勘探井钻井、压裂用水，无法利用部分，</w:t>
      </w:r>
      <w:r>
        <w:rPr>
          <w:rFonts w:hint="eastAsia"/>
          <w:bCs/>
        </w:rPr>
        <w:t>拉运至中联煤层气有限责任公司临兴西区</w:t>
      </w:r>
      <w:r>
        <w:rPr>
          <w:bCs/>
        </w:rPr>
        <w:t>(山西区块)开发项目</w:t>
      </w:r>
      <w:r>
        <w:rPr>
          <w:rFonts w:hint="eastAsia"/>
          <w:bCs/>
        </w:rPr>
        <w:t>排采水处理</w:t>
      </w:r>
      <w:r>
        <w:rPr>
          <w:bCs/>
        </w:rPr>
        <w:t>2站处理后回用，不外排</w:t>
      </w:r>
      <w:r>
        <w:rPr>
          <w:rFonts w:hint="eastAsia" w:ascii="Times New Roman" w:hAnsi="Times New Roman" w:cs="Times New Roman"/>
          <w:szCs w:val="21"/>
        </w:rPr>
        <w:t>。</w:t>
      </w:r>
      <w:r>
        <w:rPr>
          <w:rFonts w:hint="eastAsia"/>
        </w:rPr>
        <w:t>致密气则通过点火方箱充分燃烧后排入大气，因此本项目运营期对土壤、植物等生态环境影响不大。</w:t>
      </w:r>
    </w:p>
    <w:p w14:paraId="2DAA7583">
      <w:pPr>
        <w:pStyle w:val="96"/>
        <w:ind w:firstLine="480"/>
      </w:pPr>
      <w:r>
        <w:rPr>
          <w:rFonts w:hint="eastAsia"/>
        </w:rPr>
        <w:t>试采阶段运行过程中虽然没有高噪声污染源，但随着人为因素的干扰，将会造成场站附近动物的干扰，由于场站附近没有濒危动物物种，且场站在区域分布面积相对较小，区内常见野生动物的迁徙能力较强且周边分布广泛，不会危及其种群数量。本项目各井场对区内动物影响较小。</w:t>
      </w:r>
    </w:p>
    <w:p w14:paraId="7F6AE3C6">
      <w:pPr>
        <w:pStyle w:val="4"/>
      </w:pPr>
      <w:bookmarkStart w:id="163" w:name="_Toc171579831"/>
      <w:r>
        <w:rPr>
          <w:rFonts w:hint="eastAsia"/>
        </w:rPr>
        <w:t>关井</w:t>
      </w:r>
      <w:r>
        <w:t>期生态环境影响分析</w:t>
      </w:r>
      <w:bookmarkEnd w:id="163"/>
    </w:p>
    <w:p w14:paraId="42B1242E">
      <w:pPr>
        <w:pStyle w:val="96"/>
        <w:ind w:firstLine="480"/>
        <w:rPr>
          <w:rFonts w:ascii="Times New Roman" w:hAnsi="Times New Roman"/>
        </w:rPr>
      </w:pPr>
      <w:r>
        <w:rPr>
          <w:rFonts w:hint="eastAsia"/>
        </w:rPr>
        <w:t>勘查期满后</w:t>
      </w:r>
      <w:r>
        <w:t>并非所有气井都同时关闭，而是将产能低或者无开采价值的气井陆续关闭，</w:t>
      </w:r>
      <w:r>
        <w:rPr>
          <w:rFonts w:hint="eastAsia"/>
        </w:rPr>
        <w:t>有价值的可转入开采，勘探期满后</w:t>
      </w:r>
      <w:r>
        <w:t>，一般地下设施保留不动，地面部分如气液分离器、水泥台、废水池、</w:t>
      </w:r>
      <w:r>
        <w:rPr>
          <w:rFonts w:hint="eastAsia"/>
        </w:rPr>
        <w:t>点火方箱</w:t>
      </w:r>
      <w:r>
        <w:t>等都将拆除，评价要求建设单位严格按照土地复垦方案对废弃的井场进行复垦，同时采取完善的</w:t>
      </w:r>
      <w:r>
        <w:rPr>
          <w:rFonts w:hint="eastAsia"/>
        </w:rPr>
        <w:t>封场</w:t>
      </w:r>
      <w:r>
        <w:t>工程措施，避免</w:t>
      </w:r>
      <w:r>
        <w:rPr>
          <w:rFonts w:hint="eastAsia"/>
        </w:rPr>
        <w:t>致密气</w:t>
      </w:r>
      <w:r>
        <w:t>泄漏对环境产生不良影响。</w:t>
      </w:r>
    </w:p>
    <w:p w14:paraId="20C5DF4A">
      <w:pPr>
        <w:pStyle w:val="96"/>
        <w:ind w:firstLine="480"/>
        <w:rPr>
          <w:rFonts w:ascii="Times New Roman" w:hAnsi="Times New Roman"/>
        </w:rPr>
      </w:pPr>
      <w:r>
        <w:t>采取以上措施后，可将生态环境影响降低到最低限度，建设区域的生态环境将随着复垦工作的完成而逐渐改善。</w:t>
      </w:r>
    </w:p>
    <w:p w14:paraId="6213E6E8">
      <w:pPr>
        <w:pStyle w:val="4"/>
      </w:pPr>
      <w:bookmarkStart w:id="164" w:name="_Toc171579832"/>
      <w:r>
        <w:t>生态影响评价自查表</w:t>
      </w:r>
      <w:bookmarkEnd w:id="164"/>
    </w:p>
    <w:p w14:paraId="308E47FF">
      <w:pPr>
        <w:pStyle w:val="96"/>
        <w:ind w:firstLine="480"/>
        <w:rPr>
          <w:rFonts w:cs="Arial"/>
        </w:rPr>
      </w:pPr>
      <w:r>
        <w:rPr>
          <w:rFonts w:hint="eastAsia"/>
        </w:rPr>
        <w:t>生态影响评价自查表见下表。</w:t>
      </w:r>
    </w:p>
    <w:p w14:paraId="5D6CC2D3">
      <w:pPr>
        <w:pStyle w:val="19"/>
        <w:keepNext/>
      </w:pPr>
      <w:r>
        <w:t xml:space="preserve">表 </w:t>
      </w:r>
      <w:r>
        <w:fldChar w:fldCharType="begin"/>
      </w:r>
      <w:r>
        <w:instrText xml:space="preserve"> SEQ 表 \* ARABIC </w:instrText>
      </w:r>
      <w:r>
        <w:fldChar w:fldCharType="separate"/>
      </w:r>
      <w:r>
        <w:t>95</w:t>
      </w:r>
      <w:r>
        <w:fldChar w:fldCharType="end"/>
      </w:r>
      <w:r>
        <w:rPr>
          <w:rFonts w:hint="eastAsia"/>
        </w:rPr>
        <w:t>生态影响评价自查表</w:t>
      </w:r>
    </w:p>
    <w:tbl>
      <w:tblPr>
        <w:tblStyle w:val="72"/>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816"/>
        <w:gridCol w:w="1801"/>
        <w:gridCol w:w="7065"/>
      </w:tblGrid>
      <w:tr w14:paraId="4A0CCAF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850" w:type="pct"/>
            <w:tcBorders>
              <w:top w:val="single" w:color="auto" w:sz="4" w:space="0"/>
              <w:left w:val="single" w:color="auto" w:sz="4" w:space="0"/>
              <w:bottom w:val="single" w:color="auto" w:sz="6" w:space="0"/>
              <w:right w:val="single" w:color="auto" w:sz="6" w:space="0"/>
            </w:tcBorders>
            <w:vAlign w:val="center"/>
          </w:tcPr>
          <w:p w14:paraId="307AF38B">
            <w:pPr>
              <w:pStyle w:val="94"/>
              <w:rPr>
                <w:color w:val="auto"/>
              </w:rPr>
            </w:pPr>
            <w:r>
              <w:rPr>
                <w:rFonts w:hint="eastAsia"/>
                <w:color w:val="auto"/>
              </w:rPr>
              <w:t>工作内容</w:t>
            </w:r>
          </w:p>
        </w:tc>
        <w:tc>
          <w:tcPr>
            <w:tcW w:w="843" w:type="pct"/>
            <w:tcBorders>
              <w:top w:val="single" w:color="auto" w:sz="4" w:space="0"/>
              <w:left w:val="nil"/>
              <w:bottom w:val="single" w:color="auto" w:sz="6" w:space="0"/>
              <w:right w:val="single" w:color="auto" w:sz="6" w:space="0"/>
            </w:tcBorders>
            <w:vAlign w:val="center"/>
          </w:tcPr>
          <w:p w14:paraId="77DDDBA2">
            <w:pPr>
              <w:pStyle w:val="94"/>
              <w:rPr>
                <w:color w:val="auto"/>
              </w:rPr>
            </w:pPr>
            <w:r>
              <w:rPr>
                <w:rFonts w:hint="eastAsia"/>
                <w:color w:val="auto"/>
              </w:rPr>
              <w:t>自查项目</w:t>
            </w:r>
          </w:p>
        </w:tc>
        <w:tc>
          <w:tcPr>
            <w:tcW w:w="3307" w:type="pct"/>
            <w:tcBorders>
              <w:top w:val="single" w:color="auto" w:sz="4" w:space="0"/>
              <w:left w:val="nil"/>
              <w:bottom w:val="single" w:color="auto" w:sz="6" w:space="0"/>
              <w:right w:val="single" w:color="auto" w:sz="4" w:space="0"/>
            </w:tcBorders>
            <w:vAlign w:val="center"/>
          </w:tcPr>
          <w:p w14:paraId="153FC247">
            <w:pPr>
              <w:pStyle w:val="94"/>
              <w:rPr>
                <w:color w:val="auto"/>
              </w:rPr>
            </w:pPr>
            <w:r>
              <w:rPr>
                <w:rFonts w:hint="eastAsia"/>
                <w:color w:val="auto"/>
              </w:rPr>
              <w:t>自查项目</w:t>
            </w:r>
          </w:p>
        </w:tc>
      </w:tr>
      <w:tr w14:paraId="5357400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850" w:type="pct"/>
            <w:vMerge w:val="restart"/>
            <w:tcBorders>
              <w:top w:val="nil"/>
              <w:left w:val="single" w:color="auto" w:sz="4" w:space="0"/>
              <w:bottom w:val="single" w:color="auto" w:sz="6" w:space="0"/>
              <w:right w:val="single" w:color="auto" w:sz="6" w:space="0"/>
            </w:tcBorders>
            <w:vAlign w:val="center"/>
          </w:tcPr>
          <w:p w14:paraId="67D3A099">
            <w:pPr>
              <w:pStyle w:val="94"/>
              <w:rPr>
                <w:color w:val="auto"/>
              </w:rPr>
            </w:pPr>
            <w:r>
              <w:rPr>
                <w:rFonts w:hint="eastAsia"/>
                <w:color w:val="auto"/>
              </w:rPr>
              <w:t>生态影响识别</w:t>
            </w:r>
          </w:p>
        </w:tc>
        <w:tc>
          <w:tcPr>
            <w:tcW w:w="843" w:type="pct"/>
            <w:tcBorders>
              <w:top w:val="single" w:color="auto" w:sz="6" w:space="0"/>
              <w:left w:val="nil"/>
              <w:bottom w:val="single" w:color="auto" w:sz="6" w:space="0"/>
              <w:right w:val="single" w:color="auto" w:sz="6" w:space="0"/>
            </w:tcBorders>
            <w:vAlign w:val="center"/>
          </w:tcPr>
          <w:p w14:paraId="3CC50E3C">
            <w:pPr>
              <w:pStyle w:val="94"/>
              <w:rPr>
                <w:color w:val="auto"/>
              </w:rPr>
            </w:pPr>
            <w:r>
              <w:rPr>
                <w:rFonts w:hint="eastAsia"/>
                <w:color w:val="auto"/>
              </w:rPr>
              <w:t>生态保护目标</w:t>
            </w:r>
          </w:p>
        </w:tc>
        <w:tc>
          <w:tcPr>
            <w:tcW w:w="3307" w:type="pct"/>
            <w:tcBorders>
              <w:top w:val="single" w:color="auto" w:sz="6" w:space="0"/>
              <w:left w:val="nil"/>
              <w:bottom w:val="single" w:color="auto" w:sz="6" w:space="0"/>
              <w:right w:val="single" w:color="auto" w:sz="4" w:space="0"/>
            </w:tcBorders>
            <w:vAlign w:val="center"/>
          </w:tcPr>
          <w:p w14:paraId="6EBFE8EA">
            <w:pPr>
              <w:pStyle w:val="94"/>
              <w:rPr>
                <w:color w:val="auto"/>
              </w:rPr>
            </w:pPr>
            <w:r>
              <w:rPr>
                <w:rFonts w:hint="eastAsia"/>
                <w:color w:val="auto"/>
              </w:rPr>
              <w:t>重要物种□；国家公园□；自然保护区□；自然公园□；世界自然遗产□；生态保护红线□；重要生境□；其他具有重要生态功能、对保护生物多样性具有重要意义的区域□；其他</w:t>
            </w:r>
            <w:r>
              <w:rPr>
                <w:rFonts w:ascii="Segoe UI Symbol" w:hAnsi="Segoe UI Symbol"/>
                <w:color w:val="auto"/>
              </w:rPr>
              <w:t>☑</w:t>
            </w:r>
          </w:p>
        </w:tc>
      </w:tr>
      <w:tr w14:paraId="717A820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850" w:type="pct"/>
            <w:vMerge w:val="continue"/>
            <w:tcBorders>
              <w:top w:val="nil"/>
              <w:left w:val="single" w:color="auto" w:sz="4" w:space="0"/>
              <w:bottom w:val="single" w:color="auto" w:sz="6" w:space="0"/>
              <w:right w:val="single" w:color="auto" w:sz="6" w:space="0"/>
            </w:tcBorders>
            <w:vAlign w:val="center"/>
          </w:tcPr>
          <w:p w14:paraId="554069D1">
            <w:pPr>
              <w:pStyle w:val="94"/>
              <w:rPr>
                <w:color w:val="auto"/>
              </w:rPr>
            </w:pPr>
          </w:p>
        </w:tc>
        <w:tc>
          <w:tcPr>
            <w:tcW w:w="843" w:type="pct"/>
            <w:tcBorders>
              <w:top w:val="single" w:color="auto" w:sz="6" w:space="0"/>
              <w:left w:val="nil"/>
              <w:bottom w:val="single" w:color="auto" w:sz="6" w:space="0"/>
              <w:right w:val="single" w:color="auto" w:sz="6" w:space="0"/>
            </w:tcBorders>
            <w:vAlign w:val="center"/>
          </w:tcPr>
          <w:p w14:paraId="23285AE2">
            <w:pPr>
              <w:pStyle w:val="94"/>
              <w:rPr>
                <w:color w:val="auto"/>
              </w:rPr>
            </w:pPr>
            <w:r>
              <w:rPr>
                <w:rFonts w:hint="eastAsia"/>
                <w:color w:val="auto"/>
              </w:rPr>
              <w:t>影响方式</w:t>
            </w:r>
          </w:p>
        </w:tc>
        <w:tc>
          <w:tcPr>
            <w:tcW w:w="3307" w:type="pct"/>
            <w:tcBorders>
              <w:top w:val="single" w:color="auto" w:sz="6" w:space="0"/>
              <w:left w:val="nil"/>
              <w:bottom w:val="single" w:color="auto" w:sz="6" w:space="0"/>
              <w:right w:val="single" w:color="auto" w:sz="4" w:space="0"/>
            </w:tcBorders>
            <w:vAlign w:val="center"/>
          </w:tcPr>
          <w:p w14:paraId="5E334F6A">
            <w:pPr>
              <w:pStyle w:val="94"/>
              <w:rPr>
                <w:color w:val="auto"/>
              </w:rPr>
            </w:pPr>
            <w:r>
              <w:rPr>
                <w:rFonts w:hint="eastAsia"/>
                <w:color w:val="auto"/>
              </w:rPr>
              <w:t>工程占用</w:t>
            </w:r>
            <w:r>
              <w:rPr>
                <w:rFonts w:ascii="Segoe UI Symbol" w:hAnsi="Segoe UI Symbol"/>
                <w:color w:val="auto"/>
              </w:rPr>
              <w:t>☑</w:t>
            </w:r>
            <w:r>
              <w:rPr>
                <w:rFonts w:hint="eastAsia"/>
                <w:color w:val="auto"/>
              </w:rPr>
              <w:t>；施工活动干扰</w:t>
            </w:r>
            <w:r>
              <w:rPr>
                <w:rFonts w:ascii="Segoe UI Symbol" w:hAnsi="Segoe UI Symbol"/>
                <w:color w:val="auto"/>
              </w:rPr>
              <w:t>☑</w:t>
            </w:r>
            <w:r>
              <w:rPr>
                <w:rFonts w:hint="eastAsia"/>
                <w:color w:val="auto"/>
              </w:rPr>
              <w:t>；改变环境条件</w:t>
            </w:r>
            <w:r>
              <w:rPr>
                <w:rFonts w:ascii="Segoe UI Symbol" w:hAnsi="Segoe UI Symbol"/>
                <w:color w:val="auto"/>
              </w:rPr>
              <w:t>☑</w:t>
            </w:r>
            <w:r>
              <w:rPr>
                <w:rFonts w:hint="eastAsia"/>
                <w:color w:val="auto"/>
              </w:rPr>
              <w:t>；其他□</w:t>
            </w:r>
          </w:p>
        </w:tc>
      </w:tr>
      <w:tr w14:paraId="297D3B7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850" w:type="pct"/>
            <w:vMerge w:val="continue"/>
            <w:tcBorders>
              <w:top w:val="nil"/>
              <w:left w:val="single" w:color="auto" w:sz="4" w:space="0"/>
              <w:bottom w:val="single" w:color="auto" w:sz="6" w:space="0"/>
              <w:right w:val="single" w:color="auto" w:sz="6" w:space="0"/>
            </w:tcBorders>
            <w:vAlign w:val="center"/>
          </w:tcPr>
          <w:p w14:paraId="03DA3ACE">
            <w:pPr>
              <w:pStyle w:val="94"/>
              <w:rPr>
                <w:color w:val="auto"/>
              </w:rPr>
            </w:pPr>
          </w:p>
        </w:tc>
        <w:tc>
          <w:tcPr>
            <w:tcW w:w="843" w:type="pct"/>
            <w:tcBorders>
              <w:top w:val="single" w:color="auto" w:sz="6" w:space="0"/>
              <w:left w:val="nil"/>
              <w:bottom w:val="single" w:color="auto" w:sz="6" w:space="0"/>
              <w:right w:val="single" w:color="auto" w:sz="6" w:space="0"/>
            </w:tcBorders>
            <w:vAlign w:val="center"/>
          </w:tcPr>
          <w:p w14:paraId="660EAD9A">
            <w:pPr>
              <w:pStyle w:val="94"/>
              <w:rPr>
                <w:color w:val="auto"/>
              </w:rPr>
            </w:pPr>
            <w:r>
              <w:rPr>
                <w:rFonts w:hint="eastAsia"/>
                <w:color w:val="auto"/>
              </w:rPr>
              <w:t>评价因子</w:t>
            </w:r>
          </w:p>
        </w:tc>
        <w:tc>
          <w:tcPr>
            <w:tcW w:w="3307" w:type="pct"/>
            <w:tcBorders>
              <w:top w:val="single" w:color="auto" w:sz="6" w:space="0"/>
              <w:left w:val="nil"/>
              <w:bottom w:val="single" w:color="auto" w:sz="6" w:space="0"/>
              <w:right w:val="single" w:color="auto" w:sz="4" w:space="0"/>
            </w:tcBorders>
            <w:vAlign w:val="center"/>
          </w:tcPr>
          <w:p w14:paraId="5C26D2B2">
            <w:pPr>
              <w:pStyle w:val="94"/>
              <w:rPr>
                <w:color w:val="auto"/>
              </w:rPr>
            </w:pPr>
            <w:r>
              <w:rPr>
                <w:rFonts w:hint="eastAsia"/>
                <w:color w:val="auto"/>
              </w:rPr>
              <w:t>物种</w:t>
            </w:r>
            <w:r>
              <w:rPr>
                <w:rFonts w:ascii="Segoe UI Symbol" w:hAnsi="Segoe UI Symbol"/>
                <w:color w:val="auto"/>
              </w:rPr>
              <w:t>☑</w:t>
            </w:r>
            <w:r>
              <w:rPr>
                <w:rFonts w:hint="eastAsia"/>
                <w:color w:val="auto"/>
              </w:rPr>
              <w:t>（占地范围内植被分布范围、种群数量、种群结构、行为等）</w:t>
            </w:r>
          </w:p>
          <w:p w14:paraId="586DEA21">
            <w:pPr>
              <w:pStyle w:val="94"/>
              <w:rPr>
                <w:color w:val="auto"/>
              </w:rPr>
            </w:pPr>
            <w:r>
              <w:rPr>
                <w:rFonts w:hint="eastAsia"/>
                <w:color w:val="auto"/>
              </w:rPr>
              <w:t>生境</w:t>
            </w:r>
            <w:r>
              <w:rPr>
                <w:rFonts w:ascii="Segoe UI Symbol" w:hAnsi="Segoe UI Symbol"/>
                <w:color w:val="auto"/>
              </w:rPr>
              <w:t>☑</w:t>
            </w:r>
            <w:r>
              <w:rPr>
                <w:rFonts w:hint="eastAsia"/>
                <w:color w:val="auto"/>
              </w:rPr>
              <w:t>（占地范围内野生动物生境面积、质量、连通性等，）</w:t>
            </w:r>
          </w:p>
          <w:p w14:paraId="0BBBCA4F">
            <w:pPr>
              <w:pStyle w:val="94"/>
              <w:rPr>
                <w:color w:val="auto"/>
              </w:rPr>
            </w:pPr>
            <w:r>
              <w:rPr>
                <w:rFonts w:hint="eastAsia"/>
                <w:color w:val="auto"/>
              </w:rPr>
              <w:t>生物群落</w:t>
            </w:r>
            <w:r>
              <w:rPr>
                <w:rFonts w:ascii="Segoe UI Symbol" w:hAnsi="Segoe UI Symbol"/>
                <w:color w:val="auto"/>
              </w:rPr>
              <w:t>☑</w:t>
            </w:r>
            <w:r>
              <w:rPr>
                <w:rFonts w:hint="eastAsia"/>
                <w:color w:val="auto"/>
              </w:rPr>
              <w:t>（占地范围内物种组成、群落结构等）</w:t>
            </w:r>
          </w:p>
          <w:p w14:paraId="3E4CF5C4">
            <w:pPr>
              <w:pStyle w:val="94"/>
              <w:rPr>
                <w:color w:val="auto"/>
              </w:rPr>
            </w:pPr>
            <w:r>
              <w:rPr>
                <w:rFonts w:hint="eastAsia"/>
                <w:color w:val="auto"/>
              </w:rPr>
              <w:t>生态系统</w:t>
            </w:r>
            <w:r>
              <w:rPr>
                <w:rFonts w:ascii="Segoe UI Symbol" w:hAnsi="Segoe UI Symbol"/>
                <w:color w:val="auto"/>
              </w:rPr>
              <w:t>☑</w:t>
            </w:r>
            <w:r>
              <w:rPr>
                <w:rFonts w:hint="eastAsia"/>
                <w:color w:val="auto"/>
              </w:rPr>
              <w:t xml:space="preserve">（占地范围内植被覆盖度、生产力、生物量、生态系统功能等） </w:t>
            </w:r>
          </w:p>
        </w:tc>
      </w:tr>
      <w:tr w14:paraId="14B2E9A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1693" w:type="pct"/>
            <w:gridSpan w:val="2"/>
            <w:tcBorders>
              <w:top w:val="single" w:color="auto" w:sz="6" w:space="0"/>
              <w:left w:val="single" w:color="auto" w:sz="4" w:space="0"/>
              <w:bottom w:val="single" w:color="auto" w:sz="6" w:space="0"/>
              <w:right w:val="single" w:color="auto" w:sz="6" w:space="0"/>
            </w:tcBorders>
            <w:vAlign w:val="center"/>
          </w:tcPr>
          <w:p w14:paraId="445F2736">
            <w:pPr>
              <w:pStyle w:val="94"/>
              <w:rPr>
                <w:color w:val="auto"/>
              </w:rPr>
            </w:pPr>
            <w:r>
              <w:rPr>
                <w:rFonts w:hint="eastAsia"/>
                <w:color w:val="auto"/>
              </w:rPr>
              <w:t>评价等级</w:t>
            </w:r>
          </w:p>
        </w:tc>
        <w:tc>
          <w:tcPr>
            <w:tcW w:w="3307" w:type="pct"/>
            <w:tcBorders>
              <w:top w:val="single" w:color="auto" w:sz="6" w:space="0"/>
              <w:left w:val="nil"/>
              <w:bottom w:val="single" w:color="auto" w:sz="6" w:space="0"/>
              <w:right w:val="single" w:color="auto" w:sz="4" w:space="0"/>
            </w:tcBorders>
            <w:vAlign w:val="center"/>
          </w:tcPr>
          <w:p w14:paraId="11701A70">
            <w:pPr>
              <w:pStyle w:val="94"/>
              <w:rPr>
                <w:color w:val="auto"/>
              </w:rPr>
            </w:pPr>
            <w:r>
              <w:rPr>
                <w:rFonts w:hint="eastAsia"/>
                <w:color w:val="auto"/>
              </w:rPr>
              <w:t>一级□  二级</w:t>
            </w:r>
            <w:r>
              <w:rPr>
                <w:rFonts w:ascii="Segoe UI Symbol" w:hAnsi="Segoe UI Symbol"/>
                <w:color w:val="auto"/>
              </w:rPr>
              <w:t>☑</w:t>
            </w:r>
            <w:r>
              <w:rPr>
                <w:rFonts w:hint="eastAsia"/>
                <w:color w:val="auto"/>
              </w:rPr>
              <w:t xml:space="preserve">   三级□ 生态影响简单分析□ </w:t>
            </w:r>
          </w:p>
        </w:tc>
      </w:tr>
      <w:tr w14:paraId="0677E64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1693" w:type="pct"/>
            <w:gridSpan w:val="2"/>
            <w:tcBorders>
              <w:top w:val="single" w:color="auto" w:sz="6" w:space="0"/>
              <w:left w:val="single" w:color="auto" w:sz="4" w:space="0"/>
              <w:bottom w:val="single" w:color="auto" w:sz="6" w:space="0"/>
              <w:right w:val="single" w:color="auto" w:sz="6" w:space="0"/>
            </w:tcBorders>
            <w:vAlign w:val="center"/>
          </w:tcPr>
          <w:p w14:paraId="2EBB1AB1">
            <w:pPr>
              <w:pStyle w:val="94"/>
              <w:rPr>
                <w:color w:val="auto"/>
              </w:rPr>
            </w:pPr>
            <w:r>
              <w:rPr>
                <w:rFonts w:hint="eastAsia"/>
                <w:color w:val="auto"/>
              </w:rPr>
              <w:t>评价范围</w:t>
            </w:r>
          </w:p>
        </w:tc>
        <w:tc>
          <w:tcPr>
            <w:tcW w:w="3307" w:type="pct"/>
            <w:tcBorders>
              <w:top w:val="single" w:color="auto" w:sz="6" w:space="0"/>
              <w:left w:val="nil"/>
              <w:bottom w:val="single" w:color="auto" w:sz="6" w:space="0"/>
              <w:right w:val="single" w:color="auto" w:sz="4" w:space="0"/>
            </w:tcBorders>
            <w:vAlign w:val="center"/>
          </w:tcPr>
          <w:p w14:paraId="5AFBBC69">
            <w:pPr>
              <w:pStyle w:val="94"/>
              <w:rPr>
                <w:color w:val="auto"/>
              </w:rPr>
            </w:pPr>
            <w:r>
              <w:rPr>
                <w:rFonts w:hint="eastAsia"/>
                <w:color w:val="auto"/>
              </w:rPr>
              <w:t>陆域面积：（5.2549）km</w:t>
            </w:r>
            <w:r>
              <w:rPr>
                <w:rFonts w:hint="eastAsia"/>
                <w:color w:val="auto"/>
                <w:vertAlign w:val="superscript"/>
              </w:rPr>
              <w:t>2</w:t>
            </w:r>
            <w:r>
              <w:rPr>
                <w:rFonts w:hint="eastAsia"/>
                <w:color w:val="auto"/>
              </w:rPr>
              <w:t>；水域面积：（     ）km</w:t>
            </w:r>
            <w:r>
              <w:rPr>
                <w:rFonts w:hint="eastAsia"/>
                <w:color w:val="auto"/>
                <w:vertAlign w:val="superscript"/>
              </w:rPr>
              <w:t>2</w:t>
            </w:r>
            <w:r>
              <w:rPr>
                <w:rFonts w:hint="eastAsia"/>
                <w:color w:val="auto"/>
              </w:rPr>
              <w:t xml:space="preserve"> </w:t>
            </w:r>
          </w:p>
        </w:tc>
      </w:tr>
      <w:tr w14:paraId="7B70257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850" w:type="pct"/>
            <w:vMerge w:val="restart"/>
            <w:tcBorders>
              <w:top w:val="nil"/>
              <w:left w:val="single" w:color="auto" w:sz="4" w:space="0"/>
              <w:bottom w:val="single" w:color="auto" w:sz="6" w:space="0"/>
              <w:right w:val="single" w:color="auto" w:sz="6" w:space="0"/>
            </w:tcBorders>
            <w:vAlign w:val="center"/>
          </w:tcPr>
          <w:p w14:paraId="40C92AD9">
            <w:pPr>
              <w:pStyle w:val="94"/>
              <w:rPr>
                <w:color w:val="auto"/>
              </w:rPr>
            </w:pPr>
            <w:r>
              <w:rPr>
                <w:rFonts w:hint="eastAsia"/>
                <w:color w:val="auto"/>
              </w:rPr>
              <w:t>生态现状调查与评价</w:t>
            </w:r>
          </w:p>
        </w:tc>
        <w:tc>
          <w:tcPr>
            <w:tcW w:w="843" w:type="pct"/>
            <w:tcBorders>
              <w:top w:val="single" w:color="auto" w:sz="6" w:space="0"/>
              <w:left w:val="nil"/>
              <w:bottom w:val="single" w:color="auto" w:sz="6" w:space="0"/>
              <w:right w:val="single" w:color="auto" w:sz="6" w:space="0"/>
            </w:tcBorders>
            <w:vAlign w:val="center"/>
          </w:tcPr>
          <w:p w14:paraId="007D9B81">
            <w:pPr>
              <w:pStyle w:val="94"/>
              <w:rPr>
                <w:color w:val="auto"/>
              </w:rPr>
            </w:pPr>
            <w:r>
              <w:rPr>
                <w:rFonts w:hint="eastAsia"/>
                <w:color w:val="auto"/>
              </w:rPr>
              <w:t>调查方法</w:t>
            </w:r>
          </w:p>
        </w:tc>
        <w:tc>
          <w:tcPr>
            <w:tcW w:w="3307" w:type="pct"/>
            <w:tcBorders>
              <w:top w:val="single" w:color="auto" w:sz="6" w:space="0"/>
              <w:left w:val="nil"/>
              <w:bottom w:val="single" w:color="auto" w:sz="6" w:space="0"/>
              <w:right w:val="single" w:color="auto" w:sz="4" w:space="0"/>
            </w:tcBorders>
            <w:vAlign w:val="center"/>
          </w:tcPr>
          <w:p w14:paraId="6DC36114">
            <w:pPr>
              <w:pStyle w:val="94"/>
              <w:rPr>
                <w:color w:val="auto"/>
              </w:rPr>
            </w:pPr>
            <w:r>
              <w:rPr>
                <w:rFonts w:hint="eastAsia"/>
                <w:color w:val="auto"/>
              </w:rPr>
              <w:t>资料收集</w:t>
            </w:r>
            <w:r>
              <w:rPr>
                <w:rFonts w:ascii="Segoe UI Symbol" w:hAnsi="Segoe UI Symbol"/>
                <w:color w:val="auto"/>
              </w:rPr>
              <w:t>☑</w:t>
            </w:r>
            <w:r>
              <w:rPr>
                <w:rFonts w:hint="eastAsia"/>
                <w:color w:val="auto"/>
              </w:rPr>
              <w:t>；遥感调查</w:t>
            </w:r>
            <w:r>
              <w:rPr>
                <w:rFonts w:ascii="Segoe UI Symbol" w:hAnsi="Segoe UI Symbol"/>
                <w:color w:val="auto"/>
              </w:rPr>
              <w:t>☑</w:t>
            </w:r>
            <w:r>
              <w:rPr>
                <w:rFonts w:hint="eastAsia"/>
                <w:color w:val="auto"/>
              </w:rPr>
              <w:t>；调查样方、样线</w:t>
            </w:r>
            <w:r>
              <w:rPr>
                <w:rFonts w:ascii="Segoe UI Symbol" w:hAnsi="Segoe UI Symbol"/>
                <w:color w:val="auto"/>
              </w:rPr>
              <w:t>☑</w:t>
            </w:r>
            <w:r>
              <w:rPr>
                <w:rFonts w:hint="eastAsia"/>
                <w:color w:val="auto"/>
              </w:rPr>
              <w:t>；调查点位、断面□；专家和公众咨询法</w:t>
            </w:r>
            <w:r>
              <w:rPr>
                <w:rFonts w:ascii="Segoe UI Symbol" w:hAnsi="Segoe UI Symbol"/>
                <w:color w:val="auto"/>
              </w:rPr>
              <w:t>☑</w:t>
            </w:r>
            <w:r>
              <w:rPr>
                <w:rFonts w:hint="eastAsia"/>
                <w:color w:val="auto"/>
              </w:rPr>
              <w:t xml:space="preserve">；其他□ </w:t>
            </w:r>
          </w:p>
        </w:tc>
      </w:tr>
      <w:tr w14:paraId="1196578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850" w:type="pct"/>
            <w:vMerge w:val="continue"/>
            <w:tcBorders>
              <w:top w:val="nil"/>
              <w:left w:val="single" w:color="auto" w:sz="4" w:space="0"/>
              <w:bottom w:val="single" w:color="auto" w:sz="6" w:space="0"/>
              <w:right w:val="single" w:color="auto" w:sz="6" w:space="0"/>
            </w:tcBorders>
            <w:vAlign w:val="center"/>
          </w:tcPr>
          <w:p w14:paraId="185A2C83">
            <w:pPr>
              <w:pStyle w:val="94"/>
              <w:rPr>
                <w:color w:val="auto"/>
              </w:rPr>
            </w:pPr>
          </w:p>
        </w:tc>
        <w:tc>
          <w:tcPr>
            <w:tcW w:w="843" w:type="pct"/>
            <w:tcBorders>
              <w:top w:val="single" w:color="auto" w:sz="6" w:space="0"/>
              <w:left w:val="nil"/>
              <w:bottom w:val="single" w:color="auto" w:sz="6" w:space="0"/>
              <w:right w:val="single" w:color="auto" w:sz="6" w:space="0"/>
            </w:tcBorders>
            <w:vAlign w:val="center"/>
          </w:tcPr>
          <w:p w14:paraId="566A4ED1">
            <w:pPr>
              <w:pStyle w:val="94"/>
              <w:rPr>
                <w:color w:val="auto"/>
              </w:rPr>
            </w:pPr>
            <w:r>
              <w:rPr>
                <w:rFonts w:hint="eastAsia"/>
                <w:color w:val="auto"/>
              </w:rPr>
              <w:t>调查时间</w:t>
            </w:r>
          </w:p>
        </w:tc>
        <w:tc>
          <w:tcPr>
            <w:tcW w:w="3307" w:type="pct"/>
            <w:tcBorders>
              <w:top w:val="single" w:color="auto" w:sz="6" w:space="0"/>
              <w:left w:val="nil"/>
              <w:bottom w:val="single" w:color="auto" w:sz="6" w:space="0"/>
              <w:right w:val="single" w:color="auto" w:sz="4" w:space="0"/>
            </w:tcBorders>
            <w:vAlign w:val="center"/>
          </w:tcPr>
          <w:p w14:paraId="475E8EBA">
            <w:pPr>
              <w:pStyle w:val="94"/>
              <w:rPr>
                <w:color w:val="auto"/>
              </w:rPr>
            </w:pPr>
            <w:r>
              <w:rPr>
                <w:rFonts w:hint="eastAsia"/>
                <w:color w:val="auto"/>
              </w:rPr>
              <w:t>春季□；夏季□；秋季</w:t>
            </w:r>
            <w:r>
              <w:rPr>
                <w:rFonts w:ascii="Segoe UI Symbol" w:hAnsi="Segoe UI Symbol"/>
                <w:color w:val="auto"/>
              </w:rPr>
              <w:t>☑</w:t>
            </w:r>
            <w:r>
              <w:rPr>
                <w:rFonts w:hint="eastAsia"/>
                <w:color w:val="auto"/>
              </w:rPr>
              <w:t>；冬季□ 丰水期□；枯水期□；平水期</w:t>
            </w:r>
            <w:r>
              <w:rPr>
                <w:rFonts w:ascii="Segoe UI Symbol" w:hAnsi="Segoe UI Symbol"/>
                <w:color w:val="auto"/>
              </w:rPr>
              <w:t>☑</w:t>
            </w:r>
            <w:r>
              <w:rPr>
                <w:rFonts w:hint="eastAsia"/>
                <w:color w:val="auto"/>
              </w:rPr>
              <w:t xml:space="preserve"> </w:t>
            </w:r>
          </w:p>
        </w:tc>
      </w:tr>
      <w:tr w14:paraId="3B793E4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850" w:type="pct"/>
            <w:vMerge w:val="continue"/>
            <w:tcBorders>
              <w:top w:val="nil"/>
              <w:left w:val="single" w:color="auto" w:sz="4" w:space="0"/>
              <w:bottom w:val="single" w:color="auto" w:sz="6" w:space="0"/>
              <w:right w:val="single" w:color="auto" w:sz="6" w:space="0"/>
            </w:tcBorders>
            <w:vAlign w:val="center"/>
          </w:tcPr>
          <w:p w14:paraId="4FA7B2D9">
            <w:pPr>
              <w:pStyle w:val="94"/>
              <w:rPr>
                <w:color w:val="auto"/>
              </w:rPr>
            </w:pPr>
          </w:p>
        </w:tc>
        <w:tc>
          <w:tcPr>
            <w:tcW w:w="843" w:type="pct"/>
            <w:tcBorders>
              <w:top w:val="single" w:color="auto" w:sz="6" w:space="0"/>
              <w:left w:val="nil"/>
              <w:bottom w:val="single" w:color="auto" w:sz="6" w:space="0"/>
              <w:right w:val="single" w:color="auto" w:sz="6" w:space="0"/>
            </w:tcBorders>
            <w:vAlign w:val="center"/>
          </w:tcPr>
          <w:p w14:paraId="6F851781">
            <w:pPr>
              <w:pStyle w:val="94"/>
              <w:rPr>
                <w:color w:val="auto"/>
              </w:rPr>
            </w:pPr>
            <w:r>
              <w:rPr>
                <w:rFonts w:hint="eastAsia"/>
                <w:color w:val="auto"/>
              </w:rPr>
              <w:t xml:space="preserve">所在区域的 生态问题 </w:t>
            </w:r>
          </w:p>
        </w:tc>
        <w:tc>
          <w:tcPr>
            <w:tcW w:w="3307" w:type="pct"/>
            <w:tcBorders>
              <w:top w:val="single" w:color="auto" w:sz="6" w:space="0"/>
              <w:left w:val="nil"/>
              <w:bottom w:val="single" w:color="auto" w:sz="6" w:space="0"/>
              <w:right w:val="single" w:color="auto" w:sz="4" w:space="0"/>
            </w:tcBorders>
            <w:vAlign w:val="center"/>
          </w:tcPr>
          <w:p w14:paraId="5FE3A68C">
            <w:pPr>
              <w:pStyle w:val="94"/>
              <w:rPr>
                <w:color w:val="auto"/>
              </w:rPr>
            </w:pPr>
            <w:r>
              <w:rPr>
                <w:rFonts w:hint="eastAsia"/>
                <w:color w:val="auto"/>
              </w:rPr>
              <w:t>水土流失</w:t>
            </w:r>
            <w:r>
              <w:rPr>
                <w:rFonts w:ascii="Segoe UI Symbol" w:hAnsi="Segoe UI Symbol"/>
                <w:color w:val="auto"/>
              </w:rPr>
              <w:t>☑</w:t>
            </w:r>
            <w:r>
              <w:rPr>
                <w:rFonts w:hint="eastAsia"/>
                <w:color w:val="auto"/>
              </w:rPr>
              <w:t>；沙漠化□；石漠化□；盐渍化□；生物入侵□；污染危害□；其他</w:t>
            </w:r>
            <w:r>
              <w:rPr>
                <w:rFonts w:ascii="Segoe UI Symbol" w:hAnsi="Segoe UI Symbol"/>
                <w:color w:val="auto"/>
              </w:rPr>
              <w:t>☑</w:t>
            </w:r>
            <w:r>
              <w:rPr>
                <w:rFonts w:hint="eastAsia"/>
                <w:color w:val="auto"/>
              </w:rPr>
              <w:t xml:space="preserve"> </w:t>
            </w:r>
          </w:p>
        </w:tc>
      </w:tr>
      <w:tr w14:paraId="6A453F9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850" w:type="pct"/>
            <w:vMerge w:val="continue"/>
            <w:tcBorders>
              <w:top w:val="nil"/>
              <w:left w:val="single" w:color="auto" w:sz="4" w:space="0"/>
              <w:bottom w:val="single" w:color="auto" w:sz="6" w:space="0"/>
              <w:right w:val="single" w:color="auto" w:sz="6" w:space="0"/>
            </w:tcBorders>
            <w:vAlign w:val="center"/>
          </w:tcPr>
          <w:p w14:paraId="3556CF1C">
            <w:pPr>
              <w:pStyle w:val="94"/>
              <w:rPr>
                <w:color w:val="auto"/>
              </w:rPr>
            </w:pPr>
          </w:p>
        </w:tc>
        <w:tc>
          <w:tcPr>
            <w:tcW w:w="843" w:type="pct"/>
            <w:tcBorders>
              <w:top w:val="single" w:color="auto" w:sz="6" w:space="0"/>
              <w:left w:val="nil"/>
              <w:bottom w:val="single" w:color="auto" w:sz="6" w:space="0"/>
              <w:right w:val="single" w:color="auto" w:sz="6" w:space="0"/>
            </w:tcBorders>
            <w:vAlign w:val="center"/>
          </w:tcPr>
          <w:p w14:paraId="5E542A2E">
            <w:pPr>
              <w:pStyle w:val="94"/>
              <w:rPr>
                <w:color w:val="auto"/>
              </w:rPr>
            </w:pPr>
            <w:r>
              <w:rPr>
                <w:rFonts w:hint="eastAsia"/>
                <w:color w:val="auto"/>
              </w:rPr>
              <w:t xml:space="preserve">评价内容 </w:t>
            </w:r>
          </w:p>
        </w:tc>
        <w:tc>
          <w:tcPr>
            <w:tcW w:w="3307" w:type="pct"/>
            <w:tcBorders>
              <w:top w:val="single" w:color="auto" w:sz="6" w:space="0"/>
              <w:left w:val="nil"/>
              <w:bottom w:val="single" w:color="auto" w:sz="6" w:space="0"/>
              <w:right w:val="single" w:color="auto" w:sz="4" w:space="0"/>
            </w:tcBorders>
            <w:vAlign w:val="center"/>
          </w:tcPr>
          <w:p w14:paraId="5DE30BB6">
            <w:pPr>
              <w:pStyle w:val="94"/>
              <w:rPr>
                <w:color w:val="auto"/>
              </w:rPr>
            </w:pPr>
            <w:r>
              <w:rPr>
                <w:rFonts w:hint="eastAsia"/>
                <w:color w:val="auto"/>
              </w:rPr>
              <w:t>植被/植物群落</w:t>
            </w:r>
            <w:r>
              <w:rPr>
                <w:rFonts w:ascii="Segoe UI Symbol" w:hAnsi="Segoe UI Symbol"/>
                <w:color w:val="auto"/>
              </w:rPr>
              <w:t>☑</w:t>
            </w:r>
            <w:r>
              <w:rPr>
                <w:rFonts w:hint="eastAsia"/>
                <w:color w:val="auto"/>
              </w:rPr>
              <w:t>；土地利用</w:t>
            </w:r>
            <w:r>
              <w:rPr>
                <w:rFonts w:ascii="Segoe UI Symbol" w:hAnsi="Segoe UI Symbol"/>
                <w:color w:val="auto"/>
              </w:rPr>
              <w:t>☑</w:t>
            </w:r>
            <w:r>
              <w:rPr>
                <w:rFonts w:hint="eastAsia"/>
                <w:color w:val="auto"/>
              </w:rPr>
              <w:t>；生态系统</w:t>
            </w:r>
            <w:r>
              <w:rPr>
                <w:rFonts w:ascii="Segoe UI Symbol" w:hAnsi="Segoe UI Symbol"/>
                <w:color w:val="auto"/>
              </w:rPr>
              <w:t>☑</w:t>
            </w:r>
            <w:r>
              <w:rPr>
                <w:rFonts w:hint="eastAsia"/>
                <w:color w:val="auto"/>
              </w:rPr>
              <w:t>；生物多样性</w:t>
            </w:r>
            <w:r>
              <w:rPr>
                <w:rFonts w:ascii="Segoe UI Symbol" w:hAnsi="Segoe UI Symbol"/>
                <w:color w:val="auto"/>
              </w:rPr>
              <w:t>☑</w:t>
            </w:r>
            <w:r>
              <w:rPr>
                <w:rFonts w:hint="eastAsia"/>
                <w:color w:val="auto"/>
              </w:rPr>
              <w:t>；重要物种□；生态敏感区□；其他</w:t>
            </w:r>
            <w:r>
              <w:rPr>
                <w:rFonts w:ascii="Segoe UI Symbol" w:hAnsi="Segoe UI Symbol"/>
                <w:color w:val="auto"/>
              </w:rPr>
              <w:t>☑</w:t>
            </w:r>
            <w:r>
              <w:rPr>
                <w:rFonts w:hint="eastAsia"/>
                <w:color w:val="auto"/>
              </w:rPr>
              <w:t xml:space="preserve"> </w:t>
            </w:r>
          </w:p>
        </w:tc>
      </w:tr>
      <w:tr w14:paraId="4D48D48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850" w:type="pct"/>
            <w:vMerge w:val="restart"/>
            <w:tcBorders>
              <w:top w:val="nil"/>
              <w:left w:val="single" w:color="auto" w:sz="4" w:space="0"/>
              <w:bottom w:val="single" w:color="auto" w:sz="6" w:space="0"/>
              <w:right w:val="single" w:color="auto" w:sz="6" w:space="0"/>
            </w:tcBorders>
            <w:vAlign w:val="center"/>
          </w:tcPr>
          <w:p w14:paraId="7DA6B649">
            <w:pPr>
              <w:pStyle w:val="94"/>
              <w:rPr>
                <w:color w:val="auto"/>
              </w:rPr>
            </w:pPr>
            <w:r>
              <w:rPr>
                <w:rFonts w:hint="eastAsia"/>
                <w:color w:val="auto"/>
              </w:rPr>
              <w:t>生态影响预测与评价</w:t>
            </w:r>
          </w:p>
        </w:tc>
        <w:tc>
          <w:tcPr>
            <w:tcW w:w="843" w:type="pct"/>
            <w:tcBorders>
              <w:top w:val="single" w:color="auto" w:sz="6" w:space="0"/>
              <w:left w:val="nil"/>
              <w:bottom w:val="single" w:color="auto" w:sz="6" w:space="0"/>
              <w:right w:val="single" w:color="auto" w:sz="6" w:space="0"/>
            </w:tcBorders>
            <w:vAlign w:val="center"/>
          </w:tcPr>
          <w:p w14:paraId="7FAC1490">
            <w:pPr>
              <w:pStyle w:val="94"/>
              <w:rPr>
                <w:color w:val="auto"/>
              </w:rPr>
            </w:pPr>
            <w:r>
              <w:rPr>
                <w:rFonts w:hint="eastAsia"/>
                <w:color w:val="auto"/>
              </w:rPr>
              <w:t xml:space="preserve">评价方法 </w:t>
            </w:r>
          </w:p>
        </w:tc>
        <w:tc>
          <w:tcPr>
            <w:tcW w:w="3307" w:type="pct"/>
            <w:tcBorders>
              <w:top w:val="single" w:color="auto" w:sz="6" w:space="0"/>
              <w:left w:val="nil"/>
              <w:bottom w:val="single" w:color="auto" w:sz="6" w:space="0"/>
              <w:right w:val="single" w:color="auto" w:sz="4" w:space="0"/>
            </w:tcBorders>
            <w:vAlign w:val="center"/>
          </w:tcPr>
          <w:p w14:paraId="079DD6DF">
            <w:pPr>
              <w:pStyle w:val="94"/>
              <w:rPr>
                <w:color w:val="auto"/>
              </w:rPr>
            </w:pPr>
            <w:r>
              <w:rPr>
                <w:rFonts w:hint="eastAsia"/>
                <w:color w:val="auto"/>
              </w:rPr>
              <w:t>定性□；定性和定量</w:t>
            </w:r>
            <w:r>
              <w:rPr>
                <w:rFonts w:ascii="Segoe UI Symbol" w:hAnsi="Segoe UI Symbol"/>
                <w:color w:val="auto"/>
              </w:rPr>
              <w:t>☑</w:t>
            </w:r>
            <w:r>
              <w:rPr>
                <w:rFonts w:hint="eastAsia"/>
                <w:color w:val="auto"/>
              </w:rPr>
              <w:t xml:space="preserve"> </w:t>
            </w:r>
          </w:p>
        </w:tc>
      </w:tr>
      <w:tr w14:paraId="51104E8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850" w:type="pct"/>
            <w:vMerge w:val="continue"/>
            <w:tcBorders>
              <w:top w:val="nil"/>
              <w:left w:val="single" w:color="auto" w:sz="4" w:space="0"/>
              <w:bottom w:val="single" w:color="auto" w:sz="6" w:space="0"/>
              <w:right w:val="single" w:color="auto" w:sz="6" w:space="0"/>
            </w:tcBorders>
            <w:vAlign w:val="center"/>
          </w:tcPr>
          <w:p w14:paraId="7E0EC6C9">
            <w:pPr>
              <w:pStyle w:val="94"/>
              <w:rPr>
                <w:color w:val="auto"/>
              </w:rPr>
            </w:pPr>
          </w:p>
        </w:tc>
        <w:tc>
          <w:tcPr>
            <w:tcW w:w="843" w:type="pct"/>
            <w:tcBorders>
              <w:top w:val="single" w:color="auto" w:sz="6" w:space="0"/>
              <w:left w:val="nil"/>
              <w:bottom w:val="single" w:color="auto" w:sz="6" w:space="0"/>
              <w:right w:val="single" w:color="auto" w:sz="6" w:space="0"/>
            </w:tcBorders>
            <w:vAlign w:val="center"/>
          </w:tcPr>
          <w:p w14:paraId="17ED1B9C">
            <w:pPr>
              <w:pStyle w:val="94"/>
              <w:rPr>
                <w:color w:val="auto"/>
              </w:rPr>
            </w:pPr>
            <w:r>
              <w:rPr>
                <w:rFonts w:hint="eastAsia"/>
                <w:color w:val="auto"/>
              </w:rPr>
              <w:t xml:space="preserve">评价内容 </w:t>
            </w:r>
          </w:p>
        </w:tc>
        <w:tc>
          <w:tcPr>
            <w:tcW w:w="3307" w:type="pct"/>
            <w:tcBorders>
              <w:top w:val="single" w:color="auto" w:sz="6" w:space="0"/>
              <w:left w:val="nil"/>
              <w:bottom w:val="single" w:color="auto" w:sz="6" w:space="0"/>
              <w:right w:val="single" w:color="auto" w:sz="4" w:space="0"/>
            </w:tcBorders>
            <w:vAlign w:val="center"/>
          </w:tcPr>
          <w:p w14:paraId="7E48FC9F">
            <w:pPr>
              <w:pStyle w:val="94"/>
              <w:rPr>
                <w:color w:val="auto"/>
              </w:rPr>
            </w:pPr>
            <w:r>
              <w:rPr>
                <w:rFonts w:hint="eastAsia"/>
                <w:color w:val="auto"/>
              </w:rPr>
              <w:t>植被/植物群落</w:t>
            </w:r>
            <w:r>
              <w:rPr>
                <w:rFonts w:ascii="Segoe UI Symbol" w:hAnsi="Segoe UI Symbol"/>
                <w:color w:val="auto"/>
              </w:rPr>
              <w:t>☑</w:t>
            </w:r>
            <w:r>
              <w:rPr>
                <w:rFonts w:hint="eastAsia"/>
                <w:color w:val="auto"/>
              </w:rPr>
              <w:t>；土地利用</w:t>
            </w:r>
            <w:r>
              <w:rPr>
                <w:rFonts w:ascii="Segoe UI Symbol" w:hAnsi="Segoe UI Symbol"/>
                <w:color w:val="auto"/>
              </w:rPr>
              <w:t>☑</w:t>
            </w:r>
            <w:r>
              <w:rPr>
                <w:rFonts w:hint="eastAsia"/>
                <w:color w:val="auto"/>
              </w:rPr>
              <w:t>；生态系统</w:t>
            </w:r>
            <w:r>
              <w:rPr>
                <w:rFonts w:ascii="Segoe UI Symbol" w:hAnsi="Segoe UI Symbol"/>
                <w:color w:val="auto"/>
              </w:rPr>
              <w:t>☑</w:t>
            </w:r>
            <w:r>
              <w:rPr>
                <w:rFonts w:hint="eastAsia"/>
                <w:color w:val="auto"/>
              </w:rPr>
              <w:t>；生物多样性</w:t>
            </w:r>
            <w:r>
              <w:rPr>
                <w:rFonts w:ascii="Segoe UI Symbol" w:hAnsi="Segoe UI Symbol"/>
                <w:color w:val="auto"/>
              </w:rPr>
              <w:t>☑</w:t>
            </w:r>
            <w:r>
              <w:rPr>
                <w:rFonts w:hint="eastAsia"/>
                <w:color w:val="auto"/>
              </w:rPr>
              <w:t xml:space="preserve">；重要物种□；生态敏感区□；生物入侵风险□；其他□ </w:t>
            </w:r>
          </w:p>
        </w:tc>
      </w:tr>
      <w:tr w14:paraId="05E9638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850" w:type="pct"/>
            <w:vMerge w:val="restart"/>
            <w:tcBorders>
              <w:top w:val="nil"/>
              <w:left w:val="single" w:color="auto" w:sz="4" w:space="0"/>
              <w:bottom w:val="single" w:color="auto" w:sz="6" w:space="0"/>
              <w:right w:val="single" w:color="auto" w:sz="6" w:space="0"/>
            </w:tcBorders>
            <w:vAlign w:val="center"/>
          </w:tcPr>
          <w:p w14:paraId="79A096AF">
            <w:pPr>
              <w:pStyle w:val="94"/>
              <w:rPr>
                <w:color w:val="auto"/>
              </w:rPr>
            </w:pPr>
            <w:r>
              <w:rPr>
                <w:rFonts w:hint="eastAsia"/>
                <w:color w:val="auto"/>
              </w:rPr>
              <w:t>生态保护对策措施</w:t>
            </w:r>
          </w:p>
        </w:tc>
        <w:tc>
          <w:tcPr>
            <w:tcW w:w="843" w:type="pct"/>
            <w:tcBorders>
              <w:top w:val="single" w:color="auto" w:sz="6" w:space="0"/>
              <w:left w:val="nil"/>
              <w:bottom w:val="single" w:color="auto" w:sz="6" w:space="0"/>
              <w:right w:val="single" w:color="auto" w:sz="6" w:space="0"/>
            </w:tcBorders>
            <w:vAlign w:val="center"/>
          </w:tcPr>
          <w:p w14:paraId="20C1A007">
            <w:pPr>
              <w:pStyle w:val="94"/>
              <w:rPr>
                <w:color w:val="auto"/>
              </w:rPr>
            </w:pPr>
            <w:r>
              <w:rPr>
                <w:rFonts w:hint="eastAsia"/>
                <w:color w:val="auto"/>
              </w:rPr>
              <w:t xml:space="preserve">对策措施 </w:t>
            </w:r>
          </w:p>
        </w:tc>
        <w:tc>
          <w:tcPr>
            <w:tcW w:w="3307" w:type="pct"/>
            <w:tcBorders>
              <w:top w:val="single" w:color="auto" w:sz="6" w:space="0"/>
              <w:left w:val="nil"/>
              <w:bottom w:val="single" w:color="auto" w:sz="6" w:space="0"/>
              <w:right w:val="single" w:color="auto" w:sz="4" w:space="0"/>
            </w:tcBorders>
            <w:vAlign w:val="center"/>
          </w:tcPr>
          <w:p w14:paraId="3F24E81D">
            <w:pPr>
              <w:pStyle w:val="94"/>
              <w:rPr>
                <w:color w:val="auto"/>
              </w:rPr>
            </w:pPr>
            <w:r>
              <w:rPr>
                <w:rFonts w:hint="eastAsia"/>
                <w:color w:val="auto"/>
              </w:rPr>
              <w:t>避让</w:t>
            </w:r>
            <w:r>
              <w:rPr>
                <w:rFonts w:ascii="Segoe UI Symbol" w:hAnsi="Segoe UI Symbol"/>
                <w:color w:val="auto"/>
              </w:rPr>
              <w:t>☑</w:t>
            </w:r>
            <w:r>
              <w:rPr>
                <w:rFonts w:hint="eastAsia"/>
                <w:color w:val="auto"/>
              </w:rPr>
              <w:t>；减缓</w:t>
            </w:r>
            <w:r>
              <w:rPr>
                <w:rFonts w:ascii="Segoe UI Symbol" w:hAnsi="Segoe UI Symbol"/>
                <w:color w:val="auto"/>
              </w:rPr>
              <w:t>☑</w:t>
            </w:r>
            <w:r>
              <w:rPr>
                <w:rFonts w:hint="eastAsia"/>
                <w:color w:val="auto"/>
              </w:rPr>
              <w:t>；生态修复</w:t>
            </w:r>
            <w:r>
              <w:rPr>
                <w:rFonts w:ascii="Segoe UI Symbol" w:hAnsi="Segoe UI Symbol"/>
                <w:color w:val="auto"/>
              </w:rPr>
              <w:t>☑</w:t>
            </w:r>
            <w:r>
              <w:rPr>
                <w:rFonts w:hint="eastAsia"/>
                <w:color w:val="auto"/>
              </w:rPr>
              <w:t>；生态补偿</w:t>
            </w:r>
            <w:r>
              <w:rPr>
                <w:rFonts w:ascii="Segoe UI Symbol" w:hAnsi="Segoe UI Symbol"/>
                <w:color w:val="auto"/>
              </w:rPr>
              <w:t>☑</w:t>
            </w:r>
            <w:r>
              <w:rPr>
                <w:rFonts w:hint="eastAsia"/>
                <w:color w:val="auto"/>
              </w:rPr>
              <w:t xml:space="preserve">；科研□；其他□ </w:t>
            </w:r>
          </w:p>
        </w:tc>
      </w:tr>
      <w:tr w14:paraId="7A8D3F8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850" w:type="pct"/>
            <w:vMerge w:val="continue"/>
            <w:tcBorders>
              <w:top w:val="nil"/>
              <w:left w:val="single" w:color="auto" w:sz="4" w:space="0"/>
              <w:bottom w:val="single" w:color="auto" w:sz="6" w:space="0"/>
              <w:right w:val="single" w:color="auto" w:sz="6" w:space="0"/>
            </w:tcBorders>
            <w:vAlign w:val="center"/>
          </w:tcPr>
          <w:p w14:paraId="659BCDFD">
            <w:pPr>
              <w:pStyle w:val="94"/>
              <w:rPr>
                <w:color w:val="auto"/>
              </w:rPr>
            </w:pPr>
          </w:p>
        </w:tc>
        <w:tc>
          <w:tcPr>
            <w:tcW w:w="843" w:type="pct"/>
            <w:tcBorders>
              <w:top w:val="single" w:color="auto" w:sz="6" w:space="0"/>
              <w:left w:val="nil"/>
              <w:bottom w:val="single" w:color="auto" w:sz="6" w:space="0"/>
              <w:right w:val="single" w:color="auto" w:sz="6" w:space="0"/>
            </w:tcBorders>
            <w:vAlign w:val="center"/>
          </w:tcPr>
          <w:p w14:paraId="253A5999">
            <w:pPr>
              <w:pStyle w:val="94"/>
              <w:rPr>
                <w:color w:val="auto"/>
              </w:rPr>
            </w:pPr>
            <w:r>
              <w:rPr>
                <w:rFonts w:hint="eastAsia"/>
                <w:color w:val="auto"/>
              </w:rPr>
              <w:t xml:space="preserve">生态监测计划 </w:t>
            </w:r>
          </w:p>
        </w:tc>
        <w:tc>
          <w:tcPr>
            <w:tcW w:w="3307" w:type="pct"/>
            <w:tcBorders>
              <w:top w:val="single" w:color="auto" w:sz="6" w:space="0"/>
              <w:left w:val="nil"/>
              <w:bottom w:val="single" w:color="auto" w:sz="6" w:space="0"/>
              <w:right w:val="single" w:color="auto" w:sz="4" w:space="0"/>
            </w:tcBorders>
            <w:vAlign w:val="center"/>
          </w:tcPr>
          <w:p w14:paraId="4A8C11A2">
            <w:pPr>
              <w:pStyle w:val="94"/>
              <w:rPr>
                <w:color w:val="auto"/>
              </w:rPr>
            </w:pPr>
            <w:r>
              <w:rPr>
                <w:rFonts w:hint="eastAsia"/>
                <w:color w:val="auto"/>
              </w:rPr>
              <w:t>全生命周期</w:t>
            </w:r>
            <w:r>
              <w:rPr>
                <w:rFonts w:ascii="Segoe UI Symbol" w:hAnsi="Segoe UI Symbol"/>
                <w:color w:val="auto"/>
              </w:rPr>
              <w:t>☑</w:t>
            </w:r>
            <w:r>
              <w:rPr>
                <w:rFonts w:hint="eastAsia"/>
                <w:color w:val="auto"/>
              </w:rPr>
              <w:t xml:space="preserve">；长期跟踪□；常规□；无□ </w:t>
            </w:r>
          </w:p>
        </w:tc>
      </w:tr>
      <w:tr w14:paraId="381A5C5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850" w:type="pct"/>
            <w:vMerge w:val="continue"/>
            <w:tcBorders>
              <w:top w:val="nil"/>
              <w:left w:val="single" w:color="auto" w:sz="4" w:space="0"/>
              <w:bottom w:val="single" w:color="auto" w:sz="6" w:space="0"/>
              <w:right w:val="single" w:color="auto" w:sz="6" w:space="0"/>
            </w:tcBorders>
            <w:vAlign w:val="center"/>
          </w:tcPr>
          <w:p w14:paraId="17CB096B">
            <w:pPr>
              <w:pStyle w:val="94"/>
              <w:rPr>
                <w:color w:val="auto"/>
              </w:rPr>
            </w:pPr>
          </w:p>
        </w:tc>
        <w:tc>
          <w:tcPr>
            <w:tcW w:w="843" w:type="pct"/>
            <w:tcBorders>
              <w:top w:val="single" w:color="auto" w:sz="6" w:space="0"/>
              <w:left w:val="nil"/>
              <w:bottom w:val="single" w:color="auto" w:sz="6" w:space="0"/>
              <w:right w:val="single" w:color="auto" w:sz="6" w:space="0"/>
            </w:tcBorders>
            <w:vAlign w:val="center"/>
          </w:tcPr>
          <w:p w14:paraId="63350C96">
            <w:pPr>
              <w:pStyle w:val="94"/>
              <w:rPr>
                <w:color w:val="auto"/>
              </w:rPr>
            </w:pPr>
            <w:r>
              <w:rPr>
                <w:rFonts w:hint="eastAsia"/>
                <w:color w:val="auto"/>
              </w:rPr>
              <w:t xml:space="preserve">环境管理 </w:t>
            </w:r>
          </w:p>
        </w:tc>
        <w:tc>
          <w:tcPr>
            <w:tcW w:w="3307" w:type="pct"/>
            <w:tcBorders>
              <w:top w:val="single" w:color="auto" w:sz="6" w:space="0"/>
              <w:left w:val="nil"/>
              <w:bottom w:val="single" w:color="auto" w:sz="6" w:space="0"/>
              <w:right w:val="single" w:color="auto" w:sz="4" w:space="0"/>
            </w:tcBorders>
            <w:vAlign w:val="center"/>
          </w:tcPr>
          <w:p w14:paraId="0530B19C">
            <w:pPr>
              <w:pStyle w:val="94"/>
              <w:rPr>
                <w:color w:val="auto"/>
              </w:rPr>
            </w:pPr>
            <w:r>
              <w:rPr>
                <w:rFonts w:hint="eastAsia"/>
                <w:color w:val="auto"/>
              </w:rPr>
              <w:t>环境监理</w:t>
            </w:r>
            <w:r>
              <w:rPr>
                <w:rFonts w:ascii="Segoe UI Symbol" w:hAnsi="Segoe UI Symbol"/>
                <w:color w:val="auto"/>
              </w:rPr>
              <w:t>☑</w:t>
            </w:r>
            <w:r>
              <w:rPr>
                <w:rFonts w:hint="eastAsia"/>
                <w:color w:val="auto"/>
              </w:rPr>
              <w:t xml:space="preserve">；环境影响后评价□；其他□ </w:t>
            </w:r>
          </w:p>
        </w:tc>
      </w:tr>
      <w:tr w14:paraId="2A7E111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850" w:type="pct"/>
            <w:tcBorders>
              <w:top w:val="single" w:color="auto" w:sz="6" w:space="0"/>
              <w:left w:val="single" w:color="auto" w:sz="4" w:space="0"/>
              <w:bottom w:val="single" w:color="auto" w:sz="6" w:space="0"/>
              <w:right w:val="single" w:color="auto" w:sz="6" w:space="0"/>
            </w:tcBorders>
            <w:vAlign w:val="center"/>
          </w:tcPr>
          <w:p w14:paraId="6655C8C0">
            <w:pPr>
              <w:pStyle w:val="94"/>
              <w:rPr>
                <w:color w:val="auto"/>
              </w:rPr>
            </w:pPr>
            <w:r>
              <w:rPr>
                <w:rFonts w:hint="eastAsia"/>
                <w:color w:val="auto"/>
              </w:rPr>
              <w:t>评价结论</w:t>
            </w:r>
          </w:p>
        </w:tc>
        <w:tc>
          <w:tcPr>
            <w:tcW w:w="843" w:type="pct"/>
            <w:tcBorders>
              <w:top w:val="single" w:color="auto" w:sz="6" w:space="0"/>
              <w:left w:val="nil"/>
              <w:bottom w:val="single" w:color="auto" w:sz="6" w:space="0"/>
              <w:right w:val="single" w:color="auto" w:sz="6" w:space="0"/>
            </w:tcBorders>
            <w:vAlign w:val="center"/>
          </w:tcPr>
          <w:p w14:paraId="040368B6">
            <w:pPr>
              <w:pStyle w:val="94"/>
              <w:rPr>
                <w:color w:val="auto"/>
              </w:rPr>
            </w:pPr>
            <w:r>
              <w:rPr>
                <w:rFonts w:hint="eastAsia"/>
                <w:color w:val="auto"/>
              </w:rPr>
              <w:t xml:space="preserve">生态影响 </w:t>
            </w:r>
          </w:p>
        </w:tc>
        <w:tc>
          <w:tcPr>
            <w:tcW w:w="3307" w:type="pct"/>
            <w:tcBorders>
              <w:top w:val="single" w:color="auto" w:sz="6" w:space="0"/>
              <w:left w:val="nil"/>
              <w:bottom w:val="single" w:color="auto" w:sz="6" w:space="0"/>
              <w:right w:val="single" w:color="auto" w:sz="4" w:space="0"/>
            </w:tcBorders>
            <w:vAlign w:val="center"/>
          </w:tcPr>
          <w:p w14:paraId="11D4C45E">
            <w:pPr>
              <w:pStyle w:val="94"/>
              <w:rPr>
                <w:color w:val="auto"/>
              </w:rPr>
            </w:pPr>
            <w:r>
              <w:rPr>
                <w:rFonts w:hint="eastAsia"/>
                <w:color w:val="auto"/>
              </w:rPr>
              <w:t>可行</w:t>
            </w:r>
            <w:r>
              <w:rPr>
                <w:rFonts w:ascii="Segoe UI Symbol" w:hAnsi="Segoe UI Symbol"/>
                <w:color w:val="auto"/>
              </w:rPr>
              <w:t>☑</w:t>
            </w:r>
            <w:r>
              <w:rPr>
                <w:rFonts w:hint="eastAsia"/>
                <w:color w:val="auto"/>
              </w:rPr>
              <w:t xml:space="preserve">；不可行□ </w:t>
            </w:r>
          </w:p>
        </w:tc>
      </w:tr>
      <w:tr w14:paraId="10E35B1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000" w:type="pct"/>
            <w:gridSpan w:val="3"/>
            <w:tcBorders>
              <w:top w:val="single" w:color="auto" w:sz="6" w:space="0"/>
              <w:left w:val="single" w:color="auto" w:sz="4" w:space="0"/>
              <w:bottom w:val="single" w:color="auto" w:sz="4" w:space="0"/>
              <w:right w:val="single" w:color="auto" w:sz="4" w:space="0"/>
            </w:tcBorders>
            <w:vAlign w:val="center"/>
          </w:tcPr>
          <w:p w14:paraId="4163132C">
            <w:pPr>
              <w:pStyle w:val="94"/>
              <w:rPr>
                <w:color w:val="auto"/>
              </w:rPr>
            </w:pPr>
            <w:r>
              <w:rPr>
                <w:rFonts w:hint="eastAsia"/>
                <w:color w:val="auto"/>
              </w:rPr>
              <w:t xml:space="preserve">注： “□” 为勾选项 ，可√ ；“（   ）” 为内容填写项。  </w:t>
            </w:r>
          </w:p>
        </w:tc>
      </w:tr>
    </w:tbl>
    <w:p w14:paraId="7D29A471">
      <w:pPr>
        <w:pStyle w:val="3"/>
      </w:pPr>
      <w:bookmarkStart w:id="165" w:name="_Toc171579833"/>
      <w:r>
        <w:t>生态保护和恢复措施</w:t>
      </w:r>
      <w:bookmarkEnd w:id="165"/>
    </w:p>
    <w:p w14:paraId="41967A43">
      <w:pPr>
        <w:pStyle w:val="4"/>
        <w:rPr>
          <w:rFonts w:cs="Arial"/>
        </w:rPr>
      </w:pPr>
      <w:bookmarkStart w:id="166" w:name="_Toc171579834"/>
      <w:r>
        <w:rPr>
          <w:rFonts w:hint="eastAsia"/>
        </w:rPr>
        <w:t>防护原则</w:t>
      </w:r>
      <w:bookmarkEnd w:id="166"/>
    </w:p>
    <w:p w14:paraId="44DD35E1">
      <w:pPr>
        <w:pStyle w:val="96"/>
        <w:ind w:firstLine="480"/>
      </w:pPr>
      <w:r>
        <w:rPr>
          <w:rFonts w:hint="eastAsia"/>
        </w:rPr>
        <w:t>(1)本项目建设要严格控制作业范围，并做到林地、耕地等绿色生态空间占补平衡，面积不减少。</w:t>
      </w:r>
    </w:p>
    <w:p w14:paraId="7568D4E6">
      <w:pPr>
        <w:pStyle w:val="96"/>
        <w:ind w:firstLine="480"/>
      </w:pPr>
      <w:r>
        <w:rPr>
          <w:rFonts w:hint="eastAsia"/>
        </w:rPr>
        <w:t>(3)严格管制项目建设的占地空间、开发强度，尽可能减少对自然生态系统的干扰，最大限度地维护生态系统的稳定性和完整性。</w:t>
      </w:r>
    </w:p>
    <w:p w14:paraId="51BC656D">
      <w:pPr>
        <w:pStyle w:val="96"/>
        <w:ind w:firstLine="480"/>
      </w:pPr>
      <w:r>
        <w:rPr>
          <w:rFonts w:hint="eastAsia"/>
        </w:rPr>
        <w:t>(4)控制新增井场道路建设规模，必须新建的，应事先规划好动物迁徙通道</w:t>
      </w:r>
    </w:p>
    <w:p w14:paraId="438BF9C3">
      <w:pPr>
        <w:pStyle w:val="96"/>
        <w:ind w:firstLine="480"/>
      </w:pPr>
      <w:r>
        <w:rPr>
          <w:rFonts w:hint="eastAsia"/>
        </w:rPr>
        <w:t>(5)坚持资源开发与生态环境保护、修复并重的原则。</w:t>
      </w:r>
    </w:p>
    <w:p w14:paraId="6BF98EA5">
      <w:pPr>
        <w:pStyle w:val="4"/>
      </w:pPr>
      <w:bookmarkStart w:id="167" w:name="_Toc171579835"/>
      <w:r>
        <w:rPr>
          <w:rFonts w:hint="eastAsia"/>
        </w:rPr>
        <w:t>避让措施</w:t>
      </w:r>
      <w:bookmarkEnd w:id="167"/>
    </w:p>
    <w:p w14:paraId="5FE243DB">
      <w:pPr>
        <w:pStyle w:val="96"/>
        <w:ind w:firstLine="480"/>
      </w:pPr>
      <w:r>
        <w:rPr>
          <w:rFonts w:hint="eastAsia"/>
        </w:rPr>
        <w:t>为了从源头减小对区域生态环境的影响，针对该区域生态环境特点，提出生态影响的避让措施:</w:t>
      </w:r>
    </w:p>
    <w:p w14:paraId="06520267">
      <w:pPr>
        <w:pStyle w:val="96"/>
        <w:ind w:firstLine="480"/>
      </w:pPr>
      <w:r>
        <w:rPr>
          <w:rFonts w:hint="eastAsia"/>
        </w:rPr>
        <w:t>(1)井场微观选址和井场道路选线尽量绕避国家一级公益林、国家二级公益林、I级保护林地、II级保护林地、山西省永久性生态公益林、基本农田、覆盖度高的林地植被等区域;井场放空管的高度与周围林木之间的距离应满足林草地防火要求。</w:t>
      </w:r>
    </w:p>
    <w:p w14:paraId="1332D4BB">
      <w:pPr>
        <w:pStyle w:val="96"/>
        <w:ind w:firstLine="480"/>
      </w:pPr>
      <w:r>
        <w:rPr>
          <w:rFonts w:hint="eastAsia"/>
        </w:rPr>
        <w:t>(2)施工道路选线尽量利用现有道路，不随意开设施工便道，减少施工井场道路临时用地。</w:t>
      </w:r>
    </w:p>
    <w:p w14:paraId="2017BCF6">
      <w:pPr>
        <w:pStyle w:val="96"/>
        <w:ind w:firstLine="480"/>
      </w:pPr>
      <w:r>
        <w:rPr>
          <w:rFonts w:hint="eastAsia"/>
        </w:rPr>
        <w:t>(3)钻井过程中应该严格控制钻井作业面积，减少工程占地及建设的影响范围。</w:t>
      </w:r>
    </w:p>
    <w:p w14:paraId="49B8F798">
      <w:pPr>
        <w:pStyle w:val="96"/>
        <w:ind w:firstLine="480"/>
      </w:pPr>
      <w:r>
        <w:rPr>
          <w:rFonts w:hint="eastAsia"/>
        </w:rPr>
        <w:t>(4)合理安排工作时段，避开野生动物迁徙和繁殖季节，并尽量缩短工期，减小噪声，降低对区域被栖息的野生动物的影响。</w:t>
      </w:r>
    </w:p>
    <w:p w14:paraId="57FF4DF8">
      <w:pPr>
        <w:pStyle w:val="4"/>
      </w:pPr>
      <w:bookmarkStart w:id="168" w:name="_Toc171579836"/>
      <w:r>
        <w:rPr>
          <w:rFonts w:hint="eastAsia"/>
        </w:rPr>
        <w:t>钻井期和完井期生态保护与恢复措施</w:t>
      </w:r>
      <w:bookmarkEnd w:id="168"/>
    </w:p>
    <w:p w14:paraId="785F156E">
      <w:pPr>
        <w:pStyle w:val="5"/>
        <w:rPr>
          <w:szCs w:val="24"/>
        </w:rPr>
      </w:pPr>
      <w:r>
        <w:rPr>
          <w:rFonts w:hint="eastAsia"/>
        </w:rPr>
        <w:t>野生动物的保护措施</w:t>
      </w:r>
    </w:p>
    <w:p w14:paraId="72C62434">
      <w:pPr>
        <w:pStyle w:val="96"/>
        <w:ind w:firstLine="480"/>
      </w:pPr>
      <w:r>
        <w:rPr>
          <w:rFonts w:hint="eastAsia"/>
        </w:rPr>
        <w:t>(1)在施工过程中，应加强施工人员的管理，禁止施工人员对野外植被滥砍滥伐，破坏周边地区的生态环境。根据植被生态、生理学特性，因地制宜的选择施工季节，避开植物的生长期，可减缓这种不利影响。</w:t>
      </w:r>
    </w:p>
    <w:p w14:paraId="3667D9D9">
      <w:pPr>
        <w:pStyle w:val="96"/>
        <w:ind w:firstLine="480"/>
      </w:pPr>
      <w:r>
        <w:rPr>
          <w:rFonts w:hint="eastAsia"/>
        </w:rPr>
        <w:t>(2)禁止施工人员对野生动物进行干扰，作好野生动物的保护工作。</w:t>
      </w:r>
    </w:p>
    <w:p w14:paraId="491D3685">
      <w:pPr>
        <w:pStyle w:val="96"/>
        <w:ind w:firstLine="480"/>
      </w:pPr>
      <w:r>
        <w:rPr>
          <w:rFonts w:hint="eastAsia"/>
        </w:rPr>
        <w:t>(3)施工期要加大对保护野生动物的宣传力度，大力宣传两栖、爬行动物、鸟类对农林卫生业的作用。蛙类、蛇类要吃掉大量的农林卫生业上害虫害鼠，对人类有益，应克服任意捕杀两栖、爬行动物和鸟类的恶习。</w:t>
      </w:r>
    </w:p>
    <w:p w14:paraId="00C15A3F">
      <w:pPr>
        <w:pStyle w:val="96"/>
        <w:ind w:firstLine="480"/>
      </w:pPr>
      <w:r>
        <w:rPr>
          <w:rFonts w:hint="eastAsia"/>
        </w:rPr>
        <w:t>(4)合理安排工作时段，施工要避开鸟类迁徙季节，并尽量缩短工期，减小噪声、降低对区域内栖息的野生动物的影响，对施工期处于繁殖的动物，在车辆行驶中，遇见动物通过时，应避让。施工结束后，应采取相应的恢复替代措施，如对破坏植被的恢复等。</w:t>
      </w:r>
    </w:p>
    <w:p w14:paraId="14AFD2C5">
      <w:pPr>
        <w:pStyle w:val="5"/>
        <w:rPr>
          <w:szCs w:val="24"/>
        </w:rPr>
      </w:pPr>
      <w:r>
        <w:rPr>
          <w:rFonts w:hint="eastAsia"/>
        </w:rPr>
        <w:t>植被保护及恢复措施</w:t>
      </w:r>
    </w:p>
    <w:p w14:paraId="383585AB">
      <w:pPr>
        <w:pStyle w:val="96"/>
        <w:ind w:firstLine="480"/>
        <w:rPr>
          <w:rFonts w:ascii="Times New Roman" w:hAnsi="Times New Roman"/>
        </w:rPr>
      </w:pPr>
      <w:r>
        <w:rPr>
          <w:rFonts w:hint="eastAsia"/>
        </w:rPr>
        <w:t>（</w:t>
      </w:r>
      <w:r>
        <w:rPr>
          <w:rFonts w:hint="eastAsia" w:ascii="Times New Roman" w:hAnsi="Times New Roman"/>
        </w:rPr>
        <w:t>1</w:t>
      </w:r>
      <w:r>
        <w:rPr>
          <w:rFonts w:hint="eastAsia"/>
        </w:rPr>
        <w:t>）</w:t>
      </w:r>
      <w:r>
        <w:t>植被保护措施</w:t>
      </w:r>
    </w:p>
    <w:p w14:paraId="7855B5A4">
      <w:pPr>
        <w:pStyle w:val="96"/>
        <w:ind w:firstLine="480"/>
        <w:rPr>
          <w:rFonts w:ascii="Times New Roman" w:hAnsi="Times New Roman"/>
        </w:rPr>
      </w:pPr>
      <w:r>
        <w:t>植物保护的一般原则为：首先应尽量保存施工区的熟化土，对于建设中临时用地占用耕地部分的表层土予以收集保存，施工结束后及时清理、松土、覆盖收集的耕作土，复耕或选择当地适宜植物及时恢复绿化。</w:t>
      </w:r>
    </w:p>
    <w:p w14:paraId="0B2645E0">
      <w:pPr>
        <w:pStyle w:val="96"/>
        <w:ind w:firstLine="480"/>
        <w:rPr>
          <w:rFonts w:ascii="Times New Roman" w:hAnsi="Times New Roman"/>
        </w:rPr>
      </w:pPr>
      <w:r>
        <w:t>根据现场踏勘，未发现需要特别保护的树种，在具体施工中，如发现特别需保护的树种并且无法避让时，应进行移栽。</w:t>
      </w:r>
    </w:p>
    <w:p w14:paraId="56534810">
      <w:pPr>
        <w:pStyle w:val="96"/>
        <w:ind w:firstLine="480"/>
        <w:rPr>
          <w:rFonts w:ascii="Times New Roman" w:hAnsi="Times New Roman"/>
        </w:rPr>
      </w:pPr>
      <w:r>
        <w:rPr>
          <w:rFonts w:hint="eastAsia"/>
        </w:rPr>
        <w:t>（</w:t>
      </w:r>
      <w:r>
        <w:rPr>
          <w:rFonts w:hint="eastAsia" w:ascii="Times New Roman" w:hAnsi="Times New Roman"/>
        </w:rPr>
        <w:t>2</w:t>
      </w:r>
      <w:r>
        <w:rPr>
          <w:rFonts w:hint="eastAsia"/>
        </w:rPr>
        <w:t>）</w:t>
      </w:r>
      <w:r>
        <w:t>植被恢复措施</w:t>
      </w:r>
    </w:p>
    <w:p w14:paraId="540075AA">
      <w:pPr>
        <w:pStyle w:val="96"/>
        <w:ind w:firstLine="480"/>
        <w:rPr>
          <w:rFonts w:ascii="Times New Roman" w:hAnsi="Times New Roman"/>
        </w:rPr>
      </w:pPr>
      <w:r>
        <w:t>对于原农业用地，在覆土后施肥，恢复农业用地。对不能复垦为耕地，以及不能继续利用的施工便道且不能退耕的，根据气候条件采取种树种草绿化措施。</w:t>
      </w:r>
    </w:p>
    <w:p w14:paraId="30AECB28">
      <w:pPr>
        <w:pStyle w:val="96"/>
        <w:ind w:firstLine="480"/>
        <w:rPr>
          <w:rFonts w:cs="Arial"/>
        </w:rPr>
      </w:pPr>
      <w:r>
        <w:rPr>
          <w:rFonts w:hint="eastAsia"/>
        </w:rPr>
        <w:t>临时用地范围内植被恢复：临时用地深翻处理后，对作为农用地以外的部分应植树种草恢复植被，农用地周边结合当地的农田林网营造绿化林带。施工中应加强施工管理，对边界以外的植被应不破坏或尽量减少破坏，植被恢复除考虑水土保持外，还应使水保、绿化、美化、环保有机结合为一体。</w:t>
      </w:r>
    </w:p>
    <w:p w14:paraId="3CB4938D">
      <w:pPr>
        <w:pStyle w:val="96"/>
        <w:ind w:firstLine="480"/>
      </w:pPr>
      <w:r>
        <w:rPr>
          <w:rFonts w:hint="eastAsia"/>
        </w:rPr>
        <w:t>草种、树种选择：在“适地适树、适地适草”的原则下，树种、草种的选择应对各地区的地形、土壤和气候条件经过详细的调查以当地优良乡土树种为主，适当引进新的优良树种草种，保证绿化栽植的成活率。在布局上还应考虑多种树种的交错分布，既提高植物种类的多样性又不至于过度改变原来的生态组分，增强其稳定性。另外修复树种种苗的选择应经过严格检疫，防止引入病害。对于森林防火要采取有效措施。</w:t>
      </w:r>
    </w:p>
    <w:p w14:paraId="768D4FC7">
      <w:pPr>
        <w:pStyle w:val="5"/>
      </w:pPr>
      <w:r>
        <w:rPr>
          <w:rFonts w:hint="eastAsia"/>
        </w:rPr>
        <w:t>对农业生态系统的保护措施</w:t>
      </w:r>
    </w:p>
    <w:p w14:paraId="263A710B">
      <w:pPr>
        <w:pStyle w:val="96"/>
        <w:ind w:firstLine="480"/>
        <w:rPr>
          <w:rFonts w:ascii="Times New Roman" w:hAnsi="Times New Roman"/>
        </w:rPr>
      </w:pPr>
      <w:r>
        <w:rPr>
          <w:rFonts w:hint="eastAsia"/>
        </w:rPr>
        <w:t>（</w:t>
      </w:r>
      <w:r>
        <w:rPr>
          <w:rFonts w:hint="eastAsia" w:ascii="Times New Roman" w:hAnsi="Times New Roman"/>
        </w:rPr>
        <w:t>1</w:t>
      </w:r>
      <w:r>
        <w:rPr>
          <w:rFonts w:hint="eastAsia"/>
        </w:rPr>
        <w:t>）</w:t>
      </w:r>
      <w:r>
        <w:t>在工程的总体规划中必须考虑施工对农业生产的影响，将农业损失纳入到工程预算中，</w:t>
      </w:r>
      <w:r>
        <w:rPr>
          <w:rFonts w:hint="eastAsia"/>
        </w:rPr>
        <w:t>井场占地位于</w:t>
      </w:r>
      <w:r>
        <w:t>农业区时，尤其是占用</w:t>
      </w:r>
      <w:r>
        <w:rPr>
          <w:rFonts w:hint="eastAsia"/>
        </w:rPr>
        <w:t>其他</w:t>
      </w:r>
      <w:r>
        <w:t>园地、</w:t>
      </w:r>
      <w:r>
        <w:rPr>
          <w:rFonts w:hint="eastAsia"/>
        </w:rPr>
        <w:t>果园</w:t>
      </w:r>
      <w:r>
        <w:t>、经济林地等经济农业区时应尽量缩小影响范围，减少损失，降低工程对农业生态环境的的干扰和破坏，</w:t>
      </w:r>
      <w:r>
        <w:rPr>
          <w:rFonts w:hint="eastAsia"/>
        </w:rPr>
        <w:t>不</w:t>
      </w:r>
      <w:r>
        <w:t>占用国家规定的基本农田保护区。</w:t>
      </w:r>
    </w:p>
    <w:p w14:paraId="2B0F6E44">
      <w:pPr>
        <w:pStyle w:val="96"/>
        <w:ind w:firstLine="480"/>
        <w:rPr>
          <w:rFonts w:ascii="Times New Roman" w:hAnsi="Times New Roman"/>
        </w:rPr>
      </w:pPr>
      <w:r>
        <w:rPr>
          <w:rFonts w:hint="eastAsia"/>
        </w:rPr>
        <w:t>（</w:t>
      </w:r>
      <w:r>
        <w:rPr>
          <w:rFonts w:hint="eastAsia" w:ascii="Times New Roman" w:hAnsi="Times New Roman"/>
        </w:rPr>
        <w:t>2</w:t>
      </w:r>
      <w:r>
        <w:rPr>
          <w:rFonts w:hint="eastAsia"/>
        </w:rPr>
        <w:t>）</w:t>
      </w:r>
      <w:r>
        <w:t>本项目所涉及的临时占地都应按有关土地管理办法的要求，逐级上报有审批权的政府部门批准。对于永久占地，应纳入地方土地利用规划中，并按有关土地管理部门要求认真执行。</w:t>
      </w:r>
    </w:p>
    <w:p w14:paraId="0A05F42F">
      <w:pPr>
        <w:pStyle w:val="96"/>
        <w:ind w:firstLine="480"/>
        <w:rPr>
          <w:rFonts w:ascii="Times New Roman" w:hAnsi="Times New Roman"/>
        </w:rPr>
      </w:pPr>
      <w:r>
        <w:rPr>
          <w:rFonts w:hint="eastAsia"/>
        </w:rPr>
        <w:t>（</w:t>
      </w:r>
      <w:r>
        <w:rPr>
          <w:rFonts w:hint="eastAsia" w:ascii="Times New Roman" w:hAnsi="Times New Roman"/>
        </w:rPr>
        <w:t>3</w:t>
      </w:r>
      <w:r>
        <w:rPr>
          <w:rFonts w:hint="eastAsia"/>
        </w:rPr>
        <w:t>）</w:t>
      </w:r>
      <w:r>
        <w:t>临时占用的农田，施工后立即实施复垦措施；可与农民协商，由农民自行复垦。</w:t>
      </w:r>
    </w:p>
    <w:p w14:paraId="21755B82">
      <w:pPr>
        <w:pStyle w:val="96"/>
        <w:ind w:firstLine="480"/>
        <w:rPr>
          <w:rFonts w:ascii="Times New Roman" w:hAnsi="Times New Roman"/>
        </w:rPr>
      </w:pPr>
      <w:r>
        <w:rPr>
          <w:rFonts w:hint="eastAsia"/>
        </w:rPr>
        <w:t>（</w:t>
      </w:r>
      <w:r>
        <w:rPr>
          <w:rFonts w:hint="eastAsia" w:ascii="Times New Roman" w:hAnsi="Times New Roman"/>
        </w:rPr>
        <w:t>4</w:t>
      </w:r>
      <w:r>
        <w:rPr>
          <w:rFonts w:hint="eastAsia"/>
        </w:rPr>
        <w:t>）</w:t>
      </w:r>
      <w:r>
        <w:t>提高施工效率，缩短施工时间，以保持耕作层肥力，缩短农业生产季节盼损失。因地制宜地选择施工季节，尽量避开农作物的生长和收获期，减少农业当季损失。</w:t>
      </w:r>
    </w:p>
    <w:p w14:paraId="2E44590D">
      <w:pPr>
        <w:pStyle w:val="96"/>
        <w:ind w:firstLine="480"/>
        <w:rPr>
          <w:rFonts w:ascii="Times New Roman" w:hAnsi="Times New Roman"/>
        </w:rPr>
      </w:pPr>
      <w:r>
        <w:rPr>
          <w:rFonts w:hint="eastAsia"/>
        </w:rPr>
        <w:t>（</w:t>
      </w:r>
      <w:r>
        <w:rPr>
          <w:rFonts w:hint="eastAsia" w:ascii="Times New Roman" w:hAnsi="Times New Roman"/>
        </w:rPr>
        <w:t>5</w:t>
      </w:r>
      <w:r>
        <w:rPr>
          <w:rFonts w:hint="eastAsia"/>
        </w:rPr>
        <w:t>）井场</w:t>
      </w:r>
      <w:r>
        <w:t>施工中要采取保护土壤措施，对农业熟化土壤要分层开挖，分别堆放，分层复原的方法，减少因施工生土上翻耕层养分损失农作物减产的后果，同时要避免间断覆土造成的土层不坚实形成的水土流失等问题。</w:t>
      </w:r>
    </w:p>
    <w:p w14:paraId="0F1924DD">
      <w:pPr>
        <w:pStyle w:val="96"/>
        <w:ind w:firstLine="480"/>
        <w:rPr>
          <w:rFonts w:ascii="Times New Roman" w:hAnsi="Times New Roman"/>
        </w:rPr>
      </w:pPr>
      <w:r>
        <w:rPr>
          <w:rFonts w:hint="eastAsia"/>
        </w:rPr>
        <w:t>（</w:t>
      </w:r>
      <w:r>
        <w:rPr>
          <w:rFonts w:hint="eastAsia" w:ascii="Times New Roman" w:hAnsi="Times New Roman"/>
        </w:rPr>
        <w:t>6</w:t>
      </w:r>
      <w:r>
        <w:rPr>
          <w:rFonts w:hint="eastAsia"/>
        </w:rPr>
        <w:t>）</w:t>
      </w:r>
      <w:r>
        <w:t>在施工中应尽量减少对农田防护树木的砍伐，施工后根据不同的地区特点采取植被恢复措施，种植速生树木和耐贫瘠的先锋灌木草本植物，在农地可种植绿肥作物，加速农业土壤肥力的恢复。</w:t>
      </w:r>
    </w:p>
    <w:p w14:paraId="52A7DD4B">
      <w:pPr>
        <w:pStyle w:val="96"/>
        <w:ind w:firstLine="480"/>
        <w:rPr>
          <w:rFonts w:ascii="Times New Roman" w:hAnsi="Times New Roman"/>
        </w:rPr>
      </w:pPr>
      <w:r>
        <w:rPr>
          <w:rFonts w:hint="eastAsia"/>
        </w:rPr>
        <w:t>（</w:t>
      </w:r>
      <w:r>
        <w:rPr>
          <w:rFonts w:hint="eastAsia" w:ascii="Times New Roman" w:hAnsi="Times New Roman"/>
        </w:rPr>
        <w:t>7</w:t>
      </w:r>
      <w:r>
        <w:rPr>
          <w:rFonts w:hint="eastAsia"/>
        </w:rPr>
        <w:t>）</w:t>
      </w:r>
      <w:r>
        <w:t>施工完成后做好现场清理及恢复工作，包括田埂、水渠、弃渣妥善处置等，尽可能降低施工对农田生态系统带来的不利影响。</w:t>
      </w:r>
    </w:p>
    <w:p w14:paraId="0CE16A21">
      <w:pPr>
        <w:pStyle w:val="96"/>
        <w:ind w:firstLine="480"/>
        <w:rPr>
          <w:rFonts w:ascii="Times New Roman" w:hAnsi="Times New Roman"/>
        </w:rPr>
      </w:pPr>
      <w:r>
        <w:rPr>
          <w:rFonts w:hint="eastAsia"/>
        </w:rPr>
        <w:t>（</w:t>
      </w:r>
      <w:r>
        <w:rPr>
          <w:rFonts w:hint="eastAsia" w:ascii="Times New Roman" w:hAnsi="Times New Roman"/>
        </w:rPr>
        <w:t>8</w:t>
      </w:r>
      <w:r>
        <w:rPr>
          <w:rFonts w:hint="eastAsia"/>
        </w:rPr>
        <w:t>）井场道路工程</w:t>
      </w:r>
      <w:r>
        <w:t>要处理好与农田水利工程的关系，尽可能减少对排灌渠道的破坏，使农田机械化耕种不受</w:t>
      </w:r>
      <w:r>
        <w:rPr>
          <w:rFonts w:hint="eastAsia"/>
        </w:rPr>
        <w:t>道路</w:t>
      </w:r>
      <w:r>
        <w:t>工程的影响，在</w:t>
      </w:r>
      <w:r>
        <w:rPr>
          <w:rFonts w:hint="eastAsia"/>
        </w:rPr>
        <w:t>道路</w:t>
      </w:r>
      <w:r>
        <w:t>经过坡地时要增设护坡堤，防止坍塌造成的滑坡等，并结合修筑梯田，植树种植绿化，加速生态环境的恢复。</w:t>
      </w:r>
    </w:p>
    <w:p w14:paraId="3EB12C56">
      <w:pPr>
        <w:pStyle w:val="96"/>
        <w:ind w:firstLine="480"/>
        <w:rPr>
          <w:rFonts w:ascii="Times New Roman" w:hAnsi="Times New Roman"/>
        </w:rPr>
      </w:pPr>
      <w:r>
        <w:rPr>
          <w:rFonts w:hint="eastAsia"/>
        </w:rPr>
        <w:t>（</w:t>
      </w:r>
      <w:r>
        <w:rPr>
          <w:rFonts w:hint="eastAsia" w:ascii="Times New Roman" w:hAnsi="Times New Roman"/>
        </w:rPr>
        <w:t>9</w:t>
      </w:r>
      <w:r>
        <w:rPr>
          <w:rFonts w:hint="eastAsia"/>
        </w:rPr>
        <w:t>）</w:t>
      </w:r>
      <w:r>
        <w:t>由于施工设备基本属于重型、庞大类别，在施工时，应避免农田基础设施受碾压而失去正常使用功能。例如：机井、灌渠、灌溉暗管</w:t>
      </w:r>
      <w:r>
        <w:rPr>
          <w:rFonts w:ascii="Times New Roman" w:hAnsi="Times New Roman"/>
        </w:rPr>
        <w:t>(</w:t>
      </w:r>
      <w:r>
        <w:t>一般埋藏较浅</w:t>
      </w:r>
      <w:r>
        <w:rPr>
          <w:rFonts w:ascii="Times New Roman" w:hAnsi="Times New Roman"/>
        </w:rPr>
        <w:t>)</w:t>
      </w:r>
      <w:r>
        <w:t>等水利设施的损坏，会导致灌溉区受益范围内农作物生长受影响。</w:t>
      </w:r>
    </w:p>
    <w:p w14:paraId="2DFEA97F">
      <w:pPr>
        <w:pStyle w:val="96"/>
        <w:ind w:firstLine="480"/>
        <w:rPr>
          <w:rFonts w:ascii="Times New Roman" w:hAnsi="Times New Roman"/>
        </w:rPr>
      </w:pPr>
      <w:r>
        <w:rPr>
          <w:rFonts w:hint="eastAsia"/>
        </w:rPr>
        <w:t>井场道路</w:t>
      </w:r>
      <w:r>
        <w:t>施工时，除了以上耕地恢复的措施外，在开挖地表土壤时，应尽可能的把表土层单独堆放，放到编织带内临时堆放。回填时，把表土覆盖在最上面的地表层，这样可以大大缩短土壤生产力恢复的时间，减少工程影响时间。</w:t>
      </w:r>
    </w:p>
    <w:p w14:paraId="1DB94734">
      <w:pPr>
        <w:pStyle w:val="5"/>
        <w:rPr>
          <w:rFonts w:cs="Arial"/>
          <w:szCs w:val="24"/>
        </w:rPr>
      </w:pPr>
      <w:r>
        <w:rPr>
          <w:rFonts w:hint="eastAsia"/>
        </w:rPr>
        <w:t>林地保护和恢复措施</w:t>
      </w:r>
    </w:p>
    <w:p w14:paraId="67ED561A">
      <w:pPr>
        <w:pStyle w:val="96"/>
        <w:ind w:firstLine="480"/>
      </w:pPr>
      <w:r>
        <w:rPr>
          <w:rFonts w:hint="eastAsia"/>
        </w:rPr>
        <w:t>(1)施工期林地保护措施</w:t>
      </w:r>
    </w:p>
    <w:p w14:paraId="170D16D6">
      <w:pPr>
        <w:pStyle w:val="96"/>
        <w:ind w:firstLine="480"/>
      </w:pPr>
      <w:r>
        <w:rPr>
          <w:rFonts w:hint="eastAsia"/>
        </w:rPr>
        <w:t>在林地分布区施工前，应在林业部门依法办理相应征、占地手续。施工时，应采取以下措施：</w:t>
      </w:r>
    </w:p>
    <w:p w14:paraId="6C31DF17">
      <w:pPr>
        <w:pStyle w:val="96"/>
        <w:ind w:firstLine="424" w:firstLineChars="177"/>
      </w:pPr>
      <w:r>
        <w:rPr>
          <w:rFonts w:hint="eastAsia"/>
        </w:rPr>
        <w:t>①对施工人员加强生态保护意识的教育，采取多种宣传方式和奖励措施，提高施工人员自觉保护生态环境的意识与积极性；施工现场设立告示牌、警示牌；</w:t>
      </w:r>
    </w:p>
    <w:p w14:paraId="50485CE8">
      <w:pPr>
        <w:pStyle w:val="96"/>
        <w:numPr>
          <w:ilvl w:val="0"/>
          <w:numId w:val="16"/>
        </w:numPr>
        <w:ind w:left="0" w:firstLine="480"/>
      </w:pPr>
      <w:r>
        <w:rPr>
          <w:rFonts w:hint="eastAsia"/>
        </w:rPr>
        <w:t>严格按照施工设计规范划定的施工范围，不得随意超越范围施工；</w:t>
      </w:r>
    </w:p>
    <w:p w14:paraId="03210B53">
      <w:pPr>
        <w:pStyle w:val="96"/>
        <w:numPr>
          <w:ilvl w:val="0"/>
          <w:numId w:val="16"/>
        </w:numPr>
        <w:ind w:left="0" w:firstLine="480"/>
      </w:pPr>
      <w:r>
        <w:rPr>
          <w:rFonts w:hint="eastAsia"/>
        </w:rPr>
        <w:t>严禁施工人员捕杀任何野生动物，必须制定严厉的处罚制度；</w:t>
      </w:r>
    </w:p>
    <w:p w14:paraId="25BC16DE">
      <w:pPr>
        <w:pStyle w:val="96"/>
        <w:numPr>
          <w:ilvl w:val="0"/>
          <w:numId w:val="16"/>
        </w:numPr>
        <w:ind w:left="0" w:firstLine="480"/>
      </w:pPr>
      <w:r>
        <w:rPr>
          <w:rFonts w:hint="eastAsia"/>
        </w:rPr>
        <w:t>严格限制在夜晚施工，夜晚工地不得使用高强度的光源，而且使用的生活照明光源的高度必须远低于施工场地林木的高度；</w:t>
      </w:r>
    </w:p>
    <w:p w14:paraId="3BC60078">
      <w:pPr>
        <w:pStyle w:val="96"/>
        <w:numPr>
          <w:ilvl w:val="0"/>
          <w:numId w:val="16"/>
        </w:numPr>
        <w:ind w:left="0" w:firstLine="480"/>
      </w:pPr>
      <w:r>
        <w:rPr>
          <w:rFonts w:hint="eastAsia"/>
        </w:rPr>
        <w:t>施工期必须避开野生动物的繁殖季节，如果遇到未成年的野生动物，不允许猎捕，必须放归自然；</w:t>
      </w:r>
    </w:p>
    <w:p w14:paraId="360CC074">
      <w:pPr>
        <w:pStyle w:val="96"/>
        <w:numPr>
          <w:ilvl w:val="0"/>
          <w:numId w:val="16"/>
        </w:numPr>
        <w:ind w:left="0" w:firstLine="480"/>
      </w:pPr>
      <w:r>
        <w:rPr>
          <w:rFonts w:hint="eastAsia"/>
        </w:rPr>
        <w:t>严禁施工人员对野生植被滥砍滥伐，必须避免将外地林木带入林区；</w:t>
      </w:r>
    </w:p>
    <w:p w14:paraId="223FF936">
      <w:pPr>
        <w:pStyle w:val="96"/>
        <w:numPr>
          <w:ilvl w:val="0"/>
          <w:numId w:val="16"/>
        </w:numPr>
        <w:ind w:left="0" w:firstLine="480"/>
      </w:pPr>
      <w:r>
        <w:rPr>
          <w:rFonts w:hint="eastAsia"/>
        </w:rPr>
        <w:t>施工时必须将施工场地的表层土壤分离堆放，待施工结束后复原为表层土；林地施工结束后应立即进行植被恢复；</w:t>
      </w:r>
    </w:p>
    <w:p w14:paraId="0B4842A5">
      <w:pPr>
        <w:pStyle w:val="96"/>
        <w:numPr>
          <w:ilvl w:val="0"/>
          <w:numId w:val="16"/>
        </w:numPr>
        <w:ind w:left="0" w:firstLine="480"/>
      </w:pPr>
      <w:r>
        <w:rPr>
          <w:rFonts w:hint="eastAsia"/>
        </w:rPr>
        <w:t>严禁施工人员在林区出现明火，饮食应为熟食，应安排专职人员送往施工现场，并严禁乱丢垃圾，所有生产、生活垃圾必须清理出林区；施</w:t>
      </w:r>
    </w:p>
    <w:p w14:paraId="6E3165FE">
      <w:pPr>
        <w:pStyle w:val="96"/>
        <w:numPr>
          <w:ilvl w:val="0"/>
          <w:numId w:val="16"/>
        </w:numPr>
        <w:ind w:left="0" w:firstLine="480"/>
      </w:pPr>
      <w:r>
        <w:rPr>
          <w:rFonts w:hint="eastAsia"/>
        </w:rPr>
        <w:t>工方在林区施工时，应成立相应的机构或安排专职人员，由当地林业主管部门培训后，按照林业相关政策，对施工开始到最后的植被恢复、施工现场的垃圾清理等整个过程，实施监督并做好记录。</w:t>
      </w:r>
    </w:p>
    <w:p w14:paraId="7822A7FF">
      <w:pPr>
        <w:pStyle w:val="96"/>
        <w:ind w:firstLine="480"/>
      </w:pPr>
      <w:r>
        <w:rPr>
          <w:rFonts w:hint="eastAsia"/>
        </w:rPr>
        <w:t>(2)施工后的植被恢复</w:t>
      </w:r>
    </w:p>
    <w:p w14:paraId="6493E309">
      <w:pPr>
        <w:pStyle w:val="96"/>
        <w:ind w:firstLine="480"/>
      </w:pPr>
      <w:r>
        <w:rPr>
          <w:rFonts w:hint="eastAsia"/>
        </w:rPr>
        <w:t>①植被恢复措施布设</w:t>
      </w:r>
    </w:p>
    <w:p w14:paraId="1879C4C9">
      <w:pPr>
        <w:pStyle w:val="96"/>
        <w:ind w:firstLine="480"/>
      </w:pPr>
      <w:r>
        <w:rPr>
          <w:rFonts w:hint="eastAsia"/>
        </w:rPr>
        <w:t>本工程植被措施主要布设在井场内部空地及周边、附属配套工程裸露空地、施工便道与进场道路两侧等工程单元。林草措施分为铺种草皮、人工种草、种植乔木、种植灌木、种植攀援植物、植物护坡等6种类型。</w:t>
      </w:r>
    </w:p>
    <w:p w14:paraId="127F17CF">
      <w:pPr>
        <w:pStyle w:val="96"/>
        <w:ind w:firstLine="480"/>
      </w:pPr>
      <w:r>
        <w:rPr>
          <w:rFonts w:hint="eastAsia"/>
        </w:rPr>
        <w:t>②植物种类选择</w:t>
      </w:r>
    </w:p>
    <w:p w14:paraId="30C109EF">
      <w:pPr>
        <w:pStyle w:val="96"/>
        <w:ind w:firstLine="480"/>
      </w:pPr>
      <w:r>
        <w:rPr>
          <w:rFonts w:hint="eastAsia"/>
        </w:rPr>
        <w:t>A.根据项目区植被分布及植被类型，尽量选用当地乡土树种或适生树种作为本项目的绿化植物种。</w:t>
      </w:r>
    </w:p>
    <w:p w14:paraId="78A6F654">
      <w:pPr>
        <w:pStyle w:val="96"/>
        <w:ind w:firstLine="480"/>
      </w:pPr>
      <w:r>
        <w:rPr>
          <w:rFonts w:hint="eastAsia"/>
        </w:rPr>
        <w:t>B.井场道路及井场占地范围内较大面积的林地中，林分单一，多为经济林，因此工程施工中严禁带入有害的外来物种，从而避免病虫害以及森林树种的竞争等。</w:t>
      </w:r>
    </w:p>
    <w:p w14:paraId="3844F2EC">
      <w:pPr>
        <w:pStyle w:val="96"/>
        <w:ind w:firstLine="480"/>
      </w:pPr>
      <w:r>
        <w:rPr>
          <w:rFonts w:hint="eastAsia"/>
        </w:rPr>
        <w:t>④种草</w:t>
      </w:r>
    </w:p>
    <w:p w14:paraId="48280BB2">
      <w:pPr>
        <w:pStyle w:val="96"/>
        <w:ind w:firstLine="480"/>
      </w:pPr>
      <w:r>
        <w:rPr>
          <w:rFonts w:hint="eastAsia"/>
        </w:rPr>
        <w:t>本项目种草有作业带种草、渣面种草、护坡种草。</w:t>
      </w:r>
    </w:p>
    <w:p w14:paraId="43557BD6">
      <w:pPr>
        <w:pStyle w:val="96"/>
        <w:ind w:firstLine="480"/>
      </w:pPr>
      <w:r>
        <w:rPr>
          <w:rFonts w:hint="eastAsia"/>
        </w:rPr>
        <w:t>A.种植方式</w:t>
      </w:r>
    </w:p>
    <w:p w14:paraId="417CA838">
      <w:pPr>
        <w:pStyle w:val="96"/>
        <w:ind w:firstLine="480"/>
      </w:pPr>
      <w:r>
        <w:rPr>
          <w:rFonts w:hint="eastAsia"/>
        </w:rPr>
        <w:t>栽植、埋植或直播。直播有条播、撒播、穴播和混播几种方式。部分植物护坡可采用网格状种草。</w:t>
      </w:r>
    </w:p>
    <w:p w14:paraId="664E4043">
      <w:pPr>
        <w:pStyle w:val="96"/>
        <w:ind w:firstLine="480"/>
      </w:pPr>
      <w:r>
        <w:rPr>
          <w:rFonts w:hint="eastAsia"/>
        </w:rPr>
        <w:t>B.抚育管理：栽植、播种后，根据实际情况及时浇水、除草。</w:t>
      </w:r>
    </w:p>
    <w:p w14:paraId="630434F6">
      <w:pPr>
        <w:pStyle w:val="96"/>
        <w:ind w:firstLine="480"/>
      </w:pPr>
      <w:r>
        <w:rPr>
          <w:rFonts w:hint="eastAsia"/>
        </w:rPr>
        <w:t>⑤种树</w:t>
      </w:r>
    </w:p>
    <w:p w14:paraId="3370AD6A">
      <w:pPr>
        <w:pStyle w:val="96"/>
        <w:ind w:firstLine="480"/>
      </w:pPr>
      <w:r>
        <w:rPr>
          <w:rFonts w:hint="eastAsia"/>
        </w:rPr>
        <w:t>本项目种树主要包括种植小叶杨和播撒紫花苜蓿。</w:t>
      </w:r>
    </w:p>
    <w:p w14:paraId="04B99281">
      <w:pPr>
        <w:pStyle w:val="96"/>
        <w:ind w:firstLine="480"/>
      </w:pPr>
      <w:r>
        <w:rPr>
          <w:rFonts w:hint="eastAsia"/>
        </w:rPr>
        <w:t>选择树形整齐、树干通直、枝叶茂盛，株行距2m×3m，坑穴尺寸0.6m×0.6m×0.6m。林下撒播种草，撤播密度为10kg/hm</w:t>
      </w:r>
      <w:r>
        <w:rPr>
          <w:rFonts w:hint="eastAsia"/>
          <w:vertAlign w:val="superscript"/>
        </w:rPr>
        <w:t>2</w:t>
      </w:r>
      <w:r>
        <w:rPr>
          <w:rFonts w:hint="eastAsia"/>
        </w:rPr>
        <w:t>。</w:t>
      </w:r>
    </w:p>
    <w:p w14:paraId="5E360DEB">
      <w:pPr>
        <w:pStyle w:val="5"/>
        <w:rPr>
          <w:szCs w:val="24"/>
        </w:rPr>
      </w:pPr>
      <w:r>
        <w:rPr>
          <w:rFonts w:hint="eastAsia"/>
        </w:rPr>
        <w:t>水土流失防治措施</w:t>
      </w:r>
    </w:p>
    <w:p w14:paraId="5AC0CCE8">
      <w:pPr>
        <w:pStyle w:val="96"/>
        <w:ind w:firstLine="480"/>
        <w:rPr>
          <w:rFonts w:ascii="Times New Roman" w:hAnsi="Times New Roman"/>
        </w:rPr>
      </w:pPr>
      <w:r>
        <w:t>（</w:t>
      </w:r>
      <w:r>
        <w:rPr>
          <w:rFonts w:ascii="Times New Roman" w:hAnsi="Times New Roman"/>
        </w:rPr>
        <w:t>1</w:t>
      </w:r>
      <w:r>
        <w:t>）加强施工管理，认真搞好施工组织设计，合理安排施工进度，将施工措施计划做深做细，尽量减少临时工程占地，缩短临时占地使用时间，及时恢复土地原有功能。</w:t>
      </w:r>
    </w:p>
    <w:p w14:paraId="3181C6A2">
      <w:pPr>
        <w:pStyle w:val="96"/>
        <w:ind w:firstLine="480"/>
        <w:rPr>
          <w:rFonts w:ascii="Times New Roman" w:hAnsi="Times New Roman"/>
        </w:rPr>
      </w:pPr>
      <w:r>
        <w:t>（</w:t>
      </w:r>
      <w:r>
        <w:rPr>
          <w:rFonts w:ascii="Times New Roman" w:hAnsi="Times New Roman"/>
        </w:rPr>
        <w:t>2</w:t>
      </w:r>
      <w:r>
        <w:t>）合理安排施工期，工程建设场地平整、基础开挖等土建施工尽量避开雨季。在雨季和汛期到来之前，应备齐土体临时防护用的物料及各种防汛物资，随时采取临时防护措施，以减轻雨水对主体工程的破坏和减少土壤的流失。</w:t>
      </w:r>
    </w:p>
    <w:p w14:paraId="5AAE1356">
      <w:pPr>
        <w:pStyle w:val="96"/>
        <w:ind w:firstLine="480"/>
        <w:rPr>
          <w:rFonts w:ascii="Times New Roman" w:hAnsi="Times New Roman"/>
        </w:rPr>
      </w:pPr>
      <w:r>
        <w:t>（</w:t>
      </w:r>
      <w:r>
        <w:rPr>
          <w:rFonts w:ascii="Times New Roman" w:hAnsi="Times New Roman"/>
        </w:rPr>
        <w:t>3</w:t>
      </w:r>
      <w:r>
        <w:t>）大风天气对易起扬尘场所如堆土体、开挖区等采取遮盖、洒水等措施。</w:t>
      </w:r>
      <w:r>
        <w:rPr>
          <w:rFonts w:hint="eastAsia"/>
        </w:rPr>
        <w:t>井场道路</w:t>
      </w:r>
      <w:r>
        <w:t>、井场施工等挖填土石方较大工程，以临时性挡护、遮盖措施为主进行防治，施工结束后及时进行整治；</w:t>
      </w:r>
      <w:r>
        <w:rPr>
          <w:rFonts w:hint="eastAsia"/>
        </w:rPr>
        <w:t>井场道路</w:t>
      </w:r>
      <w:r>
        <w:t>以路面硬化、路基排水及两侧绿化措施为主进行防治，对施工道路、施工场地等，施工结束后清理平整场地、恢复植被。</w:t>
      </w:r>
    </w:p>
    <w:p w14:paraId="6328A5F4">
      <w:pPr>
        <w:pStyle w:val="96"/>
        <w:ind w:firstLine="480"/>
        <w:rPr>
          <w:rFonts w:ascii="Times New Roman" w:hAnsi="Times New Roman"/>
        </w:rPr>
      </w:pPr>
      <w:r>
        <w:t>（</w:t>
      </w:r>
      <w:r>
        <w:rPr>
          <w:rFonts w:ascii="Times New Roman" w:hAnsi="Times New Roman"/>
        </w:rPr>
        <w:t>4</w:t>
      </w:r>
      <w:r>
        <w:t>）井场在达到设计要求后应迅速进行防护，同时做好坡面、坡脚排水，做到施工一处，及时治理保护一处。</w:t>
      </w:r>
    </w:p>
    <w:p w14:paraId="29736812">
      <w:pPr>
        <w:pStyle w:val="96"/>
        <w:ind w:firstLine="480"/>
        <w:rPr>
          <w:rFonts w:ascii="Times New Roman" w:hAnsi="Times New Roman"/>
        </w:rPr>
      </w:pPr>
      <w:r>
        <w:t>（</w:t>
      </w:r>
      <w:r>
        <w:rPr>
          <w:rFonts w:ascii="Times New Roman" w:hAnsi="Times New Roman"/>
        </w:rPr>
        <w:t>5</w:t>
      </w:r>
      <w:r>
        <w:t>）挖方首先用于回填利用，对于不能立即回填的挖方，其堆放场所要做好临时防护措施。</w:t>
      </w:r>
    </w:p>
    <w:p w14:paraId="4B6C39A1">
      <w:pPr>
        <w:pStyle w:val="96"/>
        <w:ind w:firstLine="480"/>
        <w:rPr>
          <w:rFonts w:ascii="Times New Roman" w:hAnsi="Times New Roman"/>
        </w:rPr>
      </w:pPr>
      <w:r>
        <w:t>（</w:t>
      </w:r>
      <w:r>
        <w:rPr>
          <w:rFonts w:ascii="Times New Roman" w:hAnsi="Times New Roman"/>
        </w:rPr>
        <w:t>6</w:t>
      </w:r>
      <w:r>
        <w:t>）施工机械和施工人员要按照施工总体平面布置图进行作业，不得乱占土地，施工机械、土石及其它建筑材料不得乱停乱放，防止破坏植被，加剧水土流失。施工期产生的建筑垃圾，要及时清运，堆放到指定场所，并进行平整，碾压、土层覆盖。</w:t>
      </w:r>
    </w:p>
    <w:p w14:paraId="11EBAD15">
      <w:pPr>
        <w:pStyle w:val="96"/>
        <w:ind w:firstLine="480"/>
        <w:rPr>
          <w:rFonts w:ascii="Times New Roman" w:hAnsi="Times New Roman"/>
        </w:rPr>
      </w:pPr>
      <w:r>
        <w:t>（</w:t>
      </w:r>
      <w:r>
        <w:rPr>
          <w:rFonts w:ascii="Times New Roman" w:hAnsi="Times New Roman"/>
        </w:rPr>
        <w:t>7</w:t>
      </w:r>
      <w:r>
        <w:t>）工程施工时，需要先剥离表层熟土，清除树根及杂草根系后再进行主体工程建设。表土剥离厚度一般为</w:t>
      </w:r>
      <w:r>
        <w:rPr>
          <w:rFonts w:ascii="Times New Roman" w:hAnsi="Times New Roman"/>
        </w:rPr>
        <w:t>0.3m</w:t>
      </w:r>
      <w:r>
        <w:t>，对于耕地等土质较好的可达到</w:t>
      </w:r>
      <w:r>
        <w:rPr>
          <w:rFonts w:ascii="Times New Roman" w:hAnsi="Times New Roman"/>
        </w:rPr>
        <w:t>0.5m</w:t>
      </w:r>
      <w:r>
        <w:t>，剥离的表土集中堆放在</w:t>
      </w:r>
      <w:r>
        <w:rPr>
          <w:rFonts w:hint="eastAsia"/>
        </w:rPr>
        <w:t>特定区域</w:t>
      </w:r>
      <w:r>
        <w:t>，采取土袋挡护坡脚的临时防护措施。施工结束后及时把剥离的表层熟土回填至周围的临时用地复垦区内，或用作</w:t>
      </w:r>
      <w:r>
        <w:rPr>
          <w:rFonts w:hint="eastAsia"/>
        </w:rPr>
        <w:t>井场</w:t>
      </w:r>
      <w:r>
        <w:t>边坡和护坡网格内以及</w:t>
      </w:r>
      <w:r>
        <w:rPr>
          <w:rFonts w:hint="eastAsia"/>
        </w:rPr>
        <w:t>井场道路</w:t>
      </w:r>
      <w:r>
        <w:t>两侧绿化带的覆土改造。</w:t>
      </w:r>
    </w:p>
    <w:p w14:paraId="195BBF12">
      <w:pPr>
        <w:pStyle w:val="96"/>
        <w:ind w:firstLine="480"/>
        <w:rPr>
          <w:rFonts w:ascii="Times New Roman" w:hAnsi="Times New Roman"/>
        </w:rPr>
      </w:pPr>
      <w:r>
        <w:t>（</w:t>
      </w:r>
      <w:r>
        <w:rPr>
          <w:rFonts w:ascii="Times New Roman" w:hAnsi="Times New Roman"/>
        </w:rPr>
        <w:t>8</w:t>
      </w:r>
      <w:r>
        <w:t>）对已实施的水土流失防治措施，应加强管护，建立行之有效的管护制度，使之尽快发挥水土保持效益。</w:t>
      </w:r>
    </w:p>
    <w:p w14:paraId="6FBDD11B">
      <w:pPr>
        <w:pStyle w:val="96"/>
        <w:ind w:firstLine="480"/>
        <w:rPr>
          <w:rFonts w:ascii="Times New Roman" w:hAnsi="Times New Roman"/>
        </w:rPr>
      </w:pPr>
      <w:r>
        <w:rPr>
          <w:rFonts w:hint="eastAsia"/>
        </w:rPr>
        <w:t>（</w:t>
      </w:r>
      <w:r>
        <w:rPr>
          <w:rFonts w:hint="eastAsia" w:ascii="Times New Roman" w:hAnsi="Times New Roman"/>
        </w:rPr>
        <w:t>9</w:t>
      </w:r>
      <w:r>
        <w:rPr>
          <w:rFonts w:hint="eastAsia"/>
        </w:rPr>
        <w:t>）</w:t>
      </w:r>
      <w:r>
        <w:t>对井场临时占地、</w:t>
      </w:r>
      <w:r>
        <w:rPr>
          <w:rFonts w:hint="eastAsia"/>
        </w:rPr>
        <w:t>井场道路</w:t>
      </w:r>
      <w:r>
        <w:t>边坡进行绿化，种植刺槐，草种为紫花苜蓿等；</w:t>
      </w:r>
    </w:p>
    <w:p w14:paraId="600BE228">
      <w:pPr>
        <w:pStyle w:val="96"/>
        <w:ind w:firstLine="480"/>
        <w:rPr>
          <w:rFonts w:ascii="Times New Roman" w:hAnsi="Times New Roman"/>
        </w:rPr>
      </w:pPr>
      <w:r>
        <w:rPr>
          <w:rFonts w:hint="eastAsia"/>
        </w:rPr>
        <w:t>（</w:t>
      </w:r>
      <w:r>
        <w:rPr>
          <w:rFonts w:hint="eastAsia" w:ascii="Times New Roman" w:hAnsi="Times New Roman"/>
        </w:rPr>
        <w:t>10</w:t>
      </w:r>
      <w:r>
        <w:rPr>
          <w:rFonts w:hint="eastAsia"/>
        </w:rPr>
        <w:t>）</w:t>
      </w:r>
      <w:r>
        <w:t>进场道路在施工结束后在道路两侧布设行道树绿化，绿化树种为</w:t>
      </w:r>
      <w:r>
        <w:rPr>
          <w:rFonts w:hint="eastAsia"/>
        </w:rPr>
        <w:t>刺槐</w:t>
      </w:r>
      <w:r>
        <w:t>，间距</w:t>
      </w:r>
      <w:r>
        <w:rPr>
          <w:rFonts w:ascii="Times New Roman" w:hAnsi="Times New Roman"/>
        </w:rPr>
        <w:t>2</w:t>
      </w:r>
      <w:r>
        <w:t>米，树下撒播草籽进行绿化，草种使用紫花苜蓿。</w:t>
      </w:r>
      <w:r>
        <w:rPr>
          <w:rFonts w:hint="eastAsia"/>
        </w:rPr>
        <w:t>勘探期满后</w:t>
      </w:r>
      <w:r>
        <w:t>，立即对施工生产生活区进行清理、土地整治。场地覆土、平整后进行绿化，绿化树草种主要有刺槐等。</w:t>
      </w:r>
    </w:p>
    <w:p w14:paraId="42F0015B">
      <w:pPr>
        <w:pStyle w:val="5"/>
        <w:rPr>
          <w:rFonts w:cs="Arial"/>
          <w:szCs w:val="24"/>
        </w:rPr>
      </w:pPr>
      <w:r>
        <w:rPr>
          <w:rFonts w:hint="eastAsia"/>
        </w:rPr>
        <w:t>井场、进场道路生态恢复措施</w:t>
      </w:r>
    </w:p>
    <w:p w14:paraId="0C70DE52">
      <w:pPr>
        <w:pStyle w:val="96"/>
        <w:ind w:firstLine="480"/>
        <w:rPr>
          <w:rFonts w:ascii="Times New Roman" w:hAnsi="Times New Roman"/>
        </w:rPr>
      </w:pPr>
      <w:r>
        <w:rPr>
          <w:rFonts w:ascii="Times New Roman" w:hAnsi="Times New Roman"/>
        </w:rPr>
        <w:t>1</w:t>
      </w:r>
      <w:r>
        <w:t>、井场的生态恢复措施</w:t>
      </w:r>
    </w:p>
    <w:p w14:paraId="610DB698">
      <w:pPr>
        <w:pStyle w:val="96"/>
        <w:ind w:firstLine="480"/>
        <w:rPr>
          <w:rFonts w:ascii="Times New Roman" w:hAnsi="Times New Roman"/>
        </w:rPr>
      </w:pPr>
      <w:r>
        <w:t>井场采用平坡布置，井场内布置采</w:t>
      </w:r>
      <w:r>
        <w:rPr>
          <w:rFonts w:hint="eastAsia"/>
        </w:rPr>
        <w:t>管材区、泥浆材料区、发电房、油罐区、录井房、钻具区、消防区、废料区、泥浆池、清水池、钻机</w:t>
      </w:r>
      <w:r>
        <w:t>等。新增井场总占地面积为</w:t>
      </w:r>
      <w:r>
        <w:rPr>
          <w:rFonts w:hint="eastAsia" w:ascii="Times New Roman" w:hAnsi="Times New Roman"/>
        </w:rPr>
        <w:t>21.66</w:t>
      </w:r>
      <w:r>
        <w:rPr>
          <w:rFonts w:ascii="Times New Roman" w:hAnsi="Times New Roman"/>
        </w:rPr>
        <w:t>hm</w:t>
      </w:r>
      <w:r>
        <w:rPr>
          <w:rFonts w:ascii="Times New Roman" w:hAnsi="Times New Roman"/>
          <w:vertAlign w:val="superscript"/>
        </w:rPr>
        <w:t>2</w:t>
      </w:r>
      <w:r>
        <w:t>。</w:t>
      </w:r>
    </w:p>
    <w:p w14:paraId="6622D802">
      <w:pPr>
        <w:pStyle w:val="96"/>
        <w:ind w:firstLine="480"/>
        <w:rPr>
          <w:rFonts w:ascii="Times New Roman" w:hAnsi="Times New Roman"/>
        </w:rPr>
      </w:pPr>
      <w:r>
        <w:t>（</w:t>
      </w:r>
      <w:r>
        <w:rPr>
          <w:rFonts w:ascii="Times New Roman" w:hAnsi="Times New Roman"/>
        </w:rPr>
        <w:t>1</w:t>
      </w:r>
      <w:r>
        <w:t>）工程措施：</w:t>
      </w:r>
    </w:p>
    <w:p w14:paraId="61C5A90E">
      <w:pPr>
        <w:pStyle w:val="96"/>
        <w:ind w:firstLine="464"/>
        <w:rPr>
          <w:rFonts w:ascii="Times New Roman" w:hAnsi="Times New Roman"/>
          <w:spacing w:val="-8"/>
        </w:rPr>
      </w:pPr>
      <w:r>
        <w:rPr>
          <w:spacing w:val="-8"/>
        </w:rPr>
        <w:t>排水沟：单座井场最大占地面积为</w:t>
      </w:r>
      <w:r>
        <w:rPr>
          <w:rFonts w:hint="eastAsia" w:ascii="Times New Roman" w:hAnsi="Times New Roman"/>
          <w:spacing w:val="-8"/>
        </w:rPr>
        <w:t>9952.78</w:t>
      </w:r>
      <w:r>
        <w:rPr>
          <w:rFonts w:ascii="Times New Roman" w:hAnsi="Times New Roman"/>
          <w:spacing w:val="-8"/>
        </w:rPr>
        <w:t>m</w:t>
      </w:r>
      <w:r>
        <w:rPr>
          <w:rFonts w:ascii="Times New Roman" w:hAnsi="Times New Roman"/>
          <w:spacing w:val="-8"/>
          <w:vertAlign w:val="superscript"/>
        </w:rPr>
        <w:t>2</w:t>
      </w:r>
      <w:r>
        <w:rPr>
          <w:spacing w:val="-8"/>
        </w:rPr>
        <w:t>，集水面积较大，排水沟断面尺寸选用</w:t>
      </w:r>
      <w:r>
        <w:rPr>
          <w:rFonts w:ascii="Times New Roman" w:hAnsi="Times New Roman"/>
          <w:spacing w:val="-8"/>
        </w:rPr>
        <w:t>0.8×0.8m</w:t>
      </w:r>
      <w:r>
        <w:rPr>
          <w:spacing w:val="-8"/>
        </w:rPr>
        <w:t>，浆砌石厚</w:t>
      </w:r>
      <w:r>
        <w:rPr>
          <w:rFonts w:ascii="Times New Roman" w:hAnsi="Times New Roman"/>
          <w:spacing w:val="-8"/>
        </w:rPr>
        <w:t>30cm</w:t>
      </w:r>
      <w:r>
        <w:rPr>
          <w:spacing w:val="-8"/>
        </w:rPr>
        <w:t>。</w:t>
      </w:r>
      <w:r>
        <w:rPr>
          <w:rFonts w:hint="eastAsia"/>
        </w:rPr>
        <w:t>21座</w:t>
      </w:r>
      <w:r>
        <w:rPr>
          <w:spacing w:val="-8"/>
        </w:rPr>
        <w:t>井场的排水沟总长为</w:t>
      </w:r>
      <w:r>
        <w:rPr>
          <w:rFonts w:hint="eastAsia" w:ascii="Times New Roman" w:hAnsi="Times New Roman"/>
          <w:spacing w:val="-8"/>
        </w:rPr>
        <w:t>8940</w:t>
      </w:r>
      <w:r>
        <w:rPr>
          <w:rFonts w:ascii="Times New Roman" w:hAnsi="Times New Roman"/>
          <w:spacing w:val="-8"/>
        </w:rPr>
        <w:t>m</w:t>
      </w:r>
      <w:r>
        <w:rPr>
          <w:spacing w:val="-8"/>
        </w:rPr>
        <w:t>。</w:t>
      </w:r>
    </w:p>
    <w:p w14:paraId="76F3603D">
      <w:pPr>
        <w:pStyle w:val="96"/>
        <w:ind w:firstLine="480"/>
        <w:rPr>
          <w:rFonts w:ascii="Times New Roman" w:hAnsi="Times New Roman"/>
        </w:rPr>
      </w:pPr>
      <w:r>
        <w:t>护坦：排水沟的汇水经干砌石护坦后，接入下游自然沟道。干砌石护坦长</w:t>
      </w:r>
      <w:r>
        <w:rPr>
          <w:rFonts w:ascii="Times New Roman" w:hAnsi="Times New Roman"/>
        </w:rPr>
        <w:t>2m</w:t>
      </w:r>
      <w:r>
        <w:t>，宽</w:t>
      </w:r>
      <w:r>
        <w:rPr>
          <w:rFonts w:ascii="Times New Roman" w:hAnsi="Times New Roman"/>
        </w:rPr>
        <w:t>1m</w:t>
      </w:r>
      <w:r>
        <w:t>，厚度</w:t>
      </w:r>
      <w:r>
        <w:rPr>
          <w:rFonts w:ascii="Times New Roman" w:hAnsi="Times New Roman"/>
        </w:rPr>
        <w:t>0.5m</w:t>
      </w:r>
      <w:r>
        <w:t>。共需布置</w:t>
      </w:r>
      <w:r>
        <w:rPr>
          <w:rFonts w:hint="eastAsia" w:ascii="Times New Roman" w:hAnsi="Times New Roman"/>
        </w:rPr>
        <w:t>9</w:t>
      </w:r>
      <w:r>
        <w:t>座护坦。</w:t>
      </w:r>
    </w:p>
    <w:p w14:paraId="71C00269">
      <w:pPr>
        <w:pStyle w:val="96"/>
        <w:ind w:firstLine="464"/>
        <w:rPr>
          <w:rFonts w:ascii="Times New Roman" w:hAnsi="Times New Roman"/>
          <w:spacing w:val="-8"/>
        </w:rPr>
      </w:pPr>
      <w:r>
        <w:rPr>
          <w:spacing w:val="-8"/>
        </w:rPr>
        <w:t>施工结束后对临时占用的</w:t>
      </w:r>
      <w:r>
        <w:rPr>
          <w:rFonts w:hint="eastAsia"/>
          <w:spacing w:val="-8"/>
        </w:rPr>
        <w:t>耕地</w:t>
      </w:r>
      <w:r>
        <w:rPr>
          <w:spacing w:val="-8"/>
        </w:rPr>
        <w:t>进行全面整地，全面整地</w:t>
      </w:r>
      <w:r>
        <w:rPr>
          <w:rFonts w:hint="eastAsia" w:ascii="Times New Roman" w:hAnsi="Times New Roman"/>
          <w:spacing w:val="-8"/>
        </w:rPr>
        <w:t>6.92</w:t>
      </w:r>
      <w:r>
        <w:rPr>
          <w:rFonts w:ascii="Times New Roman" w:hAnsi="Times New Roman"/>
          <w:spacing w:val="-8"/>
        </w:rPr>
        <w:t>hm</w:t>
      </w:r>
      <w:r>
        <w:rPr>
          <w:rFonts w:ascii="Times New Roman" w:hAnsi="Times New Roman"/>
          <w:spacing w:val="-8"/>
          <w:vertAlign w:val="superscript"/>
        </w:rPr>
        <w:t>2</w:t>
      </w:r>
      <w:r>
        <w:rPr>
          <w:spacing w:val="-8"/>
        </w:rPr>
        <w:t>。</w:t>
      </w:r>
    </w:p>
    <w:p w14:paraId="6E2978E4">
      <w:pPr>
        <w:pStyle w:val="96"/>
        <w:ind w:firstLine="464"/>
        <w:rPr>
          <w:rFonts w:ascii="Times New Roman" w:hAnsi="Times New Roman"/>
          <w:spacing w:val="-8"/>
        </w:rPr>
      </w:pPr>
      <w:r>
        <w:rPr>
          <w:spacing w:val="-8"/>
        </w:rPr>
        <w:t>（</w:t>
      </w:r>
      <w:r>
        <w:rPr>
          <w:rFonts w:ascii="Times New Roman" w:hAnsi="Times New Roman"/>
          <w:spacing w:val="-8"/>
        </w:rPr>
        <w:t>2</w:t>
      </w:r>
      <w:r>
        <w:rPr>
          <w:spacing w:val="-8"/>
        </w:rPr>
        <w:t>）植物措施：</w:t>
      </w:r>
    </w:p>
    <w:p w14:paraId="480FC1AE">
      <w:pPr>
        <w:pStyle w:val="96"/>
        <w:ind w:firstLine="480"/>
      </w:pPr>
      <w:r>
        <w:rPr>
          <w:rFonts w:hint="eastAsia"/>
        </w:rPr>
        <w:t>根据《</w:t>
      </w:r>
      <w:r>
        <w:t>山西省重点区域生态保护和修复项目技术指南（试行）</w:t>
      </w:r>
      <w:r>
        <w:rPr>
          <w:rFonts w:hint="eastAsia"/>
        </w:rPr>
        <w:t>》兴县为暖温带地区，复垦为人工牧草地时</w:t>
      </w:r>
      <w:r>
        <w:t>选用草种为紫花苜蓿等，</w:t>
      </w:r>
      <w:r>
        <w:rPr>
          <w:rFonts w:hint="eastAsia"/>
        </w:rPr>
        <w:t>种植密度不低于</w:t>
      </w:r>
      <w:r>
        <w:rPr>
          <w:rFonts w:hint="eastAsia" w:ascii="Times New Roman" w:hAnsi="Times New Roman"/>
        </w:rPr>
        <w:t>30kg/ha</w:t>
      </w:r>
      <w:r>
        <w:t>。</w:t>
      </w:r>
      <w:r>
        <w:rPr>
          <w:rFonts w:hint="eastAsia"/>
        </w:rPr>
        <w:t>复垦为乔木林地种植小叶杨，林下播撒草籽，</w:t>
      </w:r>
      <w:r>
        <w:t>株行距规格2m×3m，</w:t>
      </w:r>
      <w:r>
        <w:rPr>
          <w:rFonts w:hint="eastAsia"/>
        </w:rPr>
        <w:t>种植密度为1</w:t>
      </w:r>
      <w:r>
        <w:t>650株/ha</w:t>
      </w:r>
      <w:r>
        <w:rPr>
          <w:rFonts w:hint="eastAsia"/>
        </w:rPr>
        <w:t>，</w:t>
      </w:r>
      <w:r>
        <w:t>紫槐苜蓿</w:t>
      </w:r>
      <w:r>
        <w:rPr>
          <w:rFonts w:hint="eastAsia"/>
        </w:rPr>
        <w:t>播撒密度为</w:t>
      </w:r>
      <w:r>
        <w:t>10kg/h</w:t>
      </w:r>
      <w:r>
        <w:rPr>
          <w:rFonts w:hint="eastAsia"/>
        </w:rPr>
        <w:t>a。</w:t>
      </w:r>
    </w:p>
    <w:p w14:paraId="1F861DFC">
      <w:pPr>
        <w:pStyle w:val="19"/>
        <w:keepNext/>
        <w:rPr>
          <w:rFonts w:ascii="Times New Roman" w:hAnsi="Times New Roman"/>
        </w:rPr>
      </w:pPr>
      <w:r>
        <w:t xml:space="preserve">表 </w:t>
      </w:r>
      <w:r>
        <w:fldChar w:fldCharType="begin"/>
      </w:r>
      <w:r>
        <w:instrText xml:space="preserve"> SEQ 表 \* ARABIC </w:instrText>
      </w:r>
      <w:r>
        <w:fldChar w:fldCharType="separate"/>
      </w:r>
      <w:r>
        <w:t>96</w:t>
      </w:r>
      <w:r>
        <w:fldChar w:fldCharType="end"/>
      </w:r>
      <w:r>
        <w:rPr>
          <w:rFonts w:hint="eastAsia"/>
        </w:rPr>
        <w:t>本项目井场植被恢复栽植工程量表</w:t>
      </w:r>
    </w:p>
    <w:tbl>
      <w:tblPr>
        <w:tblStyle w:val="73"/>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31"/>
        <w:gridCol w:w="734"/>
        <w:gridCol w:w="752"/>
        <w:gridCol w:w="850"/>
        <w:gridCol w:w="1418"/>
        <w:gridCol w:w="850"/>
        <w:gridCol w:w="1701"/>
        <w:gridCol w:w="1868"/>
        <w:gridCol w:w="1642"/>
      </w:tblGrid>
      <w:tr w14:paraId="60166F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0" w:hRule="atLeast"/>
        </w:trPr>
        <w:tc>
          <w:tcPr>
            <w:tcW w:w="631" w:type="dxa"/>
            <w:vAlign w:val="center"/>
          </w:tcPr>
          <w:p w14:paraId="773903FE">
            <w:pPr>
              <w:pStyle w:val="94"/>
              <w:rPr>
                <w:rFonts w:ascii="Arial" w:hAnsi="Arial"/>
                <w:color w:val="auto"/>
              </w:rPr>
            </w:pPr>
            <w:r>
              <w:rPr>
                <w:color w:val="auto"/>
              </w:rPr>
              <w:t>复垦前</w:t>
            </w:r>
          </w:p>
        </w:tc>
        <w:tc>
          <w:tcPr>
            <w:tcW w:w="734" w:type="dxa"/>
            <w:vAlign w:val="center"/>
          </w:tcPr>
          <w:p w14:paraId="615B10FF">
            <w:pPr>
              <w:pStyle w:val="94"/>
              <w:rPr>
                <w:color w:val="auto"/>
              </w:rPr>
            </w:pPr>
            <w:r>
              <w:rPr>
                <w:color w:val="auto"/>
              </w:rPr>
              <w:t>复垦方向</w:t>
            </w:r>
          </w:p>
        </w:tc>
        <w:tc>
          <w:tcPr>
            <w:tcW w:w="752" w:type="dxa"/>
            <w:vAlign w:val="center"/>
          </w:tcPr>
          <w:p w14:paraId="7DA7EBDD">
            <w:pPr>
              <w:pStyle w:val="94"/>
              <w:rPr>
                <w:color w:val="auto"/>
              </w:rPr>
            </w:pPr>
            <w:r>
              <w:rPr>
                <w:color w:val="auto"/>
              </w:rPr>
              <w:t>占地面积ha</w:t>
            </w:r>
          </w:p>
        </w:tc>
        <w:tc>
          <w:tcPr>
            <w:tcW w:w="850" w:type="dxa"/>
            <w:vAlign w:val="center"/>
          </w:tcPr>
          <w:p w14:paraId="2E106656">
            <w:pPr>
              <w:pStyle w:val="94"/>
              <w:rPr>
                <w:color w:val="auto"/>
              </w:rPr>
            </w:pPr>
            <w:r>
              <w:rPr>
                <w:color w:val="auto"/>
              </w:rPr>
              <w:t>复垦方式</w:t>
            </w:r>
          </w:p>
        </w:tc>
        <w:tc>
          <w:tcPr>
            <w:tcW w:w="1418" w:type="dxa"/>
            <w:vAlign w:val="center"/>
          </w:tcPr>
          <w:p w14:paraId="4632BE32">
            <w:pPr>
              <w:pStyle w:val="94"/>
              <w:rPr>
                <w:color w:val="auto"/>
              </w:rPr>
            </w:pPr>
            <w:r>
              <w:rPr>
                <w:color w:val="auto"/>
              </w:rPr>
              <w:t>苗木规格</w:t>
            </w:r>
          </w:p>
        </w:tc>
        <w:tc>
          <w:tcPr>
            <w:tcW w:w="850" w:type="dxa"/>
            <w:vAlign w:val="center"/>
          </w:tcPr>
          <w:p w14:paraId="23B74C8C">
            <w:pPr>
              <w:pStyle w:val="94"/>
              <w:rPr>
                <w:color w:val="auto"/>
              </w:rPr>
            </w:pPr>
            <w:r>
              <w:rPr>
                <w:color w:val="auto"/>
              </w:rPr>
              <w:t>种植树种</w:t>
            </w:r>
          </w:p>
        </w:tc>
        <w:tc>
          <w:tcPr>
            <w:tcW w:w="1701" w:type="dxa"/>
            <w:vAlign w:val="center"/>
          </w:tcPr>
          <w:p w14:paraId="4A005C2B">
            <w:pPr>
              <w:pStyle w:val="94"/>
              <w:rPr>
                <w:color w:val="auto"/>
              </w:rPr>
            </w:pPr>
            <w:r>
              <w:rPr>
                <w:color w:val="auto"/>
              </w:rPr>
              <w:t>整地规格</w:t>
            </w:r>
          </w:p>
        </w:tc>
        <w:tc>
          <w:tcPr>
            <w:tcW w:w="1868" w:type="dxa"/>
            <w:vAlign w:val="center"/>
          </w:tcPr>
          <w:p w14:paraId="0ADCB823">
            <w:pPr>
              <w:pStyle w:val="94"/>
              <w:rPr>
                <w:color w:val="auto"/>
              </w:rPr>
            </w:pPr>
            <w:r>
              <w:rPr>
                <w:color w:val="auto"/>
              </w:rPr>
              <w:t>种植密度</w:t>
            </w:r>
          </w:p>
        </w:tc>
        <w:tc>
          <w:tcPr>
            <w:tcW w:w="1642" w:type="dxa"/>
            <w:noWrap/>
            <w:vAlign w:val="center"/>
          </w:tcPr>
          <w:p w14:paraId="5090DA60">
            <w:pPr>
              <w:pStyle w:val="94"/>
              <w:rPr>
                <w:color w:val="auto"/>
              </w:rPr>
            </w:pPr>
            <w:r>
              <w:rPr>
                <w:color w:val="auto"/>
              </w:rPr>
              <w:t>种植数量株</w:t>
            </w:r>
          </w:p>
        </w:tc>
      </w:tr>
      <w:tr w14:paraId="3C11A6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90" w:hRule="atLeast"/>
        </w:trPr>
        <w:tc>
          <w:tcPr>
            <w:tcW w:w="631" w:type="dxa"/>
            <w:noWrap/>
            <w:vAlign w:val="center"/>
          </w:tcPr>
          <w:p w14:paraId="57C1D2BB">
            <w:pPr>
              <w:pStyle w:val="94"/>
              <w:rPr>
                <w:color w:val="auto"/>
              </w:rPr>
            </w:pPr>
            <w:r>
              <w:rPr>
                <w:color w:val="auto"/>
              </w:rPr>
              <w:t>其他草地</w:t>
            </w:r>
          </w:p>
        </w:tc>
        <w:tc>
          <w:tcPr>
            <w:tcW w:w="734" w:type="dxa"/>
            <w:noWrap/>
            <w:vAlign w:val="center"/>
          </w:tcPr>
          <w:p w14:paraId="41BE225B">
            <w:pPr>
              <w:pStyle w:val="94"/>
              <w:rPr>
                <w:color w:val="auto"/>
              </w:rPr>
            </w:pPr>
            <w:r>
              <w:rPr>
                <w:color w:val="auto"/>
              </w:rPr>
              <w:t>人工牧草地</w:t>
            </w:r>
          </w:p>
        </w:tc>
        <w:tc>
          <w:tcPr>
            <w:tcW w:w="752" w:type="dxa"/>
            <w:noWrap/>
            <w:vAlign w:val="center"/>
          </w:tcPr>
          <w:p w14:paraId="3638CF68">
            <w:pPr>
              <w:pStyle w:val="94"/>
              <w:rPr>
                <w:color w:val="auto"/>
              </w:rPr>
            </w:pPr>
            <w:r>
              <w:rPr>
                <w:rFonts w:hint="eastAsia"/>
                <w:color w:val="auto"/>
              </w:rPr>
              <w:t>2.49</w:t>
            </w:r>
          </w:p>
        </w:tc>
        <w:tc>
          <w:tcPr>
            <w:tcW w:w="850" w:type="dxa"/>
            <w:noWrap/>
            <w:vAlign w:val="center"/>
          </w:tcPr>
          <w:p w14:paraId="3C799429">
            <w:pPr>
              <w:pStyle w:val="94"/>
              <w:rPr>
                <w:rFonts w:ascii="Arial" w:hAnsi="Arial" w:cs="Arial"/>
                <w:color w:val="auto"/>
              </w:rPr>
            </w:pPr>
            <w:r>
              <w:rPr>
                <w:color w:val="auto"/>
              </w:rPr>
              <w:t>种植草本植物</w:t>
            </w:r>
          </w:p>
        </w:tc>
        <w:tc>
          <w:tcPr>
            <w:tcW w:w="1418" w:type="dxa"/>
            <w:noWrap/>
            <w:vAlign w:val="center"/>
          </w:tcPr>
          <w:p w14:paraId="1F35B865">
            <w:pPr>
              <w:pStyle w:val="94"/>
              <w:rPr>
                <w:color w:val="auto"/>
              </w:rPr>
            </w:pPr>
            <w:r>
              <w:rPr>
                <w:color w:val="auto"/>
              </w:rPr>
              <w:t>颗粒饱满，无病虫害</w:t>
            </w:r>
          </w:p>
        </w:tc>
        <w:tc>
          <w:tcPr>
            <w:tcW w:w="850" w:type="dxa"/>
            <w:noWrap/>
            <w:vAlign w:val="center"/>
          </w:tcPr>
          <w:p w14:paraId="6AEFC9D0">
            <w:pPr>
              <w:pStyle w:val="94"/>
              <w:rPr>
                <w:color w:val="auto"/>
              </w:rPr>
            </w:pPr>
            <w:r>
              <w:rPr>
                <w:color w:val="auto"/>
              </w:rPr>
              <w:t>紫花苜蓿</w:t>
            </w:r>
          </w:p>
        </w:tc>
        <w:tc>
          <w:tcPr>
            <w:tcW w:w="1701" w:type="dxa"/>
            <w:vAlign w:val="center"/>
          </w:tcPr>
          <w:p w14:paraId="0C1E2993">
            <w:pPr>
              <w:pStyle w:val="94"/>
              <w:rPr>
                <w:color w:val="auto"/>
              </w:rPr>
            </w:pPr>
            <w:r>
              <w:rPr>
                <w:color w:val="auto"/>
              </w:rPr>
              <w:t>不需做大幅度的整平，随地面坡度起伏即可，以免引起水土流失</w:t>
            </w:r>
          </w:p>
        </w:tc>
        <w:tc>
          <w:tcPr>
            <w:tcW w:w="1868" w:type="dxa"/>
            <w:noWrap/>
            <w:vAlign w:val="center"/>
          </w:tcPr>
          <w:p w14:paraId="7C2DAD5D">
            <w:pPr>
              <w:pStyle w:val="94"/>
              <w:rPr>
                <w:color w:val="auto"/>
              </w:rPr>
            </w:pPr>
            <w:r>
              <w:rPr>
                <w:color w:val="auto"/>
              </w:rPr>
              <w:t>30kg/hm²</w:t>
            </w:r>
          </w:p>
        </w:tc>
        <w:tc>
          <w:tcPr>
            <w:tcW w:w="1642" w:type="dxa"/>
            <w:noWrap/>
            <w:vAlign w:val="center"/>
          </w:tcPr>
          <w:p w14:paraId="7F60B521">
            <w:pPr>
              <w:pStyle w:val="94"/>
              <w:rPr>
                <w:color w:val="auto"/>
              </w:rPr>
            </w:pPr>
            <w:r>
              <w:rPr>
                <w:rFonts w:hint="eastAsia"/>
                <w:color w:val="auto"/>
              </w:rPr>
              <w:t>74.7</w:t>
            </w:r>
            <w:r>
              <w:rPr>
                <w:color w:val="auto"/>
              </w:rPr>
              <w:t>kg</w:t>
            </w:r>
          </w:p>
        </w:tc>
      </w:tr>
      <w:tr w14:paraId="703C88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90" w:hRule="atLeast"/>
        </w:trPr>
        <w:tc>
          <w:tcPr>
            <w:tcW w:w="631" w:type="dxa"/>
            <w:noWrap/>
            <w:vAlign w:val="center"/>
          </w:tcPr>
          <w:p w14:paraId="0C1A4750">
            <w:pPr>
              <w:pStyle w:val="94"/>
              <w:rPr>
                <w:color w:val="auto"/>
              </w:rPr>
            </w:pPr>
            <w:r>
              <w:rPr>
                <w:rFonts w:hint="eastAsia"/>
                <w:color w:val="auto"/>
              </w:rPr>
              <w:t>其他园地</w:t>
            </w:r>
          </w:p>
        </w:tc>
        <w:tc>
          <w:tcPr>
            <w:tcW w:w="734" w:type="dxa"/>
            <w:noWrap/>
            <w:vAlign w:val="center"/>
          </w:tcPr>
          <w:p w14:paraId="672E7E75">
            <w:pPr>
              <w:pStyle w:val="94"/>
              <w:rPr>
                <w:color w:val="auto"/>
              </w:rPr>
            </w:pPr>
            <w:r>
              <w:rPr>
                <w:rFonts w:hint="eastAsia"/>
                <w:color w:val="auto"/>
              </w:rPr>
              <w:t>其他园地</w:t>
            </w:r>
          </w:p>
        </w:tc>
        <w:tc>
          <w:tcPr>
            <w:tcW w:w="752" w:type="dxa"/>
            <w:noWrap/>
            <w:vAlign w:val="center"/>
          </w:tcPr>
          <w:p w14:paraId="7DB649C2">
            <w:pPr>
              <w:pStyle w:val="94"/>
              <w:rPr>
                <w:color w:val="auto"/>
              </w:rPr>
            </w:pPr>
            <w:r>
              <w:rPr>
                <w:color w:val="auto"/>
              </w:rPr>
              <w:t>1.</w:t>
            </w:r>
            <w:r>
              <w:rPr>
                <w:rFonts w:hint="eastAsia"/>
                <w:color w:val="auto"/>
              </w:rPr>
              <w:t>33</w:t>
            </w:r>
          </w:p>
        </w:tc>
        <w:tc>
          <w:tcPr>
            <w:tcW w:w="850" w:type="dxa"/>
            <w:noWrap/>
            <w:vAlign w:val="center"/>
          </w:tcPr>
          <w:p w14:paraId="55388FF6">
            <w:pPr>
              <w:pStyle w:val="94"/>
              <w:rPr>
                <w:color w:val="auto"/>
              </w:rPr>
            </w:pPr>
            <w:r>
              <w:rPr>
                <w:rFonts w:hint="eastAsia"/>
                <w:color w:val="auto"/>
              </w:rPr>
              <w:t>种植核桃树</w:t>
            </w:r>
          </w:p>
        </w:tc>
        <w:tc>
          <w:tcPr>
            <w:tcW w:w="1418" w:type="dxa"/>
            <w:noWrap/>
            <w:vAlign w:val="center"/>
          </w:tcPr>
          <w:p w14:paraId="75F7AD33">
            <w:pPr>
              <w:pStyle w:val="94"/>
              <w:rPr>
                <w:color w:val="auto"/>
              </w:rPr>
            </w:pPr>
            <w:r>
              <w:rPr>
                <w:rFonts w:hint="eastAsia"/>
                <w:color w:val="auto"/>
              </w:rPr>
              <w:t>胸径</w:t>
            </w:r>
            <w:r>
              <w:rPr>
                <w:color w:val="auto"/>
              </w:rPr>
              <w:t>6-8厘米，高度3-4米</w:t>
            </w:r>
          </w:p>
        </w:tc>
        <w:tc>
          <w:tcPr>
            <w:tcW w:w="850" w:type="dxa"/>
            <w:noWrap/>
            <w:vAlign w:val="center"/>
          </w:tcPr>
          <w:p w14:paraId="39BC7FC1">
            <w:pPr>
              <w:pStyle w:val="94"/>
              <w:rPr>
                <w:color w:val="auto"/>
              </w:rPr>
            </w:pPr>
            <w:r>
              <w:rPr>
                <w:rFonts w:hint="eastAsia"/>
                <w:color w:val="auto"/>
              </w:rPr>
              <w:t>核桃树</w:t>
            </w:r>
          </w:p>
        </w:tc>
        <w:tc>
          <w:tcPr>
            <w:tcW w:w="1701" w:type="dxa"/>
            <w:vAlign w:val="center"/>
          </w:tcPr>
          <w:p w14:paraId="0F7DDD44">
            <w:pPr>
              <w:pStyle w:val="94"/>
              <w:rPr>
                <w:color w:val="auto"/>
              </w:rPr>
            </w:pPr>
            <w:r>
              <w:rPr>
                <w:rFonts w:hint="eastAsia"/>
                <w:color w:val="auto"/>
              </w:rPr>
              <w:t>坑穴尺寸0.6m×0.6m×0.6m</w:t>
            </w:r>
          </w:p>
        </w:tc>
        <w:tc>
          <w:tcPr>
            <w:tcW w:w="1868" w:type="dxa"/>
            <w:noWrap/>
            <w:vAlign w:val="center"/>
          </w:tcPr>
          <w:p w14:paraId="6A9E3E7C">
            <w:pPr>
              <w:pStyle w:val="94"/>
              <w:rPr>
                <w:color w:val="auto"/>
              </w:rPr>
            </w:pPr>
            <w:r>
              <w:rPr>
                <w:color w:val="auto"/>
              </w:rPr>
              <w:t>株行距规格2m×3m，1650株/ha</w:t>
            </w:r>
          </w:p>
        </w:tc>
        <w:tc>
          <w:tcPr>
            <w:tcW w:w="1642" w:type="dxa"/>
            <w:noWrap/>
            <w:vAlign w:val="center"/>
          </w:tcPr>
          <w:p w14:paraId="53D01182">
            <w:pPr>
              <w:pStyle w:val="94"/>
              <w:rPr>
                <w:color w:val="auto"/>
              </w:rPr>
            </w:pPr>
            <w:r>
              <w:rPr>
                <w:rFonts w:hint="eastAsia"/>
                <w:color w:val="auto"/>
              </w:rPr>
              <w:t>核桃树</w:t>
            </w:r>
            <w:r>
              <w:rPr>
                <w:color w:val="auto"/>
              </w:rPr>
              <w:t>：</w:t>
            </w:r>
            <w:r>
              <w:rPr>
                <w:rFonts w:hint="eastAsia"/>
                <w:color w:val="auto"/>
              </w:rPr>
              <w:t>2195</w:t>
            </w:r>
            <w:r>
              <w:rPr>
                <w:color w:val="auto"/>
              </w:rPr>
              <w:t>株</w:t>
            </w:r>
          </w:p>
        </w:tc>
      </w:tr>
      <w:tr w14:paraId="379FE1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7" w:hRule="atLeast"/>
        </w:trPr>
        <w:tc>
          <w:tcPr>
            <w:tcW w:w="631" w:type="dxa"/>
            <w:noWrap/>
            <w:vAlign w:val="center"/>
          </w:tcPr>
          <w:p w14:paraId="5D566C56">
            <w:pPr>
              <w:pStyle w:val="94"/>
              <w:rPr>
                <w:color w:val="auto"/>
              </w:rPr>
            </w:pPr>
            <w:r>
              <w:rPr>
                <w:rFonts w:hint="eastAsia"/>
                <w:color w:val="auto"/>
              </w:rPr>
              <w:t>其他林地</w:t>
            </w:r>
          </w:p>
        </w:tc>
        <w:tc>
          <w:tcPr>
            <w:tcW w:w="734" w:type="dxa"/>
            <w:noWrap/>
            <w:vAlign w:val="center"/>
          </w:tcPr>
          <w:p w14:paraId="57870990">
            <w:pPr>
              <w:pStyle w:val="94"/>
              <w:rPr>
                <w:color w:val="auto"/>
              </w:rPr>
            </w:pPr>
            <w:r>
              <w:rPr>
                <w:rFonts w:hint="eastAsia"/>
                <w:color w:val="auto"/>
              </w:rPr>
              <w:t>乔木林地</w:t>
            </w:r>
          </w:p>
        </w:tc>
        <w:tc>
          <w:tcPr>
            <w:tcW w:w="752" w:type="dxa"/>
            <w:noWrap/>
            <w:vAlign w:val="center"/>
          </w:tcPr>
          <w:p w14:paraId="7286CFD9">
            <w:pPr>
              <w:pStyle w:val="94"/>
              <w:rPr>
                <w:color w:val="auto"/>
              </w:rPr>
            </w:pPr>
            <w:r>
              <w:rPr>
                <w:rFonts w:hint="eastAsia"/>
                <w:color w:val="auto"/>
              </w:rPr>
              <w:t>5.44</w:t>
            </w:r>
          </w:p>
        </w:tc>
        <w:tc>
          <w:tcPr>
            <w:tcW w:w="850" w:type="dxa"/>
            <w:noWrap/>
            <w:vAlign w:val="center"/>
          </w:tcPr>
          <w:p w14:paraId="38E09F4F">
            <w:pPr>
              <w:pStyle w:val="94"/>
              <w:rPr>
                <w:color w:val="auto"/>
              </w:rPr>
            </w:pPr>
            <w:r>
              <w:rPr>
                <w:rFonts w:hint="eastAsia"/>
                <w:color w:val="auto"/>
              </w:rPr>
              <w:t>种植乔木</w:t>
            </w:r>
          </w:p>
        </w:tc>
        <w:tc>
          <w:tcPr>
            <w:tcW w:w="1418" w:type="dxa"/>
            <w:noWrap/>
            <w:vAlign w:val="center"/>
          </w:tcPr>
          <w:p w14:paraId="1C4C6DB2">
            <w:pPr>
              <w:pStyle w:val="94"/>
              <w:rPr>
                <w:color w:val="auto"/>
              </w:rPr>
            </w:pPr>
            <w:r>
              <w:rPr>
                <w:rFonts w:hint="eastAsia"/>
                <w:color w:val="auto"/>
              </w:rPr>
              <w:t>胸径</w:t>
            </w:r>
            <w:r>
              <w:rPr>
                <w:color w:val="auto"/>
              </w:rPr>
              <w:t>6-8厘米，高度3-4米</w:t>
            </w:r>
          </w:p>
        </w:tc>
        <w:tc>
          <w:tcPr>
            <w:tcW w:w="850" w:type="dxa"/>
            <w:noWrap/>
            <w:vAlign w:val="center"/>
          </w:tcPr>
          <w:p w14:paraId="3B1910E5">
            <w:pPr>
              <w:pStyle w:val="94"/>
              <w:rPr>
                <w:color w:val="auto"/>
              </w:rPr>
            </w:pPr>
            <w:r>
              <w:rPr>
                <w:rFonts w:hint="eastAsia"/>
                <w:color w:val="auto"/>
              </w:rPr>
              <w:t>小叶杨</w:t>
            </w:r>
          </w:p>
        </w:tc>
        <w:tc>
          <w:tcPr>
            <w:tcW w:w="1701" w:type="dxa"/>
            <w:vAlign w:val="center"/>
          </w:tcPr>
          <w:p w14:paraId="4BA9E2C1">
            <w:pPr>
              <w:pStyle w:val="94"/>
              <w:rPr>
                <w:color w:val="auto"/>
              </w:rPr>
            </w:pPr>
            <w:r>
              <w:rPr>
                <w:rFonts w:hint="eastAsia"/>
                <w:color w:val="auto"/>
              </w:rPr>
              <w:t>坑穴尺寸0.6m×0.6m×0.6m</w:t>
            </w:r>
          </w:p>
        </w:tc>
        <w:tc>
          <w:tcPr>
            <w:tcW w:w="1868" w:type="dxa"/>
            <w:noWrap/>
            <w:vAlign w:val="center"/>
          </w:tcPr>
          <w:p w14:paraId="4F6CDD7B">
            <w:pPr>
              <w:pStyle w:val="94"/>
              <w:rPr>
                <w:color w:val="auto"/>
              </w:rPr>
            </w:pPr>
            <w:r>
              <w:rPr>
                <w:color w:val="auto"/>
              </w:rPr>
              <w:t>株行距规格2m×3m，1650株/ha，紫槐苜蓿：10kg/hm²</w:t>
            </w:r>
          </w:p>
        </w:tc>
        <w:tc>
          <w:tcPr>
            <w:tcW w:w="1642" w:type="dxa"/>
            <w:noWrap/>
            <w:vAlign w:val="center"/>
          </w:tcPr>
          <w:p w14:paraId="1E798995">
            <w:pPr>
              <w:pStyle w:val="94"/>
              <w:rPr>
                <w:color w:val="auto"/>
              </w:rPr>
            </w:pPr>
            <w:r>
              <w:rPr>
                <w:rFonts w:hint="eastAsia"/>
                <w:color w:val="auto"/>
              </w:rPr>
              <w:t>小叶杨</w:t>
            </w:r>
            <w:r>
              <w:rPr>
                <w:color w:val="auto"/>
              </w:rPr>
              <w:t>：</w:t>
            </w:r>
            <w:r>
              <w:rPr>
                <w:rFonts w:hint="eastAsia"/>
                <w:color w:val="auto"/>
              </w:rPr>
              <w:t>8976</w:t>
            </w:r>
            <w:r>
              <w:rPr>
                <w:color w:val="auto"/>
              </w:rPr>
              <w:t>株,紫花苜蓿:</w:t>
            </w:r>
            <w:r>
              <w:rPr>
                <w:rFonts w:hint="eastAsia"/>
                <w:color w:val="auto"/>
              </w:rPr>
              <w:t>163.2</w:t>
            </w:r>
            <w:r>
              <w:rPr>
                <w:color w:val="auto"/>
              </w:rPr>
              <w:t>kg</w:t>
            </w:r>
          </w:p>
        </w:tc>
      </w:tr>
      <w:tr w14:paraId="76A1BA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631" w:type="dxa"/>
            <w:noWrap/>
            <w:vAlign w:val="center"/>
          </w:tcPr>
          <w:p w14:paraId="0B89E4AE">
            <w:pPr>
              <w:pStyle w:val="94"/>
              <w:rPr>
                <w:rFonts w:ascii="Arial" w:hAnsi="Arial" w:cs="Arial"/>
                <w:color w:val="auto"/>
              </w:rPr>
            </w:pPr>
            <w:r>
              <w:rPr>
                <w:color w:val="auto"/>
              </w:rPr>
              <w:t>果园</w:t>
            </w:r>
          </w:p>
        </w:tc>
        <w:tc>
          <w:tcPr>
            <w:tcW w:w="734" w:type="dxa"/>
            <w:noWrap/>
            <w:vAlign w:val="center"/>
          </w:tcPr>
          <w:p w14:paraId="44168DB9">
            <w:pPr>
              <w:pStyle w:val="94"/>
              <w:rPr>
                <w:color w:val="auto"/>
              </w:rPr>
            </w:pPr>
            <w:r>
              <w:rPr>
                <w:color w:val="auto"/>
              </w:rPr>
              <w:t>果园</w:t>
            </w:r>
          </w:p>
        </w:tc>
        <w:tc>
          <w:tcPr>
            <w:tcW w:w="752" w:type="dxa"/>
            <w:noWrap/>
            <w:vAlign w:val="center"/>
          </w:tcPr>
          <w:p w14:paraId="3047D9FC">
            <w:pPr>
              <w:pStyle w:val="94"/>
              <w:rPr>
                <w:color w:val="auto"/>
              </w:rPr>
            </w:pPr>
            <w:r>
              <w:rPr>
                <w:rFonts w:hint="eastAsia"/>
                <w:color w:val="auto"/>
              </w:rPr>
              <w:t>1.65</w:t>
            </w:r>
          </w:p>
        </w:tc>
        <w:tc>
          <w:tcPr>
            <w:tcW w:w="850" w:type="dxa"/>
            <w:noWrap/>
            <w:vAlign w:val="center"/>
          </w:tcPr>
          <w:p w14:paraId="4F8261FA">
            <w:pPr>
              <w:pStyle w:val="94"/>
              <w:rPr>
                <w:rFonts w:ascii="Arial" w:hAnsi="Arial" w:cs="Arial"/>
                <w:color w:val="auto"/>
              </w:rPr>
            </w:pPr>
            <w:r>
              <w:rPr>
                <w:color w:val="auto"/>
              </w:rPr>
              <w:t>种植</w:t>
            </w:r>
            <w:r>
              <w:rPr>
                <w:rFonts w:hint="eastAsia"/>
                <w:color w:val="auto"/>
              </w:rPr>
              <w:t>枣树</w:t>
            </w:r>
          </w:p>
        </w:tc>
        <w:tc>
          <w:tcPr>
            <w:tcW w:w="1418" w:type="dxa"/>
            <w:noWrap/>
            <w:vAlign w:val="center"/>
          </w:tcPr>
          <w:p w14:paraId="57F58DF5">
            <w:pPr>
              <w:pStyle w:val="94"/>
              <w:rPr>
                <w:color w:val="auto"/>
              </w:rPr>
            </w:pPr>
            <w:r>
              <w:rPr>
                <w:color w:val="auto"/>
              </w:rPr>
              <w:t>地径：5cm，苗高：200cm</w:t>
            </w:r>
          </w:p>
        </w:tc>
        <w:tc>
          <w:tcPr>
            <w:tcW w:w="850" w:type="dxa"/>
            <w:noWrap/>
            <w:vAlign w:val="center"/>
          </w:tcPr>
          <w:p w14:paraId="0253DD8E">
            <w:pPr>
              <w:pStyle w:val="94"/>
              <w:rPr>
                <w:color w:val="auto"/>
              </w:rPr>
            </w:pPr>
            <w:r>
              <w:rPr>
                <w:color w:val="auto"/>
              </w:rPr>
              <w:t>苹果树</w:t>
            </w:r>
          </w:p>
        </w:tc>
        <w:tc>
          <w:tcPr>
            <w:tcW w:w="1701" w:type="dxa"/>
            <w:noWrap/>
            <w:vAlign w:val="center"/>
          </w:tcPr>
          <w:p w14:paraId="66673320">
            <w:pPr>
              <w:pStyle w:val="94"/>
              <w:rPr>
                <w:color w:val="auto"/>
              </w:rPr>
            </w:pPr>
            <w:r>
              <w:rPr>
                <w:color w:val="auto"/>
              </w:rPr>
              <w:t>80×80×50cm的大穴整地</w:t>
            </w:r>
          </w:p>
        </w:tc>
        <w:tc>
          <w:tcPr>
            <w:tcW w:w="1868" w:type="dxa"/>
            <w:noWrap/>
            <w:vAlign w:val="center"/>
          </w:tcPr>
          <w:p w14:paraId="202148B7">
            <w:pPr>
              <w:pStyle w:val="94"/>
              <w:rPr>
                <w:rFonts w:ascii="Arial" w:hAnsi="Arial" w:cs="Arial"/>
                <w:color w:val="auto"/>
              </w:rPr>
            </w:pPr>
            <w:r>
              <w:rPr>
                <w:color w:val="auto"/>
              </w:rPr>
              <w:t>株行距规格2m×2m,2500株/ha</w:t>
            </w:r>
          </w:p>
        </w:tc>
        <w:tc>
          <w:tcPr>
            <w:tcW w:w="1642" w:type="dxa"/>
            <w:noWrap/>
            <w:vAlign w:val="center"/>
          </w:tcPr>
          <w:p w14:paraId="37EF6926">
            <w:pPr>
              <w:pStyle w:val="94"/>
              <w:rPr>
                <w:color w:val="auto"/>
              </w:rPr>
            </w:pPr>
            <w:r>
              <w:rPr>
                <w:rFonts w:hint="eastAsia"/>
                <w:color w:val="auto"/>
              </w:rPr>
              <w:t>苹果树：4125株</w:t>
            </w:r>
          </w:p>
        </w:tc>
      </w:tr>
      <w:tr w14:paraId="0512D3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631" w:type="dxa"/>
            <w:noWrap/>
            <w:vAlign w:val="center"/>
          </w:tcPr>
          <w:p w14:paraId="35782ACD">
            <w:pPr>
              <w:pStyle w:val="94"/>
              <w:rPr>
                <w:color w:val="auto"/>
              </w:rPr>
            </w:pPr>
            <w:r>
              <w:rPr>
                <w:rFonts w:hint="eastAsia"/>
                <w:color w:val="auto"/>
              </w:rPr>
              <w:t>灌木林地</w:t>
            </w:r>
          </w:p>
        </w:tc>
        <w:tc>
          <w:tcPr>
            <w:tcW w:w="734" w:type="dxa"/>
            <w:noWrap/>
            <w:vAlign w:val="center"/>
          </w:tcPr>
          <w:p w14:paraId="5E0ED536">
            <w:pPr>
              <w:pStyle w:val="94"/>
              <w:rPr>
                <w:color w:val="auto"/>
              </w:rPr>
            </w:pPr>
            <w:r>
              <w:rPr>
                <w:rFonts w:hint="eastAsia"/>
                <w:color w:val="auto"/>
              </w:rPr>
              <w:t>灌木林地</w:t>
            </w:r>
          </w:p>
        </w:tc>
        <w:tc>
          <w:tcPr>
            <w:tcW w:w="752" w:type="dxa"/>
            <w:noWrap/>
            <w:vAlign w:val="center"/>
          </w:tcPr>
          <w:p w14:paraId="7A16512E">
            <w:pPr>
              <w:pStyle w:val="94"/>
              <w:rPr>
                <w:color w:val="auto"/>
              </w:rPr>
            </w:pPr>
            <w:r>
              <w:rPr>
                <w:rFonts w:hint="eastAsia"/>
                <w:color w:val="auto"/>
              </w:rPr>
              <w:t>0</w:t>
            </w:r>
            <w:r>
              <w:rPr>
                <w:color w:val="auto"/>
              </w:rPr>
              <w:t>.</w:t>
            </w:r>
            <w:r>
              <w:rPr>
                <w:rFonts w:hint="eastAsia"/>
                <w:color w:val="auto"/>
              </w:rPr>
              <w:t>18</w:t>
            </w:r>
          </w:p>
        </w:tc>
        <w:tc>
          <w:tcPr>
            <w:tcW w:w="850" w:type="dxa"/>
            <w:noWrap/>
            <w:vAlign w:val="center"/>
          </w:tcPr>
          <w:p w14:paraId="45354660">
            <w:pPr>
              <w:pStyle w:val="94"/>
              <w:rPr>
                <w:color w:val="auto"/>
              </w:rPr>
            </w:pPr>
            <w:r>
              <w:rPr>
                <w:rFonts w:hint="eastAsia"/>
                <w:color w:val="auto"/>
              </w:rPr>
              <w:t>种植柠条</w:t>
            </w:r>
          </w:p>
        </w:tc>
        <w:tc>
          <w:tcPr>
            <w:tcW w:w="1418" w:type="dxa"/>
            <w:noWrap/>
            <w:vAlign w:val="center"/>
          </w:tcPr>
          <w:p w14:paraId="27D9A3AC">
            <w:pPr>
              <w:pStyle w:val="94"/>
              <w:rPr>
                <w:color w:val="auto"/>
              </w:rPr>
            </w:pPr>
            <w:r>
              <w:rPr>
                <w:color w:val="auto"/>
              </w:rPr>
              <w:t>地径：2cm，苗高：140cm</w:t>
            </w:r>
          </w:p>
        </w:tc>
        <w:tc>
          <w:tcPr>
            <w:tcW w:w="850" w:type="dxa"/>
            <w:noWrap/>
            <w:vAlign w:val="center"/>
          </w:tcPr>
          <w:p w14:paraId="6368CC4F">
            <w:pPr>
              <w:pStyle w:val="94"/>
              <w:rPr>
                <w:color w:val="auto"/>
              </w:rPr>
            </w:pPr>
            <w:r>
              <w:rPr>
                <w:rFonts w:hint="eastAsia"/>
                <w:color w:val="auto"/>
              </w:rPr>
              <w:t>柠条</w:t>
            </w:r>
          </w:p>
        </w:tc>
        <w:tc>
          <w:tcPr>
            <w:tcW w:w="1701" w:type="dxa"/>
            <w:noWrap/>
            <w:vAlign w:val="center"/>
          </w:tcPr>
          <w:p w14:paraId="4672CFD6">
            <w:pPr>
              <w:pStyle w:val="94"/>
              <w:rPr>
                <w:color w:val="auto"/>
              </w:rPr>
            </w:pPr>
            <w:r>
              <w:rPr>
                <w:rFonts w:hint="eastAsia"/>
                <w:color w:val="auto"/>
              </w:rPr>
              <w:t>每坑深度要达到</w:t>
            </w:r>
            <w:r>
              <w:rPr>
                <w:color w:val="auto"/>
              </w:rPr>
              <w:t>40厘米,直径要达到35厘米</w:t>
            </w:r>
          </w:p>
        </w:tc>
        <w:tc>
          <w:tcPr>
            <w:tcW w:w="1868" w:type="dxa"/>
            <w:noWrap/>
            <w:vAlign w:val="center"/>
          </w:tcPr>
          <w:p w14:paraId="3D9C161D">
            <w:pPr>
              <w:pStyle w:val="94"/>
              <w:rPr>
                <w:color w:val="auto"/>
              </w:rPr>
            </w:pPr>
            <w:r>
              <w:rPr>
                <w:color w:val="auto"/>
              </w:rPr>
              <w:t>株行距规格2m×3m,1650株/ha</w:t>
            </w:r>
            <w:r>
              <w:rPr>
                <w:rFonts w:hint="eastAsia"/>
                <w:color w:val="auto"/>
              </w:rPr>
              <w:t>，</w:t>
            </w:r>
            <w:r>
              <w:rPr>
                <w:color w:val="auto"/>
              </w:rPr>
              <w:t>紫槐苜蓿：10kg/hm²</w:t>
            </w:r>
          </w:p>
        </w:tc>
        <w:tc>
          <w:tcPr>
            <w:tcW w:w="1642" w:type="dxa"/>
            <w:noWrap/>
            <w:vAlign w:val="center"/>
          </w:tcPr>
          <w:p w14:paraId="28093A6B">
            <w:pPr>
              <w:pStyle w:val="94"/>
              <w:rPr>
                <w:color w:val="auto"/>
              </w:rPr>
            </w:pPr>
            <w:r>
              <w:rPr>
                <w:rFonts w:hint="eastAsia"/>
                <w:color w:val="auto"/>
              </w:rPr>
              <w:t>柠条</w:t>
            </w:r>
            <w:r>
              <w:rPr>
                <w:color w:val="auto"/>
              </w:rPr>
              <w:t>：</w:t>
            </w:r>
            <w:r>
              <w:rPr>
                <w:rFonts w:hint="eastAsia"/>
                <w:color w:val="auto"/>
              </w:rPr>
              <w:t>297</w:t>
            </w:r>
            <w:r>
              <w:rPr>
                <w:color w:val="auto"/>
              </w:rPr>
              <w:t>株,紫花苜蓿:</w:t>
            </w:r>
            <w:r>
              <w:rPr>
                <w:rFonts w:hint="eastAsia"/>
                <w:color w:val="auto"/>
              </w:rPr>
              <w:t>5.4</w:t>
            </w:r>
            <w:r>
              <w:rPr>
                <w:color w:val="auto"/>
              </w:rPr>
              <w:t>kg</w:t>
            </w:r>
          </w:p>
        </w:tc>
      </w:tr>
    </w:tbl>
    <w:p w14:paraId="3E3DD599">
      <w:pPr>
        <w:pStyle w:val="96"/>
        <w:ind w:firstLine="480"/>
        <w:rPr>
          <w:rFonts w:ascii="Times New Roman" w:hAnsi="Times New Roman"/>
        </w:rPr>
      </w:pPr>
      <w:r>
        <w:t>施工过程对井场周边造成的</w:t>
      </w:r>
      <w:r>
        <w:rPr>
          <w:rFonts w:hint="eastAsia" w:ascii="Times New Roman" w:hAnsi="Times New Roman"/>
        </w:rPr>
        <w:t>3.42</w:t>
      </w:r>
      <w:r>
        <w:rPr>
          <w:rFonts w:ascii="Times New Roman" w:hAnsi="Times New Roman"/>
        </w:rPr>
        <w:t>hm</w:t>
      </w:r>
      <w:r>
        <w:rPr>
          <w:rFonts w:ascii="Times New Roman" w:hAnsi="Times New Roman"/>
          <w:vertAlign w:val="superscript"/>
        </w:rPr>
        <w:t>2</w:t>
      </w:r>
      <w:r>
        <w:t>的坡面中，在较陡的梁峁破面和支离破碎的沟坡上沿等高线自上而下采用鱼鳞坑整地的方式，预计需鱼鳞坑整地的面积为</w:t>
      </w:r>
      <w:r>
        <w:rPr>
          <w:rFonts w:hint="eastAsia" w:ascii="Times New Roman" w:hAnsi="Times New Roman"/>
        </w:rPr>
        <w:t>2</w:t>
      </w:r>
      <w:r>
        <w:rPr>
          <w:rFonts w:ascii="Times New Roman" w:hAnsi="Times New Roman"/>
        </w:rPr>
        <w:t>.</w:t>
      </w:r>
      <w:r>
        <w:rPr>
          <w:rFonts w:hint="eastAsia" w:ascii="Times New Roman" w:hAnsi="Times New Roman"/>
        </w:rPr>
        <w:t>22</w:t>
      </w:r>
      <w:r>
        <w:rPr>
          <w:rFonts w:ascii="Times New Roman" w:hAnsi="Times New Roman"/>
        </w:rPr>
        <w:t>hm</w:t>
      </w:r>
      <w:r>
        <w:rPr>
          <w:rFonts w:ascii="Times New Roman" w:hAnsi="Times New Roman"/>
          <w:vertAlign w:val="superscript"/>
        </w:rPr>
        <w:t>2</w:t>
      </w:r>
      <w:r>
        <w:t>，鱼鳞坑规格为：长径</w:t>
      </w:r>
      <w:r>
        <w:rPr>
          <w:rFonts w:ascii="Times New Roman" w:hAnsi="Times New Roman"/>
        </w:rPr>
        <w:t>0.6m</w:t>
      </w:r>
      <w:r>
        <w:t>，短径</w:t>
      </w:r>
      <w:r>
        <w:rPr>
          <w:rFonts w:ascii="Times New Roman" w:hAnsi="Times New Roman"/>
        </w:rPr>
        <w:t>0.4m</w:t>
      </w:r>
      <w:r>
        <w:t>，坑深</w:t>
      </w:r>
      <w:r>
        <w:rPr>
          <w:rFonts w:ascii="Times New Roman" w:hAnsi="Times New Roman"/>
        </w:rPr>
        <w:t>0.5m</w:t>
      </w:r>
      <w:r>
        <w:t>，行列距为</w:t>
      </w:r>
      <w:r>
        <w:rPr>
          <w:rFonts w:hint="eastAsia" w:ascii="Times New Roman" w:hAnsi="Times New Roman"/>
        </w:rPr>
        <w:t>2-3</w:t>
      </w:r>
      <w:r>
        <w:rPr>
          <w:rFonts w:ascii="Times New Roman" w:hAnsi="Times New Roman"/>
        </w:rPr>
        <w:t>m</w:t>
      </w:r>
      <w:r>
        <w:t>，品字形排列。其余较平整的</w:t>
      </w:r>
      <w:r>
        <w:rPr>
          <w:rFonts w:ascii="Times New Roman" w:hAnsi="Times New Roman"/>
        </w:rPr>
        <w:t>0.2</w:t>
      </w:r>
      <w:r>
        <w:rPr>
          <w:rFonts w:hint="eastAsia" w:ascii="Times New Roman" w:hAnsi="Times New Roman"/>
        </w:rPr>
        <w:t>0</w:t>
      </w:r>
      <w:r>
        <w:rPr>
          <w:rFonts w:ascii="Times New Roman" w:hAnsi="Times New Roman"/>
        </w:rPr>
        <w:t>hm</w:t>
      </w:r>
      <w:r>
        <w:rPr>
          <w:rFonts w:ascii="Times New Roman" w:hAnsi="Times New Roman"/>
          <w:vertAlign w:val="superscript"/>
        </w:rPr>
        <w:t>2</w:t>
      </w:r>
      <w:r>
        <w:t>坡面采用穴状整地方式，穴径</w:t>
      </w:r>
      <w:r>
        <w:rPr>
          <w:rFonts w:ascii="Times New Roman" w:hAnsi="Times New Roman"/>
        </w:rPr>
        <w:t>40cm×</w:t>
      </w:r>
      <w:r>
        <w:t>坑深</w:t>
      </w:r>
      <w:r>
        <w:rPr>
          <w:rFonts w:ascii="Times New Roman" w:hAnsi="Times New Roman"/>
        </w:rPr>
        <w:t>40cm</w:t>
      </w:r>
      <w:r>
        <w:t>。将坡面整治后，方案补充在坡面种植刺槐，苗高</w:t>
      </w:r>
      <w:r>
        <w:rPr>
          <w:rFonts w:ascii="Times New Roman" w:hAnsi="Times New Roman"/>
        </w:rPr>
        <w:t>0.6m</w:t>
      </w:r>
      <w:r>
        <w:t>～</w:t>
      </w:r>
      <w:r>
        <w:rPr>
          <w:rFonts w:ascii="Times New Roman" w:hAnsi="Times New Roman"/>
        </w:rPr>
        <w:t>0.8m</w:t>
      </w:r>
      <w:r>
        <w:t>。</w:t>
      </w:r>
    </w:p>
    <w:p w14:paraId="653828A5">
      <w:pPr>
        <w:keepNext/>
        <w:jc w:val="center"/>
      </w:pPr>
      <w:r>
        <w:drawing>
          <wp:inline distT="0" distB="0" distL="0" distR="0">
            <wp:extent cx="5688965" cy="1908175"/>
            <wp:effectExtent l="0" t="0" r="698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5688965" cy="1908175"/>
                    </a:xfrm>
                    <a:prstGeom prst="rect">
                      <a:avLst/>
                    </a:prstGeom>
                    <a:noFill/>
                    <a:ln>
                      <a:noFill/>
                    </a:ln>
                  </pic:spPr>
                </pic:pic>
              </a:graphicData>
            </a:graphic>
          </wp:inline>
        </w:drawing>
      </w:r>
    </w:p>
    <w:p w14:paraId="367C2885">
      <w:pPr>
        <w:pStyle w:val="19"/>
        <w:ind w:firstLine="480"/>
      </w:pPr>
      <w:r>
        <w:t xml:space="preserve">图 </w:t>
      </w:r>
      <w:r>
        <w:fldChar w:fldCharType="begin"/>
      </w:r>
      <w:r>
        <w:instrText xml:space="preserve"> SEQ 图 \* ARABIC </w:instrText>
      </w:r>
      <w:r>
        <w:fldChar w:fldCharType="separate"/>
      </w:r>
      <w:r>
        <w:t>10</w:t>
      </w:r>
      <w:r>
        <w:fldChar w:fldCharType="end"/>
      </w:r>
      <w:r>
        <w:rPr>
          <w:rFonts w:hint="eastAsia"/>
        </w:rPr>
        <w:t>本项目井场边坡典型生态恢复措施设计图</w:t>
      </w:r>
    </w:p>
    <w:p w14:paraId="542B4357">
      <w:pPr>
        <w:pStyle w:val="96"/>
        <w:ind w:firstLine="480"/>
        <w:rPr>
          <w:rFonts w:ascii="Times New Roman" w:hAnsi="Times New Roman"/>
        </w:rPr>
      </w:pPr>
      <w:r>
        <w:t>钻井完成后，对井场平面布置进行优化，以井口底法兰顶面标高为</w:t>
      </w:r>
      <w:r>
        <w:rPr>
          <w:rFonts w:ascii="Times New Roman" w:hAnsi="Times New Roman"/>
        </w:rPr>
        <w:t>±0.00</w:t>
      </w:r>
      <w:r>
        <w:t>，厂区地坪设计标高为</w:t>
      </w:r>
      <w:r>
        <w:rPr>
          <w:rFonts w:ascii="Times New Roman" w:hAnsi="Times New Roman"/>
        </w:rPr>
        <w:t>-0.2m</w:t>
      </w:r>
      <w:r>
        <w:t>，井场场地自然放坡，坡度为</w:t>
      </w:r>
      <w:r>
        <w:rPr>
          <w:rFonts w:ascii="Times New Roman" w:hAnsi="Times New Roman"/>
        </w:rPr>
        <w:t>0.3%</w:t>
      </w:r>
      <w:r>
        <w:t>。井场设通透钢网围栏，井场采用原土夯实，垫高</w:t>
      </w:r>
      <w:r>
        <w:rPr>
          <w:rFonts w:ascii="Times New Roman" w:hAnsi="Times New Roman"/>
        </w:rPr>
        <w:t>50mm</w:t>
      </w:r>
      <w:r>
        <w:t>，压实后相当于厂区的设计标高，压实系数为</w:t>
      </w:r>
      <w:r>
        <w:rPr>
          <w:rFonts w:ascii="Times New Roman" w:hAnsi="Times New Roman"/>
        </w:rPr>
        <w:t>1.25</w:t>
      </w:r>
      <w:r>
        <w:t>。井场铺设巡检便道，便道宽</w:t>
      </w:r>
      <w:r>
        <w:rPr>
          <w:rFonts w:ascii="Times New Roman" w:hAnsi="Times New Roman"/>
        </w:rPr>
        <w:t>1m</w:t>
      </w:r>
      <w:r>
        <w:t>；井口周围可局部铺装，铺装范围为工艺装置外</w:t>
      </w:r>
      <w:r>
        <w:rPr>
          <w:rFonts w:ascii="Times New Roman" w:hAnsi="Times New Roman"/>
        </w:rPr>
        <w:t>1m</w:t>
      </w:r>
      <w:r>
        <w:t>；铺装材料为预制块或碎石。井场征地边界外围可进行绿化，种植植物。评价要求，采取分段施工、分段生态恢复措施，在单个井场各个采气井达到排采条件后及时对井场进行生态恢复。</w:t>
      </w:r>
    </w:p>
    <w:p w14:paraId="1AC35652">
      <w:pPr>
        <w:pStyle w:val="96"/>
        <w:ind w:firstLine="480"/>
        <w:rPr>
          <w:rFonts w:ascii="Times New Roman" w:hAnsi="Times New Roman"/>
        </w:rPr>
      </w:pPr>
      <w:r>
        <w:t>针对井场临时占地，需要在施工前进行表土剥离，堆存，并采用临时覆盖等措施保存表土，施工完毕后需要对占地进行及时恢复治理，表土厚度保证</w:t>
      </w:r>
      <w:r>
        <w:rPr>
          <w:rFonts w:ascii="Times New Roman" w:hAnsi="Times New Roman"/>
        </w:rPr>
        <w:t>30~50cm</w:t>
      </w:r>
      <w:r>
        <w:t>，临时占用的草地及灌草地进行植被恢复，绿化拟采取灌草混合栽植方式进行植被恢复，选用树（草）种为刺槐、紫花苜蓿等。</w:t>
      </w:r>
    </w:p>
    <w:p w14:paraId="52D348FA">
      <w:pPr>
        <w:pStyle w:val="96"/>
        <w:ind w:firstLine="480"/>
        <w:rPr>
          <w:rFonts w:ascii="Times New Roman" w:hAnsi="Times New Roman"/>
        </w:rPr>
      </w:pPr>
      <w:r>
        <w:t>依据《土地复垦质量控制标准》（</w:t>
      </w:r>
      <w:r>
        <w:rPr>
          <w:rFonts w:ascii="Times New Roman" w:hAnsi="Times New Roman"/>
        </w:rPr>
        <w:t>TD/T 1036-2013</w:t>
      </w:r>
      <w:r>
        <w:t>），并结合复垦区实际情况，确定各地类的复垦质量要求。</w:t>
      </w:r>
    </w:p>
    <w:p w14:paraId="0EA379B6">
      <w:pPr>
        <w:pStyle w:val="19"/>
        <w:keepNext/>
      </w:pPr>
      <w:r>
        <w:t xml:space="preserve">表 </w:t>
      </w:r>
      <w:r>
        <w:fldChar w:fldCharType="begin"/>
      </w:r>
      <w:r>
        <w:instrText xml:space="preserve"> SEQ 表 \* ARABIC </w:instrText>
      </w:r>
      <w:r>
        <w:fldChar w:fldCharType="separate"/>
      </w:r>
      <w:r>
        <w:t>97</w:t>
      </w:r>
      <w:r>
        <w:fldChar w:fldCharType="end"/>
      </w:r>
      <w:r>
        <w:rPr>
          <w:rFonts w:hint="eastAsia"/>
        </w:rPr>
        <w:t>耕地复垦质量控制标准</w:t>
      </w:r>
    </w:p>
    <w:tbl>
      <w:tblPr>
        <w:tblStyle w:val="73"/>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73"/>
        <w:gridCol w:w="1027"/>
        <w:gridCol w:w="2221"/>
        <w:gridCol w:w="2033"/>
        <w:gridCol w:w="4624"/>
      </w:tblGrid>
      <w:tr w14:paraId="4F7DCF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trPr>
        <w:tc>
          <w:tcPr>
            <w:tcW w:w="362" w:type="pct"/>
            <w:tcBorders>
              <w:top w:val="single" w:color="auto" w:sz="4" w:space="0"/>
              <w:left w:val="single" w:color="auto" w:sz="4" w:space="0"/>
              <w:bottom w:val="single" w:color="auto" w:sz="4" w:space="0"/>
              <w:right w:val="single" w:color="auto" w:sz="4" w:space="0"/>
            </w:tcBorders>
            <w:vAlign w:val="center"/>
          </w:tcPr>
          <w:p w14:paraId="3080FB42">
            <w:pPr>
              <w:pStyle w:val="94"/>
              <w:rPr>
                <w:color w:val="auto"/>
              </w:rPr>
            </w:pPr>
            <w:r>
              <w:rPr>
                <w:rFonts w:hint="eastAsia"/>
                <w:color w:val="auto"/>
              </w:rPr>
              <w:t>复垦</w:t>
            </w:r>
          </w:p>
          <w:p w14:paraId="5F33D908">
            <w:pPr>
              <w:pStyle w:val="94"/>
              <w:rPr>
                <w:rFonts w:eastAsia="仿宋"/>
                <w:color w:val="auto"/>
              </w:rPr>
            </w:pPr>
            <w:r>
              <w:rPr>
                <w:rFonts w:hint="eastAsia"/>
                <w:color w:val="auto"/>
              </w:rPr>
              <w:t>方向</w:t>
            </w:r>
          </w:p>
        </w:tc>
        <w:tc>
          <w:tcPr>
            <w:tcW w:w="481" w:type="pct"/>
            <w:tcBorders>
              <w:top w:val="single" w:color="auto" w:sz="4" w:space="0"/>
              <w:left w:val="single" w:color="auto" w:sz="4" w:space="0"/>
              <w:bottom w:val="single" w:color="auto" w:sz="4" w:space="0"/>
              <w:right w:val="single" w:color="auto" w:sz="4" w:space="0"/>
            </w:tcBorders>
            <w:vAlign w:val="center"/>
          </w:tcPr>
          <w:p w14:paraId="631A01BD">
            <w:pPr>
              <w:pStyle w:val="94"/>
              <w:rPr>
                <w:color w:val="auto"/>
              </w:rPr>
            </w:pPr>
            <w:r>
              <w:rPr>
                <w:rFonts w:hint="eastAsia"/>
                <w:color w:val="auto"/>
              </w:rPr>
              <w:t>指标</w:t>
            </w:r>
          </w:p>
          <w:p w14:paraId="77C196D5">
            <w:pPr>
              <w:pStyle w:val="94"/>
              <w:rPr>
                <w:rFonts w:eastAsia="仿宋"/>
                <w:color w:val="auto"/>
              </w:rPr>
            </w:pPr>
            <w:r>
              <w:rPr>
                <w:rFonts w:hint="eastAsia"/>
                <w:color w:val="auto"/>
              </w:rPr>
              <w:t>类型</w:t>
            </w:r>
          </w:p>
        </w:tc>
        <w:tc>
          <w:tcPr>
            <w:tcW w:w="1040" w:type="pct"/>
            <w:tcBorders>
              <w:top w:val="single" w:color="auto" w:sz="4" w:space="0"/>
              <w:left w:val="single" w:color="auto" w:sz="4" w:space="0"/>
              <w:bottom w:val="single" w:color="auto" w:sz="4" w:space="0"/>
              <w:right w:val="single" w:color="auto" w:sz="4" w:space="0"/>
            </w:tcBorders>
            <w:vAlign w:val="center"/>
          </w:tcPr>
          <w:p w14:paraId="58C46E27">
            <w:pPr>
              <w:pStyle w:val="94"/>
              <w:rPr>
                <w:color w:val="auto"/>
              </w:rPr>
            </w:pPr>
            <w:r>
              <w:rPr>
                <w:rFonts w:hint="eastAsia"/>
                <w:color w:val="auto"/>
              </w:rPr>
              <w:t>基本指标</w:t>
            </w:r>
          </w:p>
        </w:tc>
        <w:tc>
          <w:tcPr>
            <w:tcW w:w="952" w:type="pct"/>
            <w:tcBorders>
              <w:top w:val="single" w:color="auto" w:sz="4" w:space="0"/>
              <w:left w:val="single" w:color="auto" w:sz="4" w:space="0"/>
              <w:bottom w:val="single" w:color="auto" w:sz="4" w:space="0"/>
              <w:right w:val="single" w:color="auto" w:sz="4" w:space="0"/>
            </w:tcBorders>
            <w:vAlign w:val="center"/>
          </w:tcPr>
          <w:p w14:paraId="02C2A2EA">
            <w:pPr>
              <w:pStyle w:val="94"/>
              <w:rPr>
                <w:color w:val="auto"/>
              </w:rPr>
            </w:pPr>
            <w:r>
              <w:rPr>
                <w:rFonts w:hint="eastAsia"/>
                <w:color w:val="auto"/>
              </w:rPr>
              <w:t>控制标准</w:t>
            </w:r>
          </w:p>
        </w:tc>
        <w:tc>
          <w:tcPr>
            <w:tcW w:w="2165" w:type="pct"/>
            <w:tcBorders>
              <w:top w:val="single" w:color="auto" w:sz="4" w:space="0"/>
              <w:left w:val="single" w:color="auto" w:sz="4" w:space="0"/>
              <w:bottom w:val="single" w:color="auto" w:sz="4" w:space="0"/>
              <w:right w:val="single" w:color="auto" w:sz="4" w:space="0"/>
            </w:tcBorders>
            <w:vAlign w:val="center"/>
          </w:tcPr>
          <w:p w14:paraId="7FF0AF30">
            <w:pPr>
              <w:pStyle w:val="94"/>
              <w:rPr>
                <w:color w:val="auto"/>
              </w:rPr>
            </w:pPr>
            <w:r>
              <w:rPr>
                <w:rFonts w:hint="eastAsia"/>
                <w:color w:val="auto"/>
              </w:rPr>
              <w:t>本方案控制标准</w:t>
            </w:r>
          </w:p>
        </w:tc>
      </w:tr>
      <w:tr w14:paraId="5A01AC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9" w:hRule="atLeast"/>
        </w:trPr>
        <w:tc>
          <w:tcPr>
            <w:tcW w:w="362" w:type="pct"/>
            <w:vMerge w:val="restart"/>
            <w:tcBorders>
              <w:top w:val="nil"/>
              <w:left w:val="single" w:color="auto" w:sz="4" w:space="0"/>
              <w:bottom w:val="single" w:color="auto" w:sz="4" w:space="0"/>
              <w:right w:val="single" w:color="auto" w:sz="4" w:space="0"/>
            </w:tcBorders>
            <w:vAlign w:val="center"/>
          </w:tcPr>
          <w:p w14:paraId="289CDCDB">
            <w:pPr>
              <w:pStyle w:val="94"/>
              <w:rPr>
                <w:color w:val="auto"/>
              </w:rPr>
            </w:pPr>
            <w:r>
              <w:rPr>
                <w:rFonts w:hint="eastAsia"/>
                <w:color w:val="auto"/>
              </w:rPr>
              <w:t>旱</w:t>
            </w:r>
          </w:p>
          <w:p w14:paraId="24D1898A">
            <w:pPr>
              <w:pStyle w:val="94"/>
              <w:rPr>
                <w:rFonts w:eastAsia="仿宋"/>
                <w:color w:val="auto"/>
              </w:rPr>
            </w:pPr>
            <w:r>
              <w:rPr>
                <w:rFonts w:hint="eastAsia"/>
                <w:color w:val="auto"/>
              </w:rPr>
              <w:t>地</w:t>
            </w:r>
          </w:p>
        </w:tc>
        <w:tc>
          <w:tcPr>
            <w:tcW w:w="481" w:type="pct"/>
            <w:tcBorders>
              <w:top w:val="single" w:color="auto" w:sz="4" w:space="0"/>
              <w:left w:val="single" w:color="auto" w:sz="4" w:space="0"/>
              <w:bottom w:val="single" w:color="auto" w:sz="4" w:space="0"/>
              <w:right w:val="single" w:color="auto" w:sz="4" w:space="0"/>
            </w:tcBorders>
            <w:vAlign w:val="center"/>
          </w:tcPr>
          <w:p w14:paraId="15962DA8">
            <w:pPr>
              <w:pStyle w:val="94"/>
              <w:rPr>
                <w:rFonts w:eastAsia="仿宋"/>
                <w:color w:val="auto"/>
              </w:rPr>
            </w:pPr>
            <w:r>
              <w:rPr>
                <w:rFonts w:hint="eastAsia"/>
                <w:color w:val="auto"/>
              </w:rPr>
              <w:t>地形</w:t>
            </w:r>
          </w:p>
        </w:tc>
        <w:tc>
          <w:tcPr>
            <w:tcW w:w="1040" w:type="pct"/>
            <w:tcBorders>
              <w:top w:val="single" w:color="auto" w:sz="4" w:space="0"/>
              <w:left w:val="single" w:color="auto" w:sz="4" w:space="0"/>
              <w:bottom w:val="single" w:color="auto" w:sz="4" w:space="0"/>
              <w:right w:val="single" w:color="auto" w:sz="4" w:space="0"/>
            </w:tcBorders>
            <w:vAlign w:val="center"/>
          </w:tcPr>
          <w:p w14:paraId="3D623430">
            <w:pPr>
              <w:pStyle w:val="94"/>
              <w:rPr>
                <w:color w:val="auto"/>
              </w:rPr>
            </w:pPr>
            <w:r>
              <w:rPr>
                <w:rFonts w:hint="eastAsia"/>
                <w:color w:val="auto"/>
              </w:rPr>
              <w:t>地形坡度/（°）</w:t>
            </w:r>
          </w:p>
        </w:tc>
        <w:tc>
          <w:tcPr>
            <w:tcW w:w="952" w:type="pct"/>
            <w:tcBorders>
              <w:top w:val="single" w:color="auto" w:sz="4" w:space="0"/>
              <w:left w:val="single" w:color="auto" w:sz="4" w:space="0"/>
              <w:bottom w:val="single" w:color="auto" w:sz="4" w:space="0"/>
              <w:right w:val="single" w:color="auto" w:sz="4" w:space="0"/>
            </w:tcBorders>
            <w:vAlign w:val="center"/>
          </w:tcPr>
          <w:p w14:paraId="7B78EB14">
            <w:pPr>
              <w:pStyle w:val="94"/>
              <w:rPr>
                <w:color w:val="auto"/>
              </w:rPr>
            </w:pPr>
            <w:r>
              <w:rPr>
                <w:rFonts w:hint="eastAsia"/>
                <w:color w:val="auto"/>
              </w:rPr>
              <w:t>≤25</w:t>
            </w:r>
          </w:p>
        </w:tc>
        <w:tc>
          <w:tcPr>
            <w:tcW w:w="2165" w:type="pct"/>
            <w:tcBorders>
              <w:top w:val="single" w:color="auto" w:sz="4" w:space="0"/>
              <w:left w:val="single" w:color="auto" w:sz="4" w:space="0"/>
              <w:bottom w:val="single" w:color="auto" w:sz="4" w:space="0"/>
              <w:right w:val="single" w:color="auto" w:sz="4" w:space="0"/>
            </w:tcBorders>
            <w:vAlign w:val="center"/>
          </w:tcPr>
          <w:p w14:paraId="68DF4FB4">
            <w:pPr>
              <w:pStyle w:val="94"/>
              <w:rPr>
                <w:color w:val="auto"/>
              </w:rPr>
            </w:pPr>
            <w:r>
              <w:rPr>
                <w:rFonts w:hint="eastAsia"/>
                <w:color w:val="auto"/>
              </w:rPr>
              <w:t>≤20</w:t>
            </w:r>
          </w:p>
        </w:tc>
      </w:tr>
      <w:tr w14:paraId="098363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0" w:type="auto"/>
            <w:vMerge w:val="continue"/>
            <w:tcBorders>
              <w:top w:val="nil"/>
              <w:left w:val="single" w:color="auto" w:sz="4" w:space="0"/>
              <w:bottom w:val="single" w:color="auto" w:sz="4" w:space="0"/>
              <w:right w:val="single" w:color="auto" w:sz="4" w:space="0"/>
            </w:tcBorders>
            <w:vAlign w:val="center"/>
          </w:tcPr>
          <w:p w14:paraId="0D529460">
            <w:pPr>
              <w:pStyle w:val="94"/>
              <w:rPr>
                <w:rFonts w:eastAsia="仿宋"/>
                <w:color w:val="auto"/>
              </w:rPr>
            </w:pPr>
          </w:p>
        </w:tc>
        <w:tc>
          <w:tcPr>
            <w:tcW w:w="481" w:type="pct"/>
            <w:vMerge w:val="restart"/>
            <w:tcBorders>
              <w:top w:val="nil"/>
              <w:left w:val="single" w:color="auto" w:sz="4" w:space="0"/>
              <w:bottom w:val="single" w:color="auto" w:sz="4" w:space="0"/>
              <w:right w:val="single" w:color="auto" w:sz="4" w:space="0"/>
            </w:tcBorders>
            <w:vAlign w:val="center"/>
          </w:tcPr>
          <w:p w14:paraId="3412EFC8">
            <w:pPr>
              <w:pStyle w:val="94"/>
              <w:rPr>
                <w:rFonts w:eastAsia="仿宋"/>
                <w:color w:val="auto"/>
              </w:rPr>
            </w:pPr>
            <w:r>
              <w:rPr>
                <w:rFonts w:hint="eastAsia"/>
                <w:color w:val="auto"/>
              </w:rPr>
              <w:t>土壤质量</w:t>
            </w:r>
          </w:p>
        </w:tc>
        <w:tc>
          <w:tcPr>
            <w:tcW w:w="1040" w:type="pct"/>
            <w:tcBorders>
              <w:top w:val="single" w:color="auto" w:sz="4" w:space="0"/>
              <w:left w:val="single" w:color="auto" w:sz="4" w:space="0"/>
              <w:bottom w:val="single" w:color="auto" w:sz="4" w:space="0"/>
              <w:right w:val="single" w:color="auto" w:sz="4" w:space="0"/>
            </w:tcBorders>
            <w:vAlign w:val="center"/>
          </w:tcPr>
          <w:p w14:paraId="55859B61">
            <w:pPr>
              <w:pStyle w:val="94"/>
              <w:rPr>
                <w:color w:val="auto"/>
              </w:rPr>
            </w:pPr>
            <w:r>
              <w:rPr>
                <w:rFonts w:hint="eastAsia"/>
                <w:color w:val="auto"/>
              </w:rPr>
              <w:t>有效土层厚度/（cm）</w:t>
            </w:r>
          </w:p>
        </w:tc>
        <w:tc>
          <w:tcPr>
            <w:tcW w:w="952" w:type="pct"/>
            <w:tcBorders>
              <w:top w:val="single" w:color="auto" w:sz="4" w:space="0"/>
              <w:left w:val="single" w:color="auto" w:sz="4" w:space="0"/>
              <w:bottom w:val="single" w:color="auto" w:sz="4" w:space="0"/>
              <w:right w:val="single" w:color="auto" w:sz="4" w:space="0"/>
            </w:tcBorders>
            <w:vAlign w:val="center"/>
          </w:tcPr>
          <w:p w14:paraId="01A6BC46">
            <w:pPr>
              <w:pStyle w:val="94"/>
              <w:rPr>
                <w:color w:val="auto"/>
              </w:rPr>
            </w:pPr>
            <w:r>
              <w:rPr>
                <w:rFonts w:hint="eastAsia"/>
                <w:color w:val="auto"/>
              </w:rPr>
              <w:t>≥80</w:t>
            </w:r>
          </w:p>
        </w:tc>
        <w:tc>
          <w:tcPr>
            <w:tcW w:w="2165" w:type="pct"/>
            <w:tcBorders>
              <w:top w:val="single" w:color="auto" w:sz="4" w:space="0"/>
              <w:left w:val="single" w:color="auto" w:sz="4" w:space="0"/>
              <w:bottom w:val="single" w:color="auto" w:sz="4" w:space="0"/>
              <w:right w:val="single" w:color="auto" w:sz="4" w:space="0"/>
            </w:tcBorders>
            <w:vAlign w:val="center"/>
          </w:tcPr>
          <w:p w14:paraId="74916959">
            <w:pPr>
              <w:pStyle w:val="94"/>
              <w:rPr>
                <w:color w:val="auto"/>
              </w:rPr>
            </w:pPr>
            <w:r>
              <w:rPr>
                <w:rFonts w:hint="eastAsia"/>
                <w:color w:val="auto"/>
              </w:rPr>
              <w:t>80</w:t>
            </w:r>
          </w:p>
        </w:tc>
      </w:tr>
      <w:tr w14:paraId="3A5A3A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5" w:hRule="atLeast"/>
        </w:trPr>
        <w:tc>
          <w:tcPr>
            <w:tcW w:w="0" w:type="auto"/>
            <w:vMerge w:val="continue"/>
            <w:tcBorders>
              <w:top w:val="nil"/>
              <w:left w:val="single" w:color="auto" w:sz="4" w:space="0"/>
              <w:bottom w:val="single" w:color="auto" w:sz="4" w:space="0"/>
              <w:right w:val="single" w:color="auto" w:sz="4" w:space="0"/>
            </w:tcBorders>
            <w:vAlign w:val="center"/>
          </w:tcPr>
          <w:p w14:paraId="1094FD2F">
            <w:pPr>
              <w:pStyle w:val="94"/>
              <w:rPr>
                <w:rFonts w:eastAsia="仿宋"/>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3EC1B32A">
            <w:pPr>
              <w:pStyle w:val="94"/>
              <w:rPr>
                <w:rFonts w:eastAsia="仿宋"/>
                <w:color w:val="auto"/>
              </w:rPr>
            </w:pPr>
          </w:p>
        </w:tc>
        <w:tc>
          <w:tcPr>
            <w:tcW w:w="1040" w:type="pct"/>
            <w:tcBorders>
              <w:top w:val="single" w:color="auto" w:sz="4" w:space="0"/>
              <w:left w:val="single" w:color="auto" w:sz="4" w:space="0"/>
              <w:bottom w:val="single" w:color="auto" w:sz="4" w:space="0"/>
              <w:right w:val="single" w:color="auto" w:sz="4" w:space="0"/>
            </w:tcBorders>
            <w:vAlign w:val="center"/>
          </w:tcPr>
          <w:p w14:paraId="280329DA">
            <w:pPr>
              <w:pStyle w:val="94"/>
              <w:rPr>
                <w:color w:val="auto"/>
              </w:rPr>
            </w:pPr>
            <w:r>
              <w:rPr>
                <w:rFonts w:hint="eastAsia"/>
                <w:color w:val="auto"/>
              </w:rPr>
              <w:t>土壤容重/（g/cm</w:t>
            </w:r>
            <w:r>
              <w:rPr>
                <w:rFonts w:hint="eastAsia"/>
                <w:color w:val="auto"/>
                <w:vertAlign w:val="superscript"/>
              </w:rPr>
              <w:t>3</w:t>
            </w:r>
            <w:r>
              <w:rPr>
                <w:rFonts w:hint="eastAsia"/>
                <w:color w:val="auto"/>
              </w:rPr>
              <w:t>）</w:t>
            </w:r>
          </w:p>
        </w:tc>
        <w:tc>
          <w:tcPr>
            <w:tcW w:w="952" w:type="pct"/>
            <w:tcBorders>
              <w:top w:val="single" w:color="auto" w:sz="4" w:space="0"/>
              <w:left w:val="single" w:color="auto" w:sz="4" w:space="0"/>
              <w:bottom w:val="single" w:color="auto" w:sz="4" w:space="0"/>
              <w:right w:val="single" w:color="auto" w:sz="4" w:space="0"/>
            </w:tcBorders>
            <w:vAlign w:val="center"/>
          </w:tcPr>
          <w:p w14:paraId="1C6950A3">
            <w:pPr>
              <w:pStyle w:val="94"/>
              <w:rPr>
                <w:color w:val="auto"/>
              </w:rPr>
            </w:pPr>
            <w:r>
              <w:rPr>
                <w:rFonts w:hint="eastAsia"/>
                <w:color w:val="auto"/>
              </w:rPr>
              <w:t>≤1.45</w:t>
            </w:r>
          </w:p>
        </w:tc>
        <w:tc>
          <w:tcPr>
            <w:tcW w:w="2165" w:type="pct"/>
            <w:tcBorders>
              <w:top w:val="single" w:color="auto" w:sz="4" w:space="0"/>
              <w:left w:val="single" w:color="auto" w:sz="4" w:space="0"/>
              <w:bottom w:val="single" w:color="auto" w:sz="4" w:space="0"/>
              <w:right w:val="single" w:color="auto" w:sz="4" w:space="0"/>
            </w:tcBorders>
            <w:vAlign w:val="center"/>
          </w:tcPr>
          <w:p w14:paraId="0F4738C9">
            <w:pPr>
              <w:pStyle w:val="94"/>
              <w:rPr>
                <w:color w:val="auto"/>
              </w:rPr>
            </w:pPr>
            <w:r>
              <w:rPr>
                <w:rFonts w:hint="eastAsia"/>
                <w:color w:val="auto"/>
              </w:rPr>
              <w:t>1.1~1.4</w:t>
            </w:r>
          </w:p>
        </w:tc>
      </w:tr>
      <w:tr w14:paraId="6EEABE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4" w:hRule="atLeast"/>
        </w:trPr>
        <w:tc>
          <w:tcPr>
            <w:tcW w:w="0" w:type="auto"/>
            <w:vMerge w:val="continue"/>
            <w:tcBorders>
              <w:top w:val="nil"/>
              <w:left w:val="single" w:color="auto" w:sz="4" w:space="0"/>
              <w:bottom w:val="single" w:color="auto" w:sz="4" w:space="0"/>
              <w:right w:val="single" w:color="auto" w:sz="4" w:space="0"/>
            </w:tcBorders>
            <w:vAlign w:val="center"/>
          </w:tcPr>
          <w:p w14:paraId="3270210A">
            <w:pPr>
              <w:pStyle w:val="94"/>
              <w:rPr>
                <w:rFonts w:eastAsia="仿宋"/>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12B04CF6">
            <w:pPr>
              <w:pStyle w:val="94"/>
              <w:rPr>
                <w:rFonts w:eastAsia="仿宋"/>
                <w:color w:val="auto"/>
              </w:rPr>
            </w:pPr>
          </w:p>
        </w:tc>
        <w:tc>
          <w:tcPr>
            <w:tcW w:w="1040" w:type="pct"/>
            <w:tcBorders>
              <w:top w:val="single" w:color="auto" w:sz="4" w:space="0"/>
              <w:left w:val="single" w:color="auto" w:sz="4" w:space="0"/>
              <w:bottom w:val="single" w:color="auto" w:sz="4" w:space="0"/>
              <w:right w:val="single" w:color="auto" w:sz="4" w:space="0"/>
            </w:tcBorders>
            <w:vAlign w:val="center"/>
          </w:tcPr>
          <w:p w14:paraId="1085220E">
            <w:pPr>
              <w:pStyle w:val="94"/>
              <w:rPr>
                <w:color w:val="auto"/>
              </w:rPr>
            </w:pPr>
            <w:r>
              <w:rPr>
                <w:rFonts w:hint="eastAsia"/>
                <w:color w:val="auto"/>
              </w:rPr>
              <w:t>土壤质地</w:t>
            </w:r>
          </w:p>
        </w:tc>
        <w:tc>
          <w:tcPr>
            <w:tcW w:w="952" w:type="pct"/>
            <w:tcBorders>
              <w:top w:val="single" w:color="auto" w:sz="4" w:space="0"/>
              <w:left w:val="single" w:color="auto" w:sz="4" w:space="0"/>
              <w:bottom w:val="single" w:color="auto" w:sz="4" w:space="0"/>
              <w:right w:val="single" w:color="auto" w:sz="4" w:space="0"/>
            </w:tcBorders>
            <w:vAlign w:val="center"/>
          </w:tcPr>
          <w:p w14:paraId="5E783EC3">
            <w:pPr>
              <w:pStyle w:val="94"/>
              <w:rPr>
                <w:color w:val="auto"/>
              </w:rPr>
            </w:pPr>
            <w:r>
              <w:rPr>
                <w:rFonts w:hint="eastAsia"/>
                <w:color w:val="auto"/>
              </w:rPr>
              <w:t>不限</w:t>
            </w:r>
          </w:p>
        </w:tc>
        <w:tc>
          <w:tcPr>
            <w:tcW w:w="2165" w:type="pct"/>
            <w:tcBorders>
              <w:top w:val="single" w:color="auto" w:sz="4" w:space="0"/>
              <w:left w:val="single" w:color="auto" w:sz="4" w:space="0"/>
              <w:bottom w:val="single" w:color="auto" w:sz="4" w:space="0"/>
              <w:right w:val="single" w:color="auto" w:sz="4" w:space="0"/>
            </w:tcBorders>
            <w:vAlign w:val="center"/>
          </w:tcPr>
          <w:p w14:paraId="460CAA36">
            <w:pPr>
              <w:pStyle w:val="94"/>
              <w:rPr>
                <w:color w:val="auto"/>
              </w:rPr>
            </w:pPr>
            <w:r>
              <w:rPr>
                <w:rFonts w:hint="eastAsia"/>
                <w:color w:val="auto"/>
              </w:rPr>
              <w:t>壤土或砂土</w:t>
            </w:r>
          </w:p>
        </w:tc>
      </w:tr>
      <w:tr w14:paraId="540B4D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0" w:type="auto"/>
            <w:vMerge w:val="continue"/>
            <w:tcBorders>
              <w:top w:val="nil"/>
              <w:left w:val="single" w:color="auto" w:sz="4" w:space="0"/>
              <w:bottom w:val="single" w:color="auto" w:sz="4" w:space="0"/>
              <w:right w:val="single" w:color="auto" w:sz="4" w:space="0"/>
            </w:tcBorders>
            <w:vAlign w:val="center"/>
          </w:tcPr>
          <w:p w14:paraId="3E9FADE8">
            <w:pPr>
              <w:pStyle w:val="94"/>
              <w:rPr>
                <w:rFonts w:eastAsia="仿宋"/>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0EDF7686">
            <w:pPr>
              <w:pStyle w:val="94"/>
              <w:rPr>
                <w:rFonts w:eastAsia="仿宋"/>
                <w:color w:val="auto"/>
              </w:rPr>
            </w:pPr>
          </w:p>
        </w:tc>
        <w:tc>
          <w:tcPr>
            <w:tcW w:w="1040" w:type="pct"/>
            <w:tcBorders>
              <w:top w:val="single" w:color="auto" w:sz="4" w:space="0"/>
              <w:left w:val="single" w:color="auto" w:sz="4" w:space="0"/>
              <w:bottom w:val="single" w:color="auto" w:sz="4" w:space="0"/>
              <w:right w:val="single" w:color="auto" w:sz="4" w:space="0"/>
            </w:tcBorders>
            <w:vAlign w:val="center"/>
          </w:tcPr>
          <w:p w14:paraId="2DD2B2F8">
            <w:pPr>
              <w:pStyle w:val="94"/>
              <w:rPr>
                <w:color w:val="auto"/>
              </w:rPr>
            </w:pPr>
            <w:r>
              <w:rPr>
                <w:rFonts w:hint="eastAsia"/>
                <w:color w:val="auto"/>
              </w:rPr>
              <w:t>砾石含量/（%）</w:t>
            </w:r>
          </w:p>
        </w:tc>
        <w:tc>
          <w:tcPr>
            <w:tcW w:w="952" w:type="pct"/>
            <w:tcBorders>
              <w:top w:val="single" w:color="auto" w:sz="4" w:space="0"/>
              <w:left w:val="single" w:color="auto" w:sz="4" w:space="0"/>
              <w:bottom w:val="single" w:color="auto" w:sz="4" w:space="0"/>
              <w:right w:val="single" w:color="auto" w:sz="4" w:space="0"/>
            </w:tcBorders>
            <w:vAlign w:val="center"/>
          </w:tcPr>
          <w:p w14:paraId="0728A818">
            <w:pPr>
              <w:pStyle w:val="94"/>
              <w:rPr>
                <w:color w:val="auto"/>
              </w:rPr>
            </w:pPr>
            <w:r>
              <w:rPr>
                <w:rFonts w:hint="eastAsia"/>
                <w:color w:val="auto"/>
              </w:rPr>
              <w:t>≤5</w:t>
            </w:r>
          </w:p>
        </w:tc>
        <w:tc>
          <w:tcPr>
            <w:tcW w:w="2165" w:type="pct"/>
            <w:tcBorders>
              <w:top w:val="single" w:color="auto" w:sz="4" w:space="0"/>
              <w:left w:val="single" w:color="auto" w:sz="4" w:space="0"/>
              <w:bottom w:val="single" w:color="auto" w:sz="4" w:space="0"/>
              <w:right w:val="single" w:color="auto" w:sz="4" w:space="0"/>
            </w:tcBorders>
            <w:vAlign w:val="center"/>
          </w:tcPr>
          <w:p w14:paraId="3DC54595">
            <w:pPr>
              <w:pStyle w:val="94"/>
              <w:rPr>
                <w:color w:val="auto"/>
              </w:rPr>
            </w:pPr>
            <w:r>
              <w:rPr>
                <w:rFonts w:hint="eastAsia"/>
                <w:color w:val="auto"/>
              </w:rPr>
              <w:t>≤5</w:t>
            </w:r>
          </w:p>
        </w:tc>
      </w:tr>
      <w:tr w14:paraId="3E2ACB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73" w:hRule="atLeast"/>
        </w:trPr>
        <w:tc>
          <w:tcPr>
            <w:tcW w:w="0" w:type="auto"/>
            <w:vMerge w:val="continue"/>
            <w:tcBorders>
              <w:top w:val="nil"/>
              <w:left w:val="single" w:color="auto" w:sz="4" w:space="0"/>
              <w:bottom w:val="single" w:color="auto" w:sz="4" w:space="0"/>
              <w:right w:val="single" w:color="auto" w:sz="4" w:space="0"/>
            </w:tcBorders>
            <w:vAlign w:val="center"/>
          </w:tcPr>
          <w:p w14:paraId="5097E974">
            <w:pPr>
              <w:pStyle w:val="94"/>
              <w:rPr>
                <w:rFonts w:eastAsia="仿宋"/>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6EE3D909">
            <w:pPr>
              <w:pStyle w:val="94"/>
              <w:rPr>
                <w:rFonts w:eastAsia="仿宋"/>
                <w:color w:val="auto"/>
              </w:rPr>
            </w:pPr>
          </w:p>
        </w:tc>
        <w:tc>
          <w:tcPr>
            <w:tcW w:w="1040" w:type="pct"/>
            <w:tcBorders>
              <w:top w:val="single" w:color="auto" w:sz="4" w:space="0"/>
              <w:left w:val="single" w:color="auto" w:sz="4" w:space="0"/>
              <w:bottom w:val="single" w:color="auto" w:sz="4" w:space="0"/>
              <w:right w:val="single" w:color="auto" w:sz="4" w:space="0"/>
            </w:tcBorders>
            <w:vAlign w:val="center"/>
          </w:tcPr>
          <w:p w14:paraId="360A1C91">
            <w:pPr>
              <w:pStyle w:val="94"/>
              <w:rPr>
                <w:color w:val="auto"/>
              </w:rPr>
            </w:pPr>
            <w:r>
              <w:rPr>
                <w:rFonts w:hint="eastAsia"/>
                <w:color w:val="auto"/>
              </w:rPr>
              <w:t>pH值</w:t>
            </w:r>
          </w:p>
        </w:tc>
        <w:tc>
          <w:tcPr>
            <w:tcW w:w="952" w:type="pct"/>
            <w:tcBorders>
              <w:top w:val="single" w:color="auto" w:sz="4" w:space="0"/>
              <w:left w:val="single" w:color="auto" w:sz="4" w:space="0"/>
              <w:bottom w:val="single" w:color="auto" w:sz="4" w:space="0"/>
              <w:right w:val="single" w:color="auto" w:sz="4" w:space="0"/>
            </w:tcBorders>
            <w:vAlign w:val="center"/>
          </w:tcPr>
          <w:p w14:paraId="3CF6A88A">
            <w:pPr>
              <w:pStyle w:val="94"/>
              <w:rPr>
                <w:color w:val="auto"/>
              </w:rPr>
            </w:pPr>
            <w:r>
              <w:rPr>
                <w:rFonts w:hint="eastAsia"/>
                <w:color w:val="auto"/>
              </w:rPr>
              <w:t>6.0~8.5</w:t>
            </w:r>
          </w:p>
        </w:tc>
        <w:tc>
          <w:tcPr>
            <w:tcW w:w="2165" w:type="pct"/>
            <w:tcBorders>
              <w:top w:val="single" w:color="auto" w:sz="4" w:space="0"/>
              <w:left w:val="single" w:color="auto" w:sz="4" w:space="0"/>
              <w:bottom w:val="single" w:color="auto" w:sz="4" w:space="0"/>
              <w:right w:val="single" w:color="auto" w:sz="4" w:space="0"/>
            </w:tcBorders>
            <w:vAlign w:val="center"/>
          </w:tcPr>
          <w:p w14:paraId="5DAC8302">
            <w:pPr>
              <w:pStyle w:val="94"/>
              <w:rPr>
                <w:color w:val="auto"/>
              </w:rPr>
            </w:pPr>
            <w:r>
              <w:rPr>
                <w:rFonts w:hint="eastAsia"/>
                <w:color w:val="auto"/>
              </w:rPr>
              <w:t>7.5~8.5</w:t>
            </w:r>
          </w:p>
        </w:tc>
      </w:tr>
      <w:tr w14:paraId="6D6DF8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3" w:hRule="atLeast"/>
        </w:trPr>
        <w:tc>
          <w:tcPr>
            <w:tcW w:w="0" w:type="auto"/>
            <w:vMerge w:val="continue"/>
            <w:tcBorders>
              <w:top w:val="nil"/>
              <w:left w:val="single" w:color="auto" w:sz="4" w:space="0"/>
              <w:bottom w:val="single" w:color="auto" w:sz="4" w:space="0"/>
              <w:right w:val="single" w:color="auto" w:sz="4" w:space="0"/>
            </w:tcBorders>
            <w:vAlign w:val="center"/>
          </w:tcPr>
          <w:p w14:paraId="0ACDDD4C">
            <w:pPr>
              <w:pStyle w:val="94"/>
              <w:rPr>
                <w:rFonts w:eastAsia="仿宋"/>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16AF6063">
            <w:pPr>
              <w:pStyle w:val="94"/>
              <w:rPr>
                <w:rFonts w:eastAsia="仿宋"/>
                <w:color w:val="auto"/>
              </w:rPr>
            </w:pPr>
          </w:p>
        </w:tc>
        <w:tc>
          <w:tcPr>
            <w:tcW w:w="1040" w:type="pct"/>
            <w:tcBorders>
              <w:top w:val="single" w:color="auto" w:sz="4" w:space="0"/>
              <w:left w:val="single" w:color="auto" w:sz="4" w:space="0"/>
              <w:bottom w:val="single" w:color="auto" w:sz="4" w:space="0"/>
              <w:right w:val="single" w:color="auto" w:sz="4" w:space="0"/>
            </w:tcBorders>
            <w:vAlign w:val="center"/>
          </w:tcPr>
          <w:p w14:paraId="61117D25">
            <w:pPr>
              <w:pStyle w:val="94"/>
              <w:rPr>
                <w:color w:val="auto"/>
              </w:rPr>
            </w:pPr>
            <w:r>
              <w:rPr>
                <w:rFonts w:hint="eastAsia"/>
                <w:color w:val="auto"/>
              </w:rPr>
              <w:t>有机质/（%）</w:t>
            </w:r>
          </w:p>
        </w:tc>
        <w:tc>
          <w:tcPr>
            <w:tcW w:w="952" w:type="pct"/>
            <w:tcBorders>
              <w:top w:val="single" w:color="auto" w:sz="4" w:space="0"/>
              <w:left w:val="single" w:color="auto" w:sz="4" w:space="0"/>
              <w:bottom w:val="single" w:color="auto" w:sz="4" w:space="0"/>
              <w:right w:val="single" w:color="auto" w:sz="4" w:space="0"/>
            </w:tcBorders>
            <w:vAlign w:val="center"/>
          </w:tcPr>
          <w:p w14:paraId="76FAE3B5">
            <w:pPr>
              <w:pStyle w:val="94"/>
              <w:rPr>
                <w:color w:val="auto"/>
              </w:rPr>
            </w:pPr>
            <w:r>
              <w:rPr>
                <w:rFonts w:hint="eastAsia"/>
                <w:color w:val="auto"/>
              </w:rPr>
              <w:t>≥0.5</w:t>
            </w:r>
          </w:p>
        </w:tc>
        <w:tc>
          <w:tcPr>
            <w:tcW w:w="2165" w:type="pct"/>
            <w:tcBorders>
              <w:top w:val="single" w:color="auto" w:sz="4" w:space="0"/>
              <w:left w:val="single" w:color="auto" w:sz="4" w:space="0"/>
              <w:bottom w:val="single" w:color="auto" w:sz="4" w:space="0"/>
              <w:right w:val="single" w:color="auto" w:sz="4" w:space="0"/>
            </w:tcBorders>
            <w:vAlign w:val="center"/>
          </w:tcPr>
          <w:p w14:paraId="11FE8CD8">
            <w:pPr>
              <w:pStyle w:val="94"/>
              <w:rPr>
                <w:color w:val="auto"/>
              </w:rPr>
            </w:pPr>
            <w:r>
              <w:rPr>
                <w:rFonts w:hint="eastAsia"/>
                <w:color w:val="auto"/>
              </w:rPr>
              <w:t>≥0.6</w:t>
            </w:r>
          </w:p>
        </w:tc>
      </w:tr>
      <w:tr w14:paraId="13E5A8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0" w:hRule="atLeast"/>
        </w:trPr>
        <w:tc>
          <w:tcPr>
            <w:tcW w:w="0" w:type="auto"/>
            <w:vMerge w:val="continue"/>
            <w:tcBorders>
              <w:top w:val="nil"/>
              <w:left w:val="single" w:color="auto" w:sz="4" w:space="0"/>
              <w:bottom w:val="single" w:color="auto" w:sz="4" w:space="0"/>
              <w:right w:val="single" w:color="auto" w:sz="4" w:space="0"/>
            </w:tcBorders>
            <w:vAlign w:val="center"/>
          </w:tcPr>
          <w:p w14:paraId="2ED51D00">
            <w:pPr>
              <w:pStyle w:val="94"/>
              <w:rPr>
                <w:rFonts w:eastAsia="仿宋"/>
                <w:color w:val="auto"/>
              </w:rPr>
            </w:pPr>
          </w:p>
        </w:tc>
        <w:tc>
          <w:tcPr>
            <w:tcW w:w="481" w:type="pct"/>
            <w:vMerge w:val="restart"/>
            <w:tcBorders>
              <w:top w:val="nil"/>
              <w:left w:val="single" w:color="auto" w:sz="4" w:space="0"/>
              <w:bottom w:val="single" w:color="auto" w:sz="4" w:space="0"/>
              <w:right w:val="single" w:color="auto" w:sz="4" w:space="0"/>
            </w:tcBorders>
            <w:vAlign w:val="center"/>
          </w:tcPr>
          <w:p w14:paraId="40C64B29">
            <w:pPr>
              <w:pStyle w:val="94"/>
              <w:rPr>
                <w:color w:val="auto"/>
              </w:rPr>
            </w:pPr>
            <w:r>
              <w:rPr>
                <w:rFonts w:hint="eastAsia"/>
                <w:color w:val="auto"/>
              </w:rPr>
              <w:t>配套设施</w:t>
            </w:r>
          </w:p>
        </w:tc>
        <w:tc>
          <w:tcPr>
            <w:tcW w:w="1040" w:type="pct"/>
            <w:tcBorders>
              <w:top w:val="single" w:color="auto" w:sz="4" w:space="0"/>
              <w:left w:val="single" w:color="auto" w:sz="4" w:space="0"/>
              <w:bottom w:val="single" w:color="auto" w:sz="4" w:space="0"/>
              <w:right w:val="single" w:color="auto" w:sz="4" w:space="0"/>
            </w:tcBorders>
            <w:vAlign w:val="center"/>
          </w:tcPr>
          <w:p w14:paraId="123E4CA6">
            <w:pPr>
              <w:pStyle w:val="94"/>
              <w:rPr>
                <w:color w:val="auto"/>
              </w:rPr>
            </w:pPr>
            <w:r>
              <w:rPr>
                <w:rFonts w:hint="eastAsia"/>
                <w:color w:val="auto"/>
              </w:rPr>
              <w:t>排水</w:t>
            </w:r>
          </w:p>
        </w:tc>
        <w:tc>
          <w:tcPr>
            <w:tcW w:w="952" w:type="pct"/>
            <w:vMerge w:val="restart"/>
            <w:tcBorders>
              <w:top w:val="nil"/>
              <w:left w:val="single" w:color="auto" w:sz="4" w:space="0"/>
              <w:bottom w:val="single" w:color="auto" w:sz="4" w:space="0"/>
              <w:right w:val="single" w:color="auto" w:sz="4" w:space="0"/>
            </w:tcBorders>
            <w:vAlign w:val="center"/>
          </w:tcPr>
          <w:p w14:paraId="7B0F2D3B">
            <w:pPr>
              <w:pStyle w:val="94"/>
              <w:rPr>
                <w:color w:val="auto"/>
              </w:rPr>
            </w:pPr>
            <w:r>
              <w:rPr>
                <w:rFonts w:hint="eastAsia"/>
                <w:color w:val="auto"/>
              </w:rPr>
              <w:t>达到当地各行业工程建设标准要求</w:t>
            </w:r>
          </w:p>
        </w:tc>
        <w:tc>
          <w:tcPr>
            <w:tcW w:w="2165" w:type="pct"/>
            <w:tcBorders>
              <w:top w:val="single" w:color="auto" w:sz="4" w:space="0"/>
              <w:left w:val="single" w:color="auto" w:sz="4" w:space="0"/>
              <w:bottom w:val="single" w:color="auto" w:sz="4" w:space="0"/>
              <w:right w:val="single" w:color="auto" w:sz="4" w:space="0"/>
            </w:tcBorders>
            <w:vAlign w:val="center"/>
          </w:tcPr>
          <w:p w14:paraId="104721BA">
            <w:pPr>
              <w:pStyle w:val="94"/>
              <w:rPr>
                <w:color w:val="auto"/>
              </w:rPr>
            </w:pPr>
            <w:r>
              <w:rPr>
                <w:rFonts w:hint="eastAsia"/>
                <w:color w:val="auto"/>
              </w:rPr>
              <w:t>田间道路一侧设排水沟</w:t>
            </w:r>
          </w:p>
        </w:tc>
      </w:tr>
      <w:tr w14:paraId="2CACC6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0" w:hRule="atLeast"/>
        </w:trPr>
        <w:tc>
          <w:tcPr>
            <w:tcW w:w="0" w:type="auto"/>
            <w:vMerge w:val="continue"/>
            <w:tcBorders>
              <w:top w:val="nil"/>
              <w:left w:val="single" w:color="auto" w:sz="4" w:space="0"/>
              <w:bottom w:val="single" w:color="auto" w:sz="4" w:space="0"/>
              <w:right w:val="single" w:color="auto" w:sz="4" w:space="0"/>
            </w:tcBorders>
            <w:vAlign w:val="center"/>
          </w:tcPr>
          <w:p w14:paraId="6C82C39C">
            <w:pPr>
              <w:pStyle w:val="94"/>
              <w:rPr>
                <w:rFonts w:eastAsia="仿宋"/>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6F972E6E">
            <w:pPr>
              <w:pStyle w:val="94"/>
              <w:rPr>
                <w:color w:val="auto"/>
              </w:rPr>
            </w:pPr>
          </w:p>
        </w:tc>
        <w:tc>
          <w:tcPr>
            <w:tcW w:w="1040" w:type="pct"/>
            <w:tcBorders>
              <w:top w:val="single" w:color="auto" w:sz="4" w:space="0"/>
              <w:left w:val="single" w:color="auto" w:sz="4" w:space="0"/>
              <w:bottom w:val="single" w:color="auto" w:sz="4" w:space="0"/>
              <w:right w:val="single" w:color="auto" w:sz="4" w:space="0"/>
            </w:tcBorders>
            <w:vAlign w:val="center"/>
          </w:tcPr>
          <w:p w14:paraId="15DD2E6B">
            <w:pPr>
              <w:pStyle w:val="94"/>
              <w:rPr>
                <w:color w:val="auto"/>
              </w:rPr>
            </w:pPr>
            <w:r>
              <w:rPr>
                <w:rFonts w:hint="eastAsia"/>
                <w:color w:val="auto"/>
              </w:rPr>
              <w:t>道路</w:t>
            </w:r>
          </w:p>
        </w:tc>
        <w:tc>
          <w:tcPr>
            <w:tcW w:w="0" w:type="auto"/>
            <w:vMerge w:val="continue"/>
            <w:tcBorders>
              <w:top w:val="nil"/>
              <w:left w:val="single" w:color="auto" w:sz="4" w:space="0"/>
              <w:bottom w:val="single" w:color="auto" w:sz="4" w:space="0"/>
              <w:right w:val="single" w:color="auto" w:sz="4" w:space="0"/>
            </w:tcBorders>
            <w:vAlign w:val="center"/>
          </w:tcPr>
          <w:p w14:paraId="614A8D78">
            <w:pPr>
              <w:pStyle w:val="94"/>
              <w:rPr>
                <w:color w:val="auto"/>
              </w:rPr>
            </w:pPr>
          </w:p>
        </w:tc>
        <w:tc>
          <w:tcPr>
            <w:tcW w:w="2165" w:type="pct"/>
            <w:tcBorders>
              <w:top w:val="single" w:color="auto" w:sz="4" w:space="0"/>
              <w:left w:val="single" w:color="auto" w:sz="4" w:space="0"/>
              <w:bottom w:val="single" w:color="auto" w:sz="4" w:space="0"/>
              <w:right w:val="single" w:color="auto" w:sz="4" w:space="0"/>
            </w:tcBorders>
            <w:vAlign w:val="center"/>
          </w:tcPr>
          <w:p w14:paraId="04222331">
            <w:pPr>
              <w:pStyle w:val="94"/>
              <w:rPr>
                <w:color w:val="auto"/>
              </w:rPr>
            </w:pPr>
            <w:r>
              <w:rPr>
                <w:rFonts w:hint="eastAsia"/>
                <w:color w:val="auto"/>
              </w:rPr>
              <w:t>田间道宽4m，泥结碎石路面，素土路基；生产路宽2m，路面为素土夯实。</w:t>
            </w:r>
          </w:p>
        </w:tc>
      </w:tr>
      <w:tr w14:paraId="6CF209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tcBorders>
              <w:top w:val="nil"/>
              <w:left w:val="single" w:color="auto" w:sz="4" w:space="0"/>
              <w:bottom w:val="single" w:color="auto" w:sz="4" w:space="0"/>
              <w:right w:val="single" w:color="auto" w:sz="4" w:space="0"/>
            </w:tcBorders>
            <w:vAlign w:val="center"/>
          </w:tcPr>
          <w:p w14:paraId="7B3B68BD">
            <w:pPr>
              <w:pStyle w:val="94"/>
              <w:rPr>
                <w:rFonts w:eastAsia="仿宋"/>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312E03F0">
            <w:pPr>
              <w:pStyle w:val="94"/>
              <w:rPr>
                <w:color w:val="auto"/>
              </w:rPr>
            </w:pPr>
          </w:p>
        </w:tc>
        <w:tc>
          <w:tcPr>
            <w:tcW w:w="1040" w:type="pct"/>
            <w:tcBorders>
              <w:top w:val="single" w:color="auto" w:sz="4" w:space="0"/>
              <w:left w:val="single" w:color="auto" w:sz="4" w:space="0"/>
              <w:bottom w:val="single" w:color="auto" w:sz="4" w:space="0"/>
              <w:right w:val="single" w:color="auto" w:sz="4" w:space="0"/>
            </w:tcBorders>
            <w:vAlign w:val="center"/>
          </w:tcPr>
          <w:p w14:paraId="4D59C99B">
            <w:pPr>
              <w:pStyle w:val="94"/>
              <w:rPr>
                <w:color w:val="auto"/>
              </w:rPr>
            </w:pPr>
            <w:r>
              <w:rPr>
                <w:rFonts w:hint="eastAsia"/>
                <w:color w:val="auto"/>
              </w:rPr>
              <w:t>林网</w:t>
            </w:r>
          </w:p>
        </w:tc>
        <w:tc>
          <w:tcPr>
            <w:tcW w:w="0" w:type="auto"/>
            <w:vMerge w:val="continue"/>
            <w:tcBorders>
              <w:top w:val="nil"/>
              <w:left w:val="single" w:color="auto" w:sz="4" w:space="0"/>
              <w:bottom w:val="single" w:color="auto" w:sz="4" w:space="0"/>
              <w:right w:val="single" w:color="auto" w:sz="4" w:space="0"/>
            </w:tcBorders>
            <w:vAlign w:val="center"/>
          </w:tcPr>
          <w:p w14:paraId="08981ABA">
            <w:pPr>
              <w:pStyle w:val="94"/>
              <w:rPr>
                <w:color w:val="auto"/>
              </w:rPr>
            </w:pPr>
          </w:p>
        </w:tc>
        <w:tc>
          <w:tcPr>
            <w:tcW w:w="2165" w:type="pct"/>
            <w:tcBorders>
              <w:top w:val="single" w:color="auto" w:sz="4" w:space="0"/>
              <w:left w:val="single" w:color="auto" w:sz="4" w:space="0"/>
              <w:bottom w:val="single" w:color="auto" w:sz="4" w:space="0"/>
              <w:right w:val="single" w:color="auto" w:sz="4" w:space="0"/>
            </w:tcBorders>
            <w:vAlign w:val="center"/>
          </w:tcPr>
          <w:p w14:paraId="4E45F5C3">
            <w:pPr>
              <w:pStyle w:val="94"/>
              <w:rPr>
                <w:color w:val="auto"/>
              </w:rPr>
            </w:pPr>
            <w:r>
              <w:rPr>
                <w:rFonts w:hint="eastAsia"/>
                <w:color w:val="auto"/>
              </w:rPr>
              <w:t>田间道一旁种植刺槐，呈单行种植，每3m种植一株</w:t>
            </w:r>
          </w:p>
        </w:tc>
      </w:tr>
      <w:tr w14:paraId="0960569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81" w:hRule="atLeast"/>
        </w:trPr>
        <w:tc>
          <w:tcPr>
            <w:tcW w:w="0" w:type="auto"/>
            <w:vMerge w:val="continue"/>
            <w:tcBorders>
              <w:top w:val="nil"/>
              <w:left w:val="single" w:color="auto" w:sz="4" w:space="0"/>
              <w:bottom w:val="single" w:color="auto" w:sz="4" w:space="0"/>
              <w:right w:val="single" w:color="auto" w:sz="4" w:space="0"/>
            </w:tcBorders>
            <w:vAlign w:val="center"/>
          </w:tcPr>
          <w:p w14:paraId="1C5FFD9A">
            <w:pPr>
              <w:pStyle w:val="94"/>
              <w:rPr>
                <w:rFonts w:eastAsia="仿宋"/>
                <w:color w:val="auto"/>
              </w:rPr>
            </w:pPr>
          </w:p>
        </w:tc>
        <w:tc>
          <w:tcPr>
            <w:tcW w:w="481" w:type="pct"/>
            <w:tcBorders>
              <w:top w:val="single" w:color="auto" w:sz="4" w:space="0"/>
              <w:left w:val="single" w:color="auto" w:sz="4" w:space="0"/>
              <w:bottom w:val="single" w:color="auto" w:sz="4" w:space="0"/>
              <w:right w:val="single" w:color="auto" w:sz="4" w:space="0"/>
            </w:tcBorders>
            <w:vAlign w:val="center"/>
          </w:tcPr>
          <w:p w14:paraId="2990CB8C">
            <w:pPr>
              <w:pStyle w:val="94"/>
              <w:rPr>
                <w:rFonts w:eastAsia="仿宋"/>
                <w:color w:val="auto"/>
              </w:rPr>
            </w:pPr>
            <w:r>
              <w:rPr>
                <w:rFonts w:hint="eastAsia"/>
                <w:color w:val="auto"/>
              </w:rPr>
              <w:t>生产力水平</w:t>
            </w:r>
          </w:p>
        </w:tc>
        <w:tc>
          <w:tcPr>
            <w:tcW w:w="1040" w:type="pct"/>
            <w:tcBorders>
              <w:top w:val="single" w:color="auto" w:sz="4" w:space="0"/>
              <w:left w:val="single" w:color="auto" w:sz="4" w:space="0"/>
              <w:bottom w:val="single" w:color="auto" w:sz="4" w:space="0"/>
              <w:right w:val="single" w:color="auto" w:sz="4" w:space="0"/>
            </w:tcBorders>
            <w:vAlign w:val="center"/>
          </w:tcPr>
          <w:p w14:paraId="32DD8217">
            <w:pPr>
              <w:pStyle w:val="94"/>
              <w:rPr>
                <w:color w:val="auto"/>
              </w:rPr>
            </w:pPr>
            <w:r>
              <w:rPr>
                <w:rFonts w:hint="eastAsia"/>
                <w:color w:val="auto"/>
              </w:rPr>
              <w:t>产量</w:t>
            </w:r>
          </w:p>
        </w:tc>
        <w:tc>
          <w:tcPr>
            <w:tcW w:w="952" w:type="pct"/>
            <w:tcBorders>
              <w:top w:val="single" w:color="auto" w:sz="4" w:space="0"/>
              <w:left w:val="single" w:color="auto" w:sz="4" w:space="0"/>
              <w:bottom w:val="single" w:color="auto" w:sz="4" w:space="0"/>
              <w:right w:val="single" w:color="auto" w:sz="4" w:space="0"/>
            </w:tcBorders>
            <w:vAlign w:val="center"/>
          </w:tcPr>
          <w:p w14:paraId="76D48A16">
            <w:pPr>
              <w:pStyle w:val="94"/>
              <w:rPr>
                <w:color w:val="auto"/>
              </w:rPr>
            </w:pPr>
            <w:r>
              <w:rPr>
                <w:rFonts w:hint="eastAsia"/>
                <w:color w:val="auto"/>
              </w:rPr>
              <w:t>五年后达到周边地区同等土地利用类型水平</w:t>
            </w:r>
          </w:p>
        </w:tc>
        <w:tc>
          <w:tcPr>
            <w:tcW w:w="2165" w:type="pct"/>
            <w:tcBorders>
              <w:top w:val="single" w:color="auto" w:sz="4" w:space="0"/>
              <w:left w:val="single" w:color="auto" w:sz="4" w:space="0"/>
              <w:bottom w:val="single" w:color="auto" w:sz="4" w:space="0"/>
              <w:right w:val="single" w:color="auto" w:sz="4" w:space="0"/>
            </w:tcBorders>
            <w:vAlign w:val="center"/>
          </w:tcPr>
          <w:p w14:paraId="52C2771C">
            <w:pPr>
              <w:pStyle w:val="94"/>
              <w:rPr>
                <w:color w:val="auto"/>
              </w:rPr>
            </w:pPr>
            <w:r>
              <w:rPr>
                <w:rFonts w:hint="eastAsia"/>
                <w:color w:val="auto"/>
              </w:rPr>
              <w:t>三年后复垦区单位面积经济学产量不低于当地中等产量水平；五年后达到或超过周边地区同等土地利用类型水平</w:t>
            </w:r>
          </w:p>
        </w:tc>
      </w:tr>
    </w:tbl>
    <w:p w14:paraId="4FE6F4DC">
      <w:pPr>
        <w:pStyle w:val="96"/>
        <w:ind w:firstLine="480"/>
        <w:rPr>
          <w:rFonts w:ascii="Times New Roman" w:hAnsi="Times New Roman"/>
        </w:rPr>
      </w:pPr>
      <w:r>
        <w:t>为改良土壤，在复垦后的</w:t>
      </w:r>
      <w:r>
        <w:rPr>
          <w:rFonts w:ascii="Times New Roman" w:hAnsi="Times New Roman"/>
        </w:rPr>
        <w:t>3</w:t>
      </w:r>
      <w:r>
        <w:t>年内，每年施复合肥，并对土壤进行深耕翻耕一遍，翻耕后结合降雨及时进行耱耙，蓄水保墒，提高基本农田的质量，以保持或提高农作物产量。</w:t>
      </w:r>
    </w:p>
    <w:p w14:paraId="6A4C8E7C">
      <w:pPr>
        <w:pStyle w:val="19"/>
        <w:keepNext/>
      </w:pPr>
      <w:r>
        <w:t xml:space="preserve">表 </w:t>
      </w:r>
      <w:r>
        <w:fldChar w:fldCharType="begin"/>
      </w:r>
      <w:r>
        <w:instrText xml:space="preserve"> SEQ 表 \* ARABIC </w:instrText>
      </w:r>
      <w:r>
        <w:fldChar w:fldCharType="separate"/>
      </w:r>
      <w:r>
        <w:t>98</w:t>
      </w:r>
      <w:r>
        <w:fldChar w:fldCharType="end"/>
      </w:r>
      <w:r>
        <w:rPr>
          <w:rFonts w:hint="eastAsia"/>
        </w:rPr>
        <w:t>草地复垦质量控制标准</w:t>
      </w:r>
    </w:p>
    <w:tbl>
      <w:tblPr>
        <w:tblStyle w:val="73"/>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29"/>
        <w:gridCol w:w="1262"/>
        <w:gridCol w:w="2131"/>
        <w:gridCol w:w="2151"/>
        <w:gridCol w:w="4305"/>
      </w:tblGrid>
      <w:tr w14:paraId="410895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8" w:type="pct"/>
            <w:tcBorders>
              <w:top w:val="single" w:color="auto" w:sz="4" w:space="0"/>
              <w:left w:val="single" w:color="auto" w:sz="4" w:space="0"/>
              <w:bottom w:val="single" w:color="auto" w:sz="4" w:space="0"/>
              <w:right w:val="single" w:color="auto" w:sz="4" w:space="0"/>
            </w:tcBorders>
            <w:vAlign w:val="center"/>
          </w:tcPr>
          <w:p w14:paraId="160320D6">
            <w:pPr>
              <w:pStyle w:val="94"/>
              <w:rPr>
                <w:color w:val="auto"/>
              </w:rPr>
            </w:pPr>
            <w:r>
              <w:rPr>
                <w:rFonts w:hint="eastAsia"/>
                <w:color w:val="auto"/>
              </w:rPr>
              <w:t>复垦</w:t>
            </w:r>
          </w:p>
          <w:p w14:paraId="110F79E7">
            <w:pPr>
              <w:pStyle w:val="94"/>
              <w:rPr>
                <w:color w:val="auto"/>
              </w:rPr>
            </w:pPr>
            <w:r>
              <w:rPr>
                <w:rFonts w:hint="eastAsia"/>
                <w:color w:val="auto"/>
              </w:rPr>
              <w:t>方向</w:t>
            </w:r>
          </w:p>
        </w:tc>
        <w:tc>
          <w:tcPr>
            <w:tcW w:w="591" w:type="pct"/>
            <w:tcBorders>
              <w:top w:val="single" w:color="auto" w:sz="4" w:space="0"/>
              <w:left w:val="single" w:color="auto" w:sz="4" w:space="0"/>
              <w:bottom w:val="single" w:color="auto" w:sz="4" w:space="0"/>
              <w:right w:val="single" w:color="auto" w:sz="4" w:space="0"/>
            </w:tcBorders>
            <w:vAlign w:val="center"/>
          </w:tcPr>
          <w:p w14:paraId="19C44353">
            <w:pPr>
              <w:pStyle w:val="94"/>
              <w:rPr>
                <w:color w:val="auto"/>
              </w:rPr>
            </w:pPr>
            <w:r>
              <w:rPr>
                <w:rFonts w:hint="eastAsia"/>
                <w:color w:val="auto"/>
              </w:rPr>
              <w:t>指标</w:t>
            </w:r>
          </w:p>
          <w:p w14:paraId="195787AB">
            <w:pPr>
              <w:pStyle w:val="94"/>
              <w:rPr>
                <w:color w:val="auto"/>
              </w:rPr>
            </w:pPr>
            <w:r>
              <w:rPr>
                <w:rFonts w:hint="eastAsia"/>
                <w:color w:val="auto"/>
              </w:rPr>
              <w:t>类型</w:t>
            </w:r>
          </w:p>
        </w:tc>
        <w:tc>
          <w:tcPr>
            <w:tcW w:w="998" w:type="pct"/>
            <w:tcBorders>
              <w:top w:val="single" w:color="auto" w:sz="4" w:space="0"/>
              <w:left w:val="single" w:color="auto" w:sz="4" w:space="0"/>
              <w:bottom w:val="single" w:color="auto" w:sz="4" w:space="0"/>
              <w:right w:val="single" w:color="auto" w:sz="4" w:space="0"/>
            </w:tcBorders>
            <w:vAlign w:val="center"/>
          </w:tcPr>
          <w:p w14:paraId="4DFC6DA8">
            <w:pPr>
              <w:pStyle w:val="94"/>
              <w:rPr>
                <w:color w:val="auto"/>
              </w:rPr>
            </w:pPr>
            <w:r>
              <w:rPr>
                <w:rFonts w:hint="eastAsia"/>
                <w:color w:val="auto"/>
              </w:rPr>
              <w:t>基本指标</w:t>
            </w:r>
          </w:p>
        </w:tc>
        <w:tc>
          <w:tcPr>
            <w:tcW w:w="1007" w:type="pct"/>
            <w:tcBorders>
              <w:top w:val="single" w:color="auto" w:sz="4" w:space="0"/>
              <w:left w:val="single" w:color="auto" w:sz="4" w:space="0"/>
              <w:bottom w:val="single" w:color="auto" w:sz="4" w:space="0"/>
              <w:right w:val="single" w:color="auto" w:sz="4" w:space="0"/>
            </w:tcBorders>
            <w:vAlign w:val="center"/>
          </w:tcPr>
          <w:p w14:paraId="6807AB42">
            <w:pPr>
              <w:pStyle w:val="94"/>
              <w:rPr>
                <w:color w:val="auto"/>
              </w:rPr>
            </w:pPr>
            <w:r>
              <w:rPr>
                <w:rFonts w:hint="eastAsia"/>
                <w:color w:val="auto"/>
              </w:rPr>
              <w:t>控制标准</w:t>
            </w:r>
          </w:p>
        </w:tc>
        <w:tc>
          <w:tcPr>
            <w:tcW w:w="2016" w:type="pct"/>
            <w:tcBorders>
              <w:top w:val="single" w:color="auto" w:sz="4" w:space="0"/>
              <w:left w:val="single" w:color="auto" w:sz="4" w:space="0"/>
              <w:bottom w:val="single" w:color="auto" w:sz="4" w:space="0"/>
              <w:right w:val="single" w:color="auto" w:sz="4" w:space="0"/>
            </w:tcBorders>
            <w:vAlign w:val="center"/>
          </w:tcPr>
          <w:p w14:paraId="0941EC08">
            <w:pPr>
              <w:pStyle w:val="94"/>
              <w:rPr>
                <w:color w:val="auto"/>
              </w:rPr>
            </w:pPr>
            <w:r>
              <w:rPr>
                <w:rFonts w:hint="eastAsia"/>
                <w:color w:val="auto"/>
              </w:rPr>
              <w:t>本方案控制标准</w:t>
            </w:r>
          </w:p>
        </w:tc>
      </w:tr>
      <w:tr w14:paraId="1E0143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8" w:type="pct"/>
            <w:vMerge w:val="restart"/>
            <w:tcBorders>
              <w:top w:val="nil"/>
              <w:left w:val="single" w:color="auto" w:sz="4" w:space="0"/>
              <w:bottom w:val="single" w:color="auto" w:sz="4" w:space="0"/>
              <w:right w:val="single" w:color="auto" w:sz="4" w:space="0"/>
            </w:tcBorders>
            <w:vAlign w:val="center"/>
          </w:tcPr>
          <w:p w14:paraId="015631C8">
            <w:pPr>
              <w:pStyle w:val="94"/>
              <w:rPr>
                <w:color w:val="auto"/>
              </w:rPr>
            </w:pPr>
            <w:r>
              <w:rPr>
                <w:rFonts w:hint="eastAsia"/>
                <w:color w:val="auto"/>
              </w:rPr>
              <w:t>人</w:t>
            </w:r>
          </w:p>
          <w:p w14:paraId="62C06CD8">
            <w:pPr>
              <w:pStyle w:val="94"/>
              <w:rPr>
                <w:color w:val="auto"/>
              </w:rPr>
            </w:pPr>
            <w:r>
              <w:rPr>
                <w:rFonts w:hint="eastAsia"/>
                <w:color w:val="auto"/>
              </w:rPr>
              <w:t>工</w:t>
            </w:r>
          </w:p>
          <w:p w14:paraId="0B1C743D">
            <w:pPr>
              <w:pStyle w:val="94"/>
              <w:rPr>
                <w:color w:val="auto"/>
              </w:rPr>
            </w:pPr>
            <w:r>
              <w:rPr>
                <w:rFonts w:hint="eastAsia"/>
                <w:color w:val="auto"/>
              </w:rPr>
              <w:t>牧</w:t>
            </w:r>
          </w:p>
          <w:p w14:paraId="5DA3F7F7">
            <w:pPr>
              <w:pStyle w:val="94"/>
              <w:rPr>
                <w:color w:val="auto"/>
              </w:rPr>
            </w:pPr>
            <w:r>
              <w:rPr>
                <w:rFonts w:hint="eastAsia"/>
                <w:color w:val="auto"/>
              </w:rPr>
              <w:t>草</w:t>
            </w:r>
          </w:p>
          <w:p w14:paraId="766C9438">
            <w:pPr>
              <w:pStyle w:val="94"/>
              <w:rPr>
                <w:color w:val="auto"/>
              </w:rPr>
            </w:pPr>
            <w:r>
              <w:rPr>
                <w:rFonts w:hint="eastAsia"/>
                <w:color w:val="auto"/>
              </w:rPr>
              <w:t>地</w:t>
            </w:r>
          </w:p>
        </w:tc>
        <w:tc>
          <w:tcPr>
            <w:tcW w:w="591" w:type="pct"/>
            <w:tcBorders>
              <w:top w:val="single" w:color="auto" w:sz="4" w:space="0"/>
              <w:left w:val="single" w:color="auto" w:sz="4" w:space="0"/>
              <w:bottom w:val="single" w:color="auto" w:sz="4" w:space="0"/>
              <w:right w:val="single" w:color="auto" w:sz="4" w:space="0"/>
            </w:tcBorders>
            <w:vAlign w:val="center"/>
          </w:tcPr>
          <w:p w14:paraId="3E7F3236">
            <w:pPr>
              <w:pStyle w:val="94"/>
              <w:rPr>
                <w:color w:val="auto"/>
              </w:rPr>
            </w:pPr>
            <w:r>
              <w:rPr>
                <w:rFonts w:hint="eastAsia"/>
                <w:color w:val="auto"/>
              </w:rPr>
              <w:t>地形</w:t>
            </w:r>
          </w:p>
        </w:tc>
        <w:tc>
          <w:tcPr>
            <w:tcW w:w="998" w:type="pct"/>
            <w:tcBorders>
              <w:top w:val="single" w:color="auto" w:sz="4" w:space="0"/>
              <w:left w:val="single" w:color="auto" w:sz="4" w:space="0"/>
              <w:bottom w:val="single" w:color="auto" w:sz="4" w:space="0"/>
              <w:right w:val="single" w:color="auto" w:sz="4" w:space="0"/>
            </w:tcBorders>
            <w:vAlign w:val="center"/>
          </w:tcPr>
          <w:p w14:paraId="30B623D9">
            <w:pPr>
              <w:pStyle w:val="94"/>
              <w:rPr>
                <w:color w:val="auto"/>
              </w:rPr>
            </w:pPr>
            <w:r>
              <w:rPr>
                <w:rFonts w:hint="eastAsia"/>
                <w:color w:val="auto"/>
              </w:rPr>
              <w:t>地形坡度/（°）</w:t>
            </w:r>
          </w:p>
        </w:tc>
        <w:tc>
          <w:tcPr>
            <w:tcW w:w="1007" w:type="pct"/>
            <w:tcBorders>
              <w:top w:val="single" w:color="auto" w:sz="4" w:space="0"/>
              <w:left w:val="single" w:color="auto" w:sz="4" w:space="0"/>
              <w:bottom w:val="single" w:color="auto" w:sz="4" w:space="0"/>
              <w:right w:val="single" w:color="auto" w:sz="4" w:space="0"/>
            </w:tcBorders>
            <w:vAlign w:val="center"/>
          </w:tcPr>
          <w:p w14:paraId="568A1AB1">
            <w:pPr>
              <w:pStyle w:val="94"/>
              <w:rPr>
                <w:color w:val="auto"/>
              </w:rPr>
            </w:pPr>
            <w:r>
              <w:rPr>
                <w:rFonts w:hint="eastAsia"/>
                <w:color w:val="auto"/>
              </w:rPr>
              <w:t>≤20</w:t>
            </w:r>
          </w:p>
        </w:tc>
        <w:tc>
          <w:tcPr>
            <w:tcW w:w="2016" w:type="pct"/>
            <w:tcBorders>
              <w:top w:val="single" w:color="auto" w:sz="4" w:space="0"/>
              <w:left w:val="single" w:color="auto" w:sz="4" w:space="0"/>
              <w:bottom w:val="single" w:color="auto" w:sz="4" w:space="0"/>
              <w:right w:val="single" w:color="auto" w:sz="4" w:space="0"/>
            </w:tcBorders>
            <w:vAlign w:val="center"/>
          </w:tcPr>
          <w:p w14:paraId="0B2ED07F">
            <w:pPr>
              <w:pStyle w:val="94"/>
              <w:rPr>
                <w:color w:val="auto"/>
              </w:rPr>
            </w:pPr>
            <w:r>
              <w:rPr>
                <w:rFonts w:hint="eastAsia"/>
                <w:color w:val="auto"/>
              </w:rPr>
              <w:t>≤20</w:t>
            </w:r>
          </w:p>
        </w:tc>
      </w:tr>
      <w:tr w14:paraId="4A538D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tcBorders>
              <w:top w:val="nil"/>
              <w:left w:val="single" w:color="auto" w:sz="4" w:space="0"/>
              <w:bottom w:val="single" w:color="auto" w:sz="4" w:space="0"/>
              <w:right w:val="single" w:color="auto" w:sz="4" w:space="0"/>
            </w:tcBorders>
            <w:vAlign w:val="center"/>
          </w:tcPr>
          <w:p w14:paraId="318B058C">
            <w:pPr>
              <w:pStyle w:val="94"/>
              <w:rPr>
                <w:color w:val="auto"/>
              </w:rPr>
            </w:pPr>
          </w:p>
        </w:tc>
        <w:tc>
          <w:tcPr>
            <w:tcW w:w="591" w:type="pct"/>
            <w:vMerge w:val="restart"/>
            <w:tcBorders>
              <w:top w:val="nil"/>
              <w:left w:val="single" w:color="auto" w:sz="4" w:space="0"/>
              <w:bottom w:val="single" w:color="auto" w:sz="4" w:space="0"/>
              <w:right w:val="single" w:color="auto" w:sz="4" w:space="0"/>
            </w:tcBorders>
            <w:vAlign w:val="center"/>
          </w:tcPr>
          <w:p w14:paraId="3D6091D8">
            <w:pPr>
              <w:pStyle w:val="94"/>
              <w:rPr>
                <w:color w:val="auto"/>
              </w:rPr>
            </w:pPr>
            <w:r>
              <w:rPr>
                <w:rFonts w:hint="eastAsia"/>
                <w:color w:val="auto"/>
              </w:rPr>
              <w:t>土壤</w:t>
            </w:r>
          </w:p>
          <w:p w14:paraId="3CC7D7F9">
            <w:pPr>
              <w:pStyle w:val="94"/>
              <w:rPr>
                <w:color w:val="auto"/>
              </w:rPr>
            </w:pPr>
            <w:r>
              <w:rPr>
                <w:rFonts w:hint="eastAsia"/>
                <w:color w:val="auto"/>
              </w:rPr>
              <w:t>质量</w:t>
            </w:r>
          </w:p>
        </w:tc>
        <w:tc>
          <w:tcPr>
            <w:tcW w:w="998" w:type="pct"/>
            <w:tcBorders>
              <w:top w:val="single" w:color="auto" w:sz="4" w:space="0"/>
              <w:left w:val="single" w:color="auto" w:sz="4" w:space="0"/>
              <w:bottom w:val="single" w:color="auto" w:sz="4" w:space="0"/>
              <w:right w:val="single" w:color="auto" w:sz="4" w:space="0"/>
            </w:tcBorders>
            <w:vAlign w:val="center"/>
          </w:tcPr>
          <w:p w14:paraId="59B53064">
            <w:pPr>
              <w:pStyle w:val="94"/>
              <w:rPr>
                <w:color w:val="auto"/>
              </w:rPr>
            </w:pPr>
            <w:r>
              <w:rPr>
                <w:rFonts w:hint="eastAsia"/>
                <w:color w:val="auto"/>
              </w:rPr>
              <w:t>有效土层厚度/（cm）</w:t>
            </w:r>
          </w:p>
        </w:tc>
        <w:tc>
          <w:tcPr>
            <w:tcW w:w="1007" w:type="pct"/>
            <w:tcBorders>
              <w:top w:val="single" w:color="auto" w:sz="4" w:space="0"/>
              <w:left w:val="single" w:color="auto" w:sz="4" w:space="0"/>
              <w:bottom w:val="single" w:color="auto" w:sz="4" w:space="0"/>
              <w:right w:val="single" w:color="auto" w:sz="4" w:space="0"/>
            </w:tcBorders>
            <w:vAlign w:val="center"/>
          </w:tcPr>
          <w:p w14:paraId="170E4A5E">
            <w:pPr>
              <w:pStyle w:val="94"/>
              <w:rPr>
                <w:color w:val="auto"/>
              </w:rPr>
            </w:pPr>
            <w:r>
              <w:rPr>
                <w:rFonts w:hint="eastAsia"/>
                <w:color w:val="auto"/>
              </w:rPr>
              <w:t>≥40</w:t>
            </w:r>
          </w:p>
        </w:tc>
        <w:tc>
          <w:tcPr>
            <w:tcW w:w="2016" w:type="pct"/>
            <w:tcBorders>
              <w:top w:val="single" w:color="auto" w:sz="4" w:space="0"/>
              <w:left w:val="single" w:color="auto" w:sz="4" w:space="0"/>
              <w:bottom w:val="single" w:color="auto" w:sz="4" w:space="0"/>
              <w:right w:val="single" w:color="auto" w:sz="4" w:space="0"/>
            </w:tcBorders>
            <w:vAlign w:val="center"/>
          </w:tcPr>
          <w:p w14:paraId="1A47AA0E">
            <w:pPr>
              <w:pStyle w:val="94"/>
              <w:rPr>
                <w:color w:val="auto"/>
              </w:rPr>
            </w:pPr>
            <w:r>
              <w:rPr>
                <w:rFonts w:hint="eastAsia"/>
                <w:color w:val="auto"/>
              </w:rPr>
              <w:t>≥40</w:t>
            </w:r>
          </w:p>
        </w:tc>
      </w:tr>
      <w:tr w14:paraId="1826FD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tcBorders>
              <w:top w:val="nil"/>
              <w:left w:val="single" w:color="auto" w:sz="4" w:space="0"/>
              <w:bottom w:val="single" w:color="auto" w:sz="4" w:space="0"/>
              <w:right w:val="single" w:color="auto" w:sz="4" w:space="0"/>
            </w:tcBorders>
            <w:vAlign w:val="center"/>
          </w:tcPr>
          <w:p w14:paraId="0268BDCD">
            <w:pPr>
              <w:pStyle w:val="94"/>
              <w:rPr>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07460179">
            <w:pPr>
              <w:pStyle w:val="94"/>
              <w:rPr>
                <w:color w:val="auto"/>
              </w:rPr>
            </w:pPr>
          </w:p>
        </w:tc>
        <w:tc>
          <w:tcPr>
            <w:tcW w:w="998" w:type="pct"/>
            <w:tcBorders>
              <w:top w:val="single" w:color="auto" w:sz="4" w:space="0"/>
              <w:left w:val="single" w:color="auto" w:sz="4" w:space="0"/>
              <w:bottom w:val="single" w:color="auto" w:sz="4" w:space="0"/>
              <w:right w:val="single" w:color="auto" w:sz="4" w:space="0"/>
            </w:tcBorders>
            <w:vAlign w:val="center"/>
          </w:tcPr>
          <w:p w14:paraId="23B32194">
            <w:pPr>
              <w:pStyle w:val="94"/>
              <w:rPr>
                <w:color w:val="auto"/>
              </w:rPr>
            </w:pPr>
            <w:r>
              <w:rPr>
                <w:rFonts w:hint="eastAsia"/>
                <w:color w:val="auto"/>
              </w:rPr>
              <w:t>土壤容重/（g/cm</w:t>
            </w:r>
            <w:r>
              <w:rPr>
                <w:rFonts w:hint="eastAsia"/>
                <w:color w:val="auto"/>
                <w:vertAlign w:val="superscript"/>
              </w:rPr>
              <w:t>3</w:t>
            </w:r>
            <w:r>
              <w:rPr>
                <w:rFonts w:hint="eastAsia"/>
                <w:color w:val="auto"/>
              </w:rPr>
              <w:t>）</w:t>
            </w:r>
          </w:p>
        </w:tc>
        <w:tc>
          <w:tcPr>
            <w:tcW w:w="1007" w:type="pct"/>
            <w:tcBorders>
              <w:top w:val="single" w:color="auto" w:sz="4" w:space="0"/>
              <w:left w:val="single" w:color="auto" w:sz="4" w:space="0"/>
              <w:bottom w:val="single" w:color="auto" w:sz="4" w:space="0"/>
              <w:right w:val="single" w:color="auto" w:sz="4" w:space="0"/>
            </w:tcBorders>
            <w:vAlign w:val="center"/>
          </w:tcPr>
          <w:p w14:paraId="2A1BF217">
            <w:pPr>
              <w:pStyle w:val="94"/>
              <w:rPr>
                <w:color w:val="auto"/>
              </w:rPr>
            </w:pPr>
            <w:r>
              <w:rPr>
                <w:rFonts w:hint="eastAsia"/>
                <w:color w:val="auto"/>
              </w:rPr>
              <w:t>≤1.40</w:t>
            </w:r>
          </w:p>
        </w:tc>
        <w:tc>
          <w:tcPr>
            <w:tcW w:w="2016" w:type="pct"/>
            <w:tcBorders>
              <w:top w:val="single" w:color="auto" w:sz="4" w:space="0"/>
              <w:left w:val="single" w:color="auto" w:sz="4" w:space="0"/>
              <w:bottom w:val="single" w:color="auto" w:sz="4" w:space="0"/>
              <w:right w:val="single" w:color="auto" w:sz="4" w:space="0"/>
            </w:tcBorders>
            <w:vAlign w:val="center"/>
          </w:tcPr>
          <w:p w14:paraId="0D2323F4">
            <w:pPr>
              <w:pStyle w:val="94"/>
              <w:rPr>
                <w:color w:val="auto"/>
              </w:rPr>
            </w:pPr>
            <w:r>
              <w:rPr>
                <w:rFonts w:hint="eastAsia"/>
                <w:color w:val="auto"/>
              </w:rPr>
              <w:t>≤1.40</w:t>
            </w:r>
          </w:p>
        </w:tc>
      </w:tr>
      <w:tr w14:paraId="0A00DD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tcBorders>
              <w:top w:val="nil"/>
              <w:left w:val="single" w:color="auto" w:sz="4" w:space="0"/>
              <w:bottom w:val="single" w:color="auto" w:sz="4" w:space="0"/>
              <w:right w:val="single" w:color="auto" w:sz="4" w:space="0"/>
            </w:tcBorders>
            <w:vAlign w:val="center"/>
          </w:tcPr>
          <w:p w14:paraId="2AD14BC2">
            <w:pPr>
              <w:pStyle w:val="94"/>
              <w:rPr>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3A541134">
            <w:pPr>
              <w:pStyle w:val="94"/>
              <w:rPr>
                <w:color w:val="auto"/>
              </w:rPr>
            </w:pPr>
          </w:p>
        </w:tc>
        <w:tc>
          <w:tcPr>
            <w:tcW w:w="998" w:type="pct"/>
            <w:tcBorders>
              <w:top w:val="single" w:color="auto" w:sz="4" w:space="0"/>
              <w:left w:val="single" w:color="auto" w:sz="4" w:space="0"/>
              <w:bottom w:val="single" w:color="auto" w:sz="4" w:space="0"/>
              <w:right w:val="single" w:color="auto" w:sz="4" w:space="0"/>
            </w:tcBorders>
            <w:vAlign w:val="center"/>
          </w:tcPr>
          <w:p w14:paraId="4624D12B">
            <w:pPr>
              <w:pStyle w:val="94"/>
              <w:rPr>
                <w:color w:val="auto"/>
              </w:rPr>
            </w:pPr>
            <w:r>
              <w:rPr>
                <w:rFonts w:hint="eastAsia"/>
                <w:color w:val="auto"/>
              </w:rPr>
              <w:t>土壤质地</w:t>
            </w:r>
          </w:p>
        </w:tc>
        <w:tc>
          <w:tcPr>
            <w:tcW w:w="1007" w:type="pct"/>
            <w:tcBorders>
              <w:top w:val="single" w:color="auto" w:sz="4" w:space="0"/>
              <w:left w:val="single" w:color="auto" w:sz="4" w:space="0"/>
              <w:bottom w:val="single" w:color="auto" w:sz="4" w:space="0"/>
              <w:right w:val="single" w:color="auto" w:sz="4" w:space="0"/>
            </w:tcBorders>
            <w:vAlign w:val="center"/>
          </w:tcPr>
          <w:p w14:paraId="0D79358B">
            <w:pPr>
              <w:pStyle w:val="94"/>
              <w:rPr>
                <w:color w:val="auto"/>
              </w:rPr>
            </w:pPr>
            <w:r>
              <w:rPr>
                <w:rFonts w:hint="eastAsia"/>
                <w:color w:val="auto"/>
              </w:rPr>
              <w:t>砂土至壤粘土</w:t>
            </w:r>
          </w:p>
        </w:tc>
        <w:tc>
          <w:tcPr>
            <w:tcW w:w="2016" w:type="pct"/>
            <w:tcBorders>
              <w:top w:val="single" w:color="auto" w:sz="4" w:space="0"/>
              <w:left w:val="single" w:color="auto" w:sz="4" w:space="0"/>
              <w:bottom w:val="single" w:color="auto" w:sz="4" w:space="0"/>
              <w:right w:val="single" w:color="auto" w:sz="4" w:space="0"/>
            </w:tcBorders>
            <w:vAlign w:val="center"/>
          </w:tcPr>
          <w:p w14:paraId="7E07BD94">
            <w:pPr>
              <w:pStyle w:val="94"/>
              <w:rPr>
                <w:color w:val="auto"/>
              </w:rPr>
            </w:pPr>
            <w:r>
              <w:rPr>
                <w:rFonts w:hint="eastAsia"/>
                <w:color w:val="auto"/>
              </w:rPr>
              <w:t>砂土或壤粘土</w:t>
            </w:r>
          </w:p>
        </w:tc>
      </w:tr>
      <w:tr w14:paraId="74965A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tcBorders>
              <w:top w:val="nil"/>
              <w:left w:val="single" w:color="auto" w:sz="4" w:space="0"/>
              <w:bottom w:val="single" w:color="auto" w:sz="4" w:space="0"/>
              <w:right w:val="single" w:color="auto" w:sz="4" w:space="0"/>
            </w:tcBorders>
            <w:vAlign w:val="center"/>
          </w:tcPr>
          <w:p w14:paraId="5E494E25">
            <w:pPr>
              <w:pStyle w:val="94"/>
              <w:rPr>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3D47D162">
            <w:pPr>
              <w:pStyle w:val="94"/>
              <w:rPr>
                <w:color w:val="auto"/>
              </w:rPr>
            </w:pPr>
          </w:p>
        </w:tc>
        <w:tc>
          <w:tcPr>
            <w:tcW w:w="998" w:type="pct"/>
            <w:tcBorders>
              <w:top w:val="single" w:color="auto" w:sz="4" w:space="0"/>
              <w:left w:val="single" w:color="auto" w:sz="4" w:space="0"/>
              <w:bottom w:val="single" w:color="auto" w:sz="4" w:space="0"/>
              <w:right w:val="single" w:color="auto" w:sz="4" w:space="0"/>
            </w:tcBorders>
            <w:vAlign w:val="center"/>
          </w:tcPr>
          <w:p w14:paraId="073884AE">
            <w:pPr>
              <w:pStyle w:val="94"/>
              <w:rPr>
                <w:color w:val="auto"/>
              </w:rPr>
            </w:pPr>
            <w:r>
              <w:rPr>
                <w:rFonts w:hint="eastAsia"/>
                <w:color w:val="auto"/>
              </w:rPr>
              <w:t>砾石含量/（%）</w:t>
            </w:r>
          </w:p>
        </w:tc>
        <w:tc>
          <w:tcPr>
            <w:tcW w:w="1007" w:type="pct"/>
            <w:tcBorders>
              <w:top w:val="single" w:color="auto" w:sz="4" w:space="0"/>
              <w:left w:val="single" w:color="auto" w:sz="4" w:space="0"/>
              <w:bottom w:val="single" w:color="auto" w:sz="4" w:space="0"/>
              <w:right w:val="single" w:color="auto" w:sz="4" w:space="0"/>
            </w:tcBorders>
            <w:vAlign w:val="center"/>
          </w:tcPr>
          <w:p w14:paraId="1E46C627">
            <w:pPr>
              <w:pStyle w:val="94"/>
              <w:rPr>
                <w:color w:val="auto"/>
              </w:rPr>
            </w:pPr>
            <w:r>
              <w:rPr>
                <w:rFonts w:hint="eastAsia"/>
                <w:color w:val="auto"/>
              </w:rPr>
              <w:t>≤10</w:t>
            </w:r>
          </w:p>
        </w:tc>
        <w:tc>
          <w:tcPr>
            <w:tcW w:w="2016" w:type="pct"/>
            <w:tcBorders>
              <w:top w:val="single" w:color="auto" w:sz="4" w:space="0"/>
              <w:left w:val="single" w:color="auto" w:sz="4" w:space="0"/>
              <w:bottom w:val="single" w:color="auto" w:sz="4" w:space="0"/>
              <w:right w:val="single" w:color="auto" w:sz="4" w:space="0"/>
            </w:tcBorders>
            <w:vAlign w:val="center"/>
          </w:tcPr>
          <w:p w14:paraId="1C2C8FD3">
            <w:pPr>
              <w:pStyle w:val="94"/>
              <w:rPr>
                <w:color w:val="auto"/>
              </w:rPr>
            </w:pPr>
            <w:r>
              <w:rPr>
                <w:rFonts w:hint="eastAsia"/>
                <w:color w:val="auto"/>
              </w:rPr>
              <w:t>≤10</w:t>
            </w:r>
          </w:p>
        </w:tc>
      </w:tr>
      <w:tr w14:paraId="7360DB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tcBorders>
              <w:top w:val="nil"/>
              <w:left w:val="single" w:color="auto" w:sz="4" w:space="0"/>
              <w:bottom w:val="single" w:color="auto" w:sz="4" w:space="0"/>
              <w:right w:val="single" w:color="auto" w:sz="4" w:space="0"/>
            </w:tcBorders>
            <w:vAlign w:val="center"/>
          </w:tcPr>
          <w:p w14:paraId="47145010">
            <w:pPr>
              <w:pStyle w:val="94"/>
              <w:rPr>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71503FEA">
            <w:pPr>
              <w:pStyle w:val="94"/>
              <w:rPr>
                <w:color w:val="auto"/>
              </w:rPr>
            </w:pPr>
          </w:p>
        </w:tc>
        <w:tc>
          <w:tcPr>
            <w:tcW w:w="998" w:type="pct"/>
            <w:tcBorders>
              <w:top w:val="single" w:color="auto" w:sz="4" w:space="0"/>
              <w:left w:val="single" w:color="auto" w:sz="4" w:space="0"/>
              <w:bottom w:val="single" w:color="auto" w:sz="4" w:space="0"/>
              <w:right w:val="single" w:color="auto" w:sz="4" w:space="0"/>
            </w:tcBorders>
            <w:vAlign w:val="center"/>
          </w:tcPr>
          <w:p w14:paraId="2EB0E680">
            <w:pPr>
              <w:pStyle w:val="94"/>
              <w:rPr>
                <w:color w:val="auto"/>
              </w:rPr>
            </w:pPr>
            <w:r>
              <w:rPr>
                <w:rFonts w:hint="eastAsia"/>
                <w:color w:val="auto"/>
              </w:rPr>
              <w:t>pH值</w:t>
            </w:r>
          </w:p>
        </w:tc>
        <w:tc>
          <w:tcPr>
            <w:tcW w:w="1007" w:type="pct"/>
            <w:tcBorders>
              <w:top w:val="single" w:color="auto" w:sz="4" w:space="0"/>
              <w:left w:val="single" w:color="auto" w:sz="4" w:space="0"/>
              <w:bottom w:val="single" w:color="auto" w:sz="4" w:space="0"/>
              <w:right w:val="single" w:color="auto" w:sz="4" w:space="0"/>
            </w:tcBorders>
            <w:vAlign w:val="center"/>
          </w:tcPr>
          <w:p w14:paraId="538784F4">
            <w:pPr>
              <w:pStyle w:val="94"/>
              <w:rPr>
                <w:color w:val="auto"/>
              </w:rPr>
            </w:pPr>
            <w:r>
              <w:rPr>
                <w:rFonts w:hint="eastAsia"/>
                <w:color w:val="auto"/>
              </w:rPr>
              <w:t>6.5~8.5</w:t>
            </w:r>
          </w:p>
        </w:tc>
        <w:tc>
          <w:tcPr>
            <w:tcW w:w="2016" w:type="pct"/>
            <w:tcBorders>
              <w:top w:val="single" w:color="auto" w:sz="4" w:space="0"/>
              <w:left w:val="single" w:color="auto" w:sz="4" w:space="0"/>
              <w:bottom w:val="single" w:color="auto" w:sz="4" w:space="0"/>
              <w:right w:val="single" w:color="auto" w:sz="4" w:space="0"/>
            </w:tcBorders>
            <w:vAlign w:val="center"/>
          </w:tcPr>
          <w:p w14:paraId="11047749">
            <w:pPr>
              <w:pStyle w:val="94"/>
              <w:rPr>
                <w:color w:val="auto"/>
              </w:rPr>
            </w:pPr>
            <w:r>
              <w:rPr>
                <w:rFonts w:hint="eastAsia"/>
                <w:color w:val="auto"/>
              </w:rPr>
              <w:t>7.5~8.5</w:t>
            </w:r>
          </w:p>
        </w:tc>
      </w:tr>
      <w:tr w14:paraId="72C82B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tcBorders>
              <w:top w:val="nil"/>
              <w:left w:val="single" w:color="auto" w:sz="4" w:space="0"/>
              <w:bottom w:val="single" w:color="auto" w:sz="4" w:space="0"/>
              <w:right w:val="single" w:color="auto" w:sz="4" w:space="0"/>
            </w:tcBorders>
            <w:vAlign w:val="center"/>
          </w:tcPr>
          <w:p w14:paraId="65D37441">
            <w:pPr>
              <w:pStyle w:val="94"/>
              <w:rPr>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7C1FDF1D">
            <w:pPr>
              <w:pStyle w:val="94"/>
              <w:rPr>
                <w:color w:val="auto"/>
              </w:rPr>
            </w:pPr>
          </w:p>
        </w:tc>
        <w:tc>
          <w:tcPr>
            <w:tcW w:w="998" w:type="pct"/>
            <w:tcBorders>
              <w:top w:val="single" w:color="auto" w:sz="4" w:space="0"/>
              <w:left w:val="single" w:color="auto" w:sz="4" w:space="0"/>
              <w:bottom w:val="single" w:color="auto" w:sz="4" w:space="0"/>
              <w:right w:val="single" w:color="auto" w:sz="4" w:space="0"/>
            </w:tcBorders>
            <w:vAlign w:val="center"/>
          </w:tcPr>
          <w:p w14:paraId="6DBF6540">
            <w:pPr>
              <w:pStyle w:val="94"/>
              <w:rPr>
                <w:color w:val="auto"/>
              </w:rPr>
            </w:pPr>
            <w:r>
              <w:rPr>
                <w:rFonts w:hint="eastAsia"/>
                <w:color w:val="auto"/>
              </w:rPr>
              <w:t>有机质/（%）</w:t>
            </w:r>
          </w:p>
        </w:tc>
        <w:tc>
          <w:tcPr>
            <w:tcW w:w="1007" w:type="pct"/>
            <w:tcBorders>
              <w:top w:val="single" w:color="auto" w:sz="4" w:space="0"/>
              <w:left w:val="single" w:color="auto" w:sz="4" w:space="0"/>
              <w:bottom w:val="single" w:color="auto" w:sz="4" w:space="0"/>
              <w:right w:val="single" w:color="auto" w:sz="4" w:space="0"/>
            </w:tcBorders>
            <w:vAlign w:val="center"/>
          </w:tcPr>
          <w:p w14:paraId="629C430E">
            <w:pPr>
              <w:pStyle w:val="94"/>
              <w:rPr>
                <w:color w:val="auto"/>
              </w:rPr>
            </w:pPr>
            <w:r>
              <w:rPr>
                <w:rFonts w:hint="eastAsia"/>
                <w:color w:val="auto"/>
              </w:rPr>
              <w:t>≥0.5</w:t>
            </w:r>
          </w:p>
        </w:tc>
        <w:tc>
          <w:tcPr>
            <w:tcW w:w="2016" w:type="pct"/>
            <w:tcBorders>
              <w:top w:val="single" w:color="auto" w:sz="4" w:space="0"/>
              <w:left w:val="single" w:color="auto" w:sz="4" w:space="0"/>
              <w:bottom w:val="single" w:color="auto" w:sz="4" w:space="0"/>
              <w:right w:val="single" w:color="auto" w:sz="4" w:space="0"/>
            </w:tcBorders>
            <w:vAlign w:val="center"/>
          </w:tcPr>
          <w:p w14:paraId="1FC56533">
            <w:pPr>
              <w:pStyle w:val="94"/>
              <w:rPr>
                <w:color w:val="auto"/>
              </w:rPr>
            </w:pPr>
            <w:r>
              <w:rPr>
                <w:rFonts w:hint="eastAsia"/>
                <w:color w:val="auto"/>
              </w:rPr>
              <w:t>≥0.6</w:t>
            </w:r>
          </w:p>
        </w:tc>
      </w:tr>
      <w:tr w14:paraId="3265FB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tcBorders>
              <w:top w:val="nil"/>
              <w:left w:val="single" w:color="auto" w:sz="4" w:space="0"/>
              <w:bottom w:val="single" w:color="auto" w:sz="4" w:space="0"/>
              <w:right w:val="single" w:color="auto" w:sz="4" w:space="0"/>
            </w:tcBorders>
            <w:vAlign w:val="center"/>
          </w:tcPr>
          <w:p w14:paraId="04412129">
            <w:pPr>
              <w:pStyle w:val="94"/>
              <w:rPr>
                <w:color w:val="auto"/>
              </w:rPr>
            </w:pPr>
          </w:p>
        </w:tc>
        <w:tc>
          <w:tcPr>
            <w:tcW w:w="591" w:type="pct"/>
            <w:vMerge w:val="restart"/>
            <w:tcBorders>
              <w:top w:val="nil"/>
              <w:left w:val="single" w:color="auto" w:sz="4" w:space="0"/>
              <w:bottom w:val="single" w:color="auto" w:sz="4" w:space="0"/>
              <w:right w:val="single" w:color="auto" w:sz="4" w:space="0"/>
            </w:tcBorders>
            <w:vAlign w:val="center"/>
          </w:tcPr>
          <w:p w14:paraId="51A1DF1C">
            <w:pPr>
              <w:pStyle w:val="94"/>
              <w:rPr>
                <w:color w:val="auto"/>
              </w:rPr>
            </w:pPr>
            <w:r>
              <w:rPr>
                <w:rFonts w:hint="eastAsia"/>
                <w:color w:val="auto"/>
              </w:rPr>
              <w:t>生产力</w:t>
            </w:r>
          </w:p>
          <w:p w14:paraId="49F91E5F">
            <w:pPr>
              <w:pStyle w:val="94"/>
              <w:rPr>
                <w:color w:val="auto"/>
              </w:rPr>
            </w:pPr>
            <w:r>
              <w:rPr>
                <w:rFonts w:hint="eastAsia"/>
                <w:color w:val="auto"/>
              </w:rPr>
              <w:t>水平</w:t>
            </w:r>
          </w:p>
        </w:tc>
        <w:tc>
          <w:tcPr>
            <w:tcW w:w="998" w:type="pct"/>
            <w:tcBorders>
              <w:top w:val="single" w:color="auto" w:sz="4" w:space="0"/>
              <w:left w:val="single" w:color="auto" w:sz="4" w:space="0"/>
              <w:bottom w:val="single" w:color="auto" w:sz="4" w:space="0"/>
              <w:right w:val="single" w:color="auto" w:sz="4" w:space="0"/>
            </w:tcBorders>
            <w:vAlign w:val="center"/>
          </w:tcPr>
          <w:p w14:paraId="750EFD3F">
            <w:pPr>
              <w:pStyle w:val="94"/>
              <w:rPr>
                <w:color w:val="auto"/>
              </w:rPr>
            </w:pPr>
            <w:r>
              <w:rPr>
                <w:rFonts w:hint="eastAsia"/>
                <w:color w:val="auto"/>
              </w:rPr>
              <w:t>覆盖度/%</w:t>
            </w:r>
          </w:p>
        </w:tc>
        <w:tc>
          <w:tcPr>
            <w:tcW w:w="1007" w:type="pct"/>
            <w:tcBorders>
              <w:top w:val="single" w:color="auto" w:sz="4" w:space="0"/>
              <w:left w:val="single" w:color="auto" w:sz="4" w:space="0"/>
              <w:bottom w:val="single" w:color="auto" w:sz="4" w:space="0"/>
              <w:right w:val="single" w:color="auto" w:sz="4" w:space="0"/>
            </w:tcBorders>
            <w:vAlign w:val="center"/>
          </w:tcPr>
          <w:p w14:paraId="5B1658D0">
            <w:pPr>
              <w:pStyle w:val="94"/>
              <w:rPr>
                <w:color w:val="auto"/>
              </w:rPr>
            </w:pPr>
            <w:r>
              <w:rPr>
                <w:rFonts w:hint="eastAsia"/>
                <w:color w:val="auto"/>
              </w:rPr>
              <w:t>≥30</w:t>
            </w:r>
          </w:p>
        </w:tc>
        <w:tc>
          <w:tcPr>
            <w:tcW w:w="2016" w:type="pct"/>
            <w:tcBorders>
              <w:top w:val="single" w:color="auto" w:sz="4" w:space="0"/>
              <w:left w:val="single" w:color="auto" w:sz="4" w:space="0"/>
              <w:bottom w:val="single" w:color="auto" w:sz="4" w:space="0"/>
              <w:right w:val="single" w:color="auto" w:sz="4" w:space="0"/>
            </w:tcBorders>
            <w:vAlign w:val="center"/>
          </w:tcPr>
          <w:p w14:paraId="035A1861">
            <w:pPr>
              <w:pStyle w:val="94"/>
              <w:rPr>
                <w:color w:val="auto"/>
              </w:rPr>
            </w:pPr>
            <w:r>
              <w:rPr>
                <w:rFonts w:hint="eastAsia"/>
                <w:color w:val="auto"/>
              </w:rPr>
              <w:t>≥30</w:t>
            </w:r>
          </w:p>
        </w:tc>
      </w:tr>
      <w:tr w14:paraId="2615AB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tcBorders>
              <w:top w:val="nil"/>
              <w:left w:val="single" w:color="auto" w:sz="4" w:space="0"/>
              <w:bottom w:val="single" w:color="auto" w:sz="4" w:space="0"/>
              <w:right w:val="single" w:color="auto" w:sz="4" w:space="0"/>
            </w:tcBorders>
            <w:vAlign w:val="center"/>
          </w:tcPr>
          <w:p w14:paraId="0D6F7663">
            <w:pPr>
              <w:pStyle w:val="94"/>
              <w:rPr>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081D6F9D">
            <w:pPr>
              <w:pStyle w:val="94"/>
              <w:rPr>
                <w:color w:val="auto"/>
              </w:rPr>
            </w:pPr>
          </w:p>
        </w:tc>
        <w:tc>
          <w:tcPr>
            <w:tcW w:w="998" w:type="pct"/>
            <w:tcBorders>
              <w:top w:val="single" w:color="auto" w:sz="4" w:space="0"/>
              <w:left w:val="single" w:color="auto" w:sz="4" w:space="0"/>
              <w:bottom w:val="single" w:color="auto" w:sz="4" w:space="0"/>
              <w:right w:val="single" w:color="auto" w:sz="4" w:space="0"/>
            </w:tcBorders>
            <w:vAlign w:val="center"/>
          </w:tcPr>
          <w:p w14:paraId="6C4F7DA0">
            <w:pPr>
              <w:pStyle w:val="94"/>
              <w:rPr>
                <w:color w:val="auto"/>
              </w:rPr>
            </w:pPr>
            <w:r>
              <w:rPr>
                <w:rFonts w:hint="eastAsia"/>
                <w:color w:val="auto"/>
              </w:rPr>
              <w:t>产量</w:t>
            </w:r>
          </w:p>
        </w:tc>
        <w:tc>
          <w:tcPr>
            <w:tcW w:w="1007" w:type="pct"/>
            <w:tcBorders>
              <w:top w:val="single" w:color="auto" w:sz="4" w:space="0"/>
              <w:left w:val="single" w:color="auto" w:sz="4" w:space="0"/>
              <w:bottom w:val="single" w:color="auto" w:sz="4" w:space="0"/>
              <w:right w:val="single" w:color="auto" w:sz="4" w:space="0"/>
            </w:tcBorders>
            <w:vAlign w:val="center"/>
          </w:tcPr>
          <w:p w14:paraId="409347AE">
            <w:pPr>
              <w:pStyle w:val="94"/>
              <w:rPr>
                <w:color w:val="auto"/>
              </w:rPr>
            </w:pPr>
            <w:r>
              <w:rPr>
                <w:rFonts w:hint="eastAsia"/>
                <w:color w:val="auto"/>
              </w:rPr>
              <w:t>五年后达到周边地区同等土地利用类型水平</w:t>
            </w:r>
          </w:p>
        </w:tc>
        <w:tc>
          <w:tcPr>
            <w:tcW w:w="2016" w:type="pct"/>
            <w:tcBorders>
              <w:top w:val="single" w:color="auto" w:sz="4" w:space="0"/>
              <w:left w:val="single" w:color="auto" w:sz="4" w:space="0"/>
              <w:bottom w:val="single" w:color="auto" w:sz="4" w:space="0"/>
              <w:right w:val="single" w:color="auto" w:sz="4" w:space="0"/>
            </w:tcBorders>
            <w:vAlign w:val="center"/>
          </w:tcPr>
          <w:p w14:paraId="6D31AF0E">
            <w:pPr>
              <w:pStyle w:val="94"/>
              <w:rPr>
                <w:color w:val="auto"/>
              </w:rPr>
            </w:pPr>
            <w:r>
              <w:rPr>
                <w:rFonts w:hint="eastAsia"/>
                <w:color w:val="auto"/>
              </w:rPr>
              <w:t>三年后复垦区单位面积经济学产量不低于当地中等产量水平；五年后达到周边地区同等土地利用类型水平</w:t>
            </w:r>
          </w:p>
        </w:tc>
      </w:tr>
    </w:tbl>
    <w:p w14:paraId="2871055A">
      <w:pPr>
        <w:pStyle w:val="96"/>
        <w:ind w:firstLine="480"/>
        <w:rPr>
          <w:rFonts w:ascii="Times New Roman" w:hAnsi="Times New Roman"/>
        </w:rPr>
      </w:pPr>
      <w:r>
        <w:rPr>
          <w:rFonts w:ascii="Times New Roman" w:hAnsi="Times New Roman"/>
        </w:rPr>
        <w:t>3</w:t>
      </w:r>
      <w:r>
        <w:t>、道路生态恢复措施</w:t>
      </w:r>
    </w:p>
    <w:p w14:paraId="12E72344">
      <w:pPr>
        <w:pStyle w:val="96"/>
        <w:ind w:firstLine="480"/>
        <w:rPr>
          <w:rFonts w:ascii="Times New Roman" w:hAnsi="Times New Roman"/>
        </w:rPr>
      </w:pPr>
      <w:r>
        <w:t>在满足气田建设、生产和发展的要求下，气田道路与地方道路统筹考虑，共同构成交通网，重点是以通乡油路以及通村水泥路为主线，建设通往各井场的道路，整体形成树枝状路网结构。</w:t>
      </w:r>
    </w:p>
    <w:p w14:paraId="4840ABD0">
      <w:pPr>
        <w:pStyle w:val="96"/>
        <w:ind w:firstLine="480"/>
        <w:rPr>
          <w:rFonts w:ascii="Times New Roman" w:hAnsi="Times New Roman"/>
        </w:rPr>
      </w:pPr>
      <w:r>
        <w:t>另外，由于气井钻探、材料运输等的需要，均有井场至主干道的道路连接，据项目布置方案，砂石路面，平均宽</w:t>
      </w:r>
      <w:r>
        <w:rPr>
          <w:rFonts w:ascii="Times New Roman" w:hAnsi="Times New Roman"/>
        </w:rPr>
        <w:t>3.5m</w:t>
      </w:r>
      <w:r>
        <w:t>。</w:t>
      </w:r>
    </w:p>
    <w:p w14:paraId="740C28AB">
      <w:pPr>
        <w:pStyle w:val="96"/>
        <w:ind w:firstLine="480"/>
        <w:rPr>
          <w:rFonts w:ascii="Times New Roman" w:hAnsi="Times New Roman"/>
        </w:rPr>
      </w:pPr>
      <w:r>
        <w:t>施工道路的生态保护和恢复措施</w:t>
      </w:r>
      <w:r>
        <w:rPr>
          <w:rFonts w:hint="eastAsia" w:ascii="Times New Roman" w:hAnsi="Times New Roman"/>
        </w:rPr>
        <w:t>：</w:t>
      </w:r>
      <w:r>
        <w:t>部分施工道路后期将利用为巡检道路和乡村道路供当地居民使用。遵循</w:t>
      </w:r>
      <w:r>
        <w:rPr>
          <w:rFonts w:ascii="Times New Roman" w:hAnsi="Times New Roman"/>
        </w:rPr>
        <w:t>“</w:t>
      </w:r>
      <w:r>
        <w:t>因地制宜</w:t>
      </w:r>
      <w:r>
        <w:rPr>
          <w:rFonts w:ascii="Times New Roman" w:hAnsi="Times New Roman"/>
        </w:rPr>
        <w:t>”</w:t>
      </w:r>
      <w:r>
        <w:t>原则，针对具备施工条件的道路选用不同生态保护和恢复措施</w:t>
      </w:r>
      <w:r>
        <w:rPr>
          <w:rFonts w:ascii="Times New Roman" w:hAnsi="Times New Roman"/>
        </w:rPr>
        <w:t>:</w:t>
      </w:r>
      <w:r>
        <w:rPr>
          <w:rFonts w:hint="eastAsia"/>
        </w:rPr>
        <w:t>①</w:t>
      </w:r>
      <w:r>
        <w:t>梁峁道路两侧</w:t>
      </w:r>
      <w:r>
        <w:rPr>
          <w:rFonts w:ascii="Times New Roman" w:hAnsi="Times New Roman"/>
        </w:rPr>
        <w:t xml:space="preserve">2m </w:t>
      </w:r>
      <w:r>
        <w:t>范围内种植油松、侧柏等当地乔木</w:t>
      </w:r>
      <w:r>
        <w:rPr>
          <w:rFonts w:ascii="Times New Roman" w:hAnsi="Times New Roman"/>
        </w:rPr>
        <w:t>;</w:t>
      </w:r>
      <w:r>
        <w:rPr>
          <w:rFonts w:hint="eastAsia"/>
        </w:rPr>
        <w:t>②</w:t>
      </w:r>
      <w:r>
        <w:t xml:space="preserve">坡面道路上坡方向 </w:t>
      </w:r>
      <w:r>
        <w:rPr>
          <w:rFonts w:ascii="Times New Roman" w:hAnsi="Times New Roman"/>
        </w:rPr>
        <w:t>2m</w:t>
      </w:r>
      <w:r>
        <w:t>，下坡方向</w:t>
      </w:r>
      <w:r>
        <w:rPr>
          <w:rFonts w:ascii="Times New Roman" w:hAnsi="Times New Roman"/>
        </w:rPr>
        <w:t xml:space="preserve">4m </w:t>
      </w:r>
      <w:r>
        <w:t>栽植</w:t>
      </w:r>
      <w:r>
        <w:rPr>
          <w:rFonts w:hint="eastAsia"/>
        </w:rPr>
        <w:t>柠条锦鸡儿</w:t>
      </w:r>
      <w:r>
        <w:t>等当地灌木树种，并撒播</w:t>
      </w:r>
      <w:r>
        <w:rPr>
          <w:rFonts w:hint="eastAsia"/>
        </w:rPr>
        <w:t>紫花苜蓿、披碱草</w:t>
      </w:r>
      <w:r>
        <w:t xml:space="preserve">等当地草种，草籽量按 </w:t>
      </w:r>
      <w:r>
        <w:rPr>
          <w:rFonts w:ascii="Times New Roman" w:hAnsi="Times New Roman"/>
        </w:rPr>
        <w:t xml:space="preserve">1:1 </w:t>
      </w:r>
      <w:r>
        <w:t xml:space="preserve">混合，撒播量为 </w:t>
      </w:r>
      <w:r>
        <w:rPr>
          <w:rFonts w:ascii="Times New Roman" w:hAnsi="Times New Roman"/>
        </w:rPr>
        <w:t>60 kg</w:t>
      </w:r>
      <w:r>
        <w:rPr>
          <w:rFonts w:hint="eastAsia" w:ascii="Times New Roman" w:hAnsi="Times New Roman"/>
        </w:rPr>
        <w:t>/ha</w:t>
      </w:r>
      <w:r>
        <w:rPr>
          <w:rFonts w:ascii="Times New Roman" w:hAnsi="Times New Roman"/>
        </w:rPr>
        <w:t>;</w:t>
      </w:r>
      <w:r>
        <w:rPr>
          <w:rFonts w:hint="eastAsia"/>
        </w:rPr>
        <w:t>③</w:t>
      </w:r>
      <w:r>
        <w:t>沟台道路两侧</w:t>
      </w:r>
      <w:r>
        <w:rPr>
          <w:rFonts w:ascii="Times New Roman" w:hAnsi="Times New Roman"/>
        </w:rPr>
        <w:t xml:space="preserve">2m </w:t>
      </w:r>
      <w:r>
        <w:t>范围内栽植侧柏、油松等，并撒播</w:t>
      </w:r>
      <w:r>
        <w:rPr>
          <w:rFonts w:hint="eastAsia"/>
        </w:rPr>
        <w:t>紫花苜蓿、披碱草</w:t>
      </w:r>
      <w:r>
        <w:t xml:space="preserve">等当地草种，草籽量按 </w:t>
      </w:r>
      <w:r>
        <w:rPr>
          <w:rFonts w:ascii="Times New Roman" w:hAnsi="Times New Roman"/>
        </w:rPr>
        <w:t xml:space="preserve">1:1 </w:t>
      </w:r>
      <w:r>
        <w:t xml:space="preserve">混合，撒播量为 </w:t>
      </w:r>
      <w:r>
        <w:rPr>
          <w:rFonts w:ascii="Times New Roman" w:hAnsi="Times New Roman"/>
        </w:rPr>
        <w:t>60 kg/h</w:t>
      </w:r>
      <w:r>
        <w:rPr>
          <w:rFonts w:hint="eastAsia" w:ascii="Times New Roman" w:hAnsi="Times New Roman"/>
        </w:rPr>
        <w:t>a</w:t>
      </w:r>
      <w:r>
        <w:t>。</w:t>
      </w:r>
      <w:r>
        <w:rPr>
          <w:rFonts w:hint="eastAsia"/>
        </w:rPr>
        <w:t>④</w:t>
      </w:r>
      <w:r>
        <w:t xml:space="preserve">两侧有边坡的道路应布设浆砌石贴坡防护，浆砌石贴坡平均高度 </w:t>
      </w:r>
      <w:r>
        <w:rPr>
          <w:rFonts w:ascii="Times New Roman" w:hAnsi="Times New Roman"/>
        </w:rPr>
        <w:t>1.5m</w:t>
      </w:r>
      <w:r>
        <w:t xml:space="preserve">，厚 </w:t>
      </w:r>
      <w:r>
        <w:rPr>
          <w:rFonts w:ascii="Times New Roman" w:hAnsi="Times New Roman"/>
        </w:rPr>
        <w:t>0.5 m</w:t>
      </w:r>
      <w:r>
        <w:t xml:space="preserve">，基础埋深 </w:t>
      </w:r>
      <w:r>
        <w:rPr>
          <w:rFonts w:ascii="Times New Roman" w:hAnsi="Times New Roman"/>
        </w:rPr>
        <w:t>0.5 m</w:t>
      </w:r>
      <w:r>
        <w:t>。</w:t>
      </w:r>
    </w:p>
    <w:p w14:paraId="11812DB9">
      <w:pPr>
        <w:pStyle w:val="5"/>
        <w:rPr>
          <w:rFonts w:cs="Arial"/>
        </w:rPr>
      </w:pPr>
      <w:r>
        <w:rPr>
          <w:rFonts w:hint="eastAsia"/>
        </w:rPr>
        <w:t>公益林保护措施</w:t>
      </w:r>
    </w:p>
    <w:p w14:paraId="23C3C097">
      <w:pPr>
        <w:pStyle w:val="96"/>
        <w:ind w:firstLine="480"/>
        <w:rPr>
          <w:rFonts w:ascii="Times New Roman" w:hAnsi="Times New Roman"/>
        </w:rPr>
      </w:pPr>
      <w:r>
        <w:rPr>
          <w:rFonts w:hint="eastAsia" w:ascii="Times New Roman" w:hAnsi="Times New Roman"/>
        </w:rPr>
        <w:t>1</w:t>
      </w:r>
      <w:r>
        <w:rPr>
          <w:rFonts w:hint="eastAsia"/>
        </w:rPr>
        <w:t>、井场临时占用林地选址应当符合林地保护利用规划，遵循生态保护优先、合理使用的原则。可恢复林业生产条件的临时施工设施，选址应优先选择宜林地、无立木林地，可利用质量差林地的不占用质量好的林地，尽量不占用天然林和乔木林地。不可恢复林业生产条件对山体造成破坏的附属工程临时占用林地。</w:t>
      </w:r>
    </w:p>
    <w:p w14:paraId="27C0250B">
      <w:pPr>
        <w:pStyle w:val="96"/>
        <w:ind w:firstLine="480"/>
        <w:rPr>
          <w:rFonts w:ascii="Times New Roman" w:hAnsi="Times New Roman"/>
        </w:rPr>
      </w:pPr>
      <w:r>
        <w:rPr>
          <w:rFonts w:hint="eastAsia"/>
          <w:bCs/>
        </w:rPr>
        <w:t>2、</w:t>
      </w:r>
      <w:r>
        <w:rPr>
          <w:rFonts w:hint="eastAsia"/>
        </w:rPr>
        <w:t>不得使用Ⅱ级以上保护等级林地中的乔木林地，不得使用一级国家级公益林地，不得使用重点国有林区内Ⅲ级以上保护等级林地中的有林地，不得在县级以上公路和铁路两侧视野范围内选址。</w:t>
      </w:r>
    </w:p>
    <w:p w14:paraId="1159D5B7">
      <w:pPr>
        <w:pStyle w:val="96"/>
        <w:ind w:firstLine="480"/>
      </w:pPr>
      <w:r>
        <w:rPr>
          <w:rFonts w:hint="eastAsia" w:ascii="Times New Roman" w:hAnsi="Times New Roman"/>
        </w:rPr>
        <w:t>3</w:t>
      </w:r>
      <w:r>
        <w:rPr>
          <w:rFonts w:hint="eastAsia"/>
        </w:rPr>
        <w:t>、临时占用林地，建设单位应当提交恢复林业生产条件方案或者与林地权利人签订的临时占用林地恢复林业生产条件的协议，包括选址合理性、期满后能否恢复林业生产条件、恢复措施、时间安排、资金投入等。对于依法设立安全保护区按临时用地办理手续的特殊占地，需要提供有关规定要求的补偿协议或证明。</w:t>
      </w:r>
    </w:p>
    <w:p w14:paraId="3E68823B">
      <w:pPr>
        <w:pStyle w:val="4"/>
      </w:pPr>
      <w:bookmarkStart w:id="169" w:name="_Toc171579837"/>
      <w:r>
        <w:rPr>
          <w:rFonts w:hint="eastAsia"/>
        </w:rPr>
        <w:t>关井期生态恢复措施</w:t>
      </w:r>
      <w:bookmarkEnd w:id="169"/>
    </w:p>
    <w:p w14:paraId="4A58E67A">
      <w:pPr>
        <w:pStyle w:val="5"/>
      </w:pPr>
      <w:r>
        <w:rPr>
          <w:rFonts w:hint="eastAsia"/>
        </w:rPr>
        <w:t>生态恢复原则</w:t>
      </w:r>
    </w:p>
    <w:p w14:paraId="4F8EB661">
      <w:pPr>
        <w:pStyle w:val="96"/>
        <w:ind w:firstLine="480"/>
        <w:rPr>
          <w:rFonts w:ascii="Times New Roman" w:hAnsi="Times New Roman" w:eastAsia="Arial" w:cs="Times New Roman"/>
        </w:rPr>
      </w:pPr>
      <w:r>
        <w:rPr>
          <w:rFonts w:hint="eastAsia"/>
        </w:rPr>
        <w:t>（</w:t>
      </w:r>
      <w:r>
        <w:rPr>
          <w:rFonts w:ascii="Times New Roman" w:hAnsi="Times New Roman" w:eastAsia="Arial" w:cs="Times New Roman"/>
        </w:rPr>
        <w:t>1</w:t>
      </w:r>
      <w:r>
        <w:rPr>
          <w:rFonts w:hint="eastAsia"/>
        </w:rPr>
        <w:t>）钻井服务期满拆除所有地面设备，采取完善的关井措施：井口设置围栏防护；清除场地内的水泥基础至地表</w:t>
      </w:r>
      <w:r>
        <w:rPr>
          <w:rFonts w:ascii="Times New Roman" w:hAnsi="Times New Roman" w:eastAsia="Arial" w:cs="Times New Roman"/>
        </w:rPr>
        <w:t>1m</w:t>
      </w:r>
      <w:r>
        <w:rPr>
          <w:rFonts w:hint="eastAsia"/>
        </w:rPr>
        <w:t>以下，翻松土壤，在地表覆盖厚度为</w:t>
      </w:r>
      <w:r>
        <w:rPr>
          <w:rFonts w:ascii="Times New Roman" w:hAnsi="Times New Roman" w:eastAsia="Arial" w:cs="Times New Roman"/>
        </w:rPr>
        <w:t>0.3m</w:t>
      </w:r>
      <w:r>
        <w:rPr>
          <w:rFonts w:hint="eastAsia"/>
        </w:rPr>
        <w:t>剥离地表土，恢复地貌，有利复垦。</w:t>
      </w:r>
    </w:p>
    <w:p w14:paraId="30F77BD5">
      <w:pPr>
        <w:pStyle w:val="96"/>
        <w:ind w:firstLine="480"/>
        <w:rPr>
          <w:rFonts w:ascii="Times New Roman" w:hAnsi="Times New Roman" w:eastAsia="Arial" w:cs="Times New Roman"/>
        </w:rPr>
      </w:pPr>
      <w:r>
        <w:rPr>
          <w:rFonts w:hint="eastAsia"/>
        </w:rPr>
        <w:t>（</w:t>
      </w:r>
      <w:r>
        <w:rPr>
          <w:rFonts w:ascii="Times New Roman" w:hAnsi="Times New Roman" w:eastAsia="Arial" w:cs="Times New Roman"/>
        </w:rPr>
        <w:t>2</w:t>
      </w:r>
      <w:r>
        <w:rPr>
          <w:rFonts w:hint="eastAsia"/>
        </w:rPr>
        <w:t>）钻井服务期后根据立地条件按照因地制宜、景观协调的原则，依据原有的土地利用及植被分布情况，采取</w:t>
      </w:r>
      <w:r>
        <w:rPr>
          <w:rFonts w:ascii="Times New Roman" w:hAnsi="Times New Roman" w:eastAsia="Arial" w:cs="Times New Roman"/>
        </w:rPr>
        <w:t>“</w:t>
      </w:r>
      <w:r>
        <w:rPr>
          <w:rFonts w:hint="eastAsia"/>
        </w:rPr>
        <w:t>宜树则树、宜草则草、宜耕则耕</w:t>
      </w:r>
      <w:r>
        <w:rPr>
          <w:rFonts w:ascii="Times New Roman" w:hAnsi="Times New Roman" w:eastAsia="Arial" w:cs="Times New Roman"/>
        </w:rPr>
        <w:t>”</w:t>
      </w:r>
      <w:r>
        <w:rPr>
          <w:rFonts w:hint="eastAsia"/>
        </w:rPr>
        <w:t>的原则，对生态环境进行恢复和重建。</w:t>
      </w:r>
    </w:p>
    <w:p w14:paraId="215676FE">
      <w:pPr>
        <w:pStyle w:val="96"/>
        <w:ind w:firstLine="480"/>
        <w:rPr>
          <w:rFonts w:ascii="Times New Roman" w:hAnsi="Times New Roman" w:eastAsia="Arial" w:cs="Times New Roman"/>
        </w:rPr>
      </w:pPr>
      <w:r>
        <w:rPr>
          <w:rFonts w:hint="eastAsia"/>
        </w:rPr>
        <w:t>（</w:t>
      </w:r>
      <w:r>
        <w:rPr>
          <w:rFonts w:ascii="Times New Roman" w:hAnsi="Times New Roman" w:eastAsia="Arial" w:cs="Times New Roman"/>
        </w:rPr>
        <w:t>3</w:t>
      </w:r>
      <w:r>
        <w:rPr>
          <w:rFonts w:hint="eastAsia"/>
        </w:rPr>
        <w:t>）气井关井后，对于符合当地交通运输和农业生产规划的进场道路继续留用，服务地方工农业生产。对当地交通和农业生产无用的道路，应及时恢复林草种植，改善生态环境。</w:t>
      </w:r>
    </w:p>
    <w:p w14:paraId="0D1FB53C">
      <w:pPr>
        <w:pStyle w:val="4"/>
        <w:rPr>
          <w:rFonts w:cs="Arial"/>
          <w:sz w:val="28"/>
          <w:szCs w:val="28"/>
        </w:rPr>
      </w:pPr>
      <w:bookmarkStart w:id="170" w:name="_Toc171579838"/>
      <w:r>
        <w:rPr>
          <w:rFonts w:hint="eastAsia"/>
        </w:rPr>
        <w:t>土地复垦措施</w:t>
      </w:r>
      <w:bookmarkEnd w:id="170"/>
    </w:p>
    <w:p w14:paraId="147872CD">
      <w:pPr>
        <w:pStyle w:val="5"/>
      </w:pPr>
      <w:r>
        <w:rPr>
          <w:rFonts w:hint="eastAsia"/>
        </w:rPr>
        <w:t>工程技术措施</w:t>
      </w:r>
    </w:p>
    <w:p w14:paraId="6BD8D832">
      <w:pPr>
        <w:pStyle w:val="96"/>
        <w:ind w:firstLine="480"/>
        <w:rPr>
          <w:rFonts w:ascii="Times New Roman" w:hAnsi="Times New Roman" w:eastAsia="Arial" w:cs="Times New Roman"/>
        </w:rPr>
      </w:pPr>
      <w:r>
        <w:rPr>
          <w:rFonts w:hint="eastAsia"/>
        </w:rPr>
        <w:t>井场和井场道路施工过程中，首先应进行表土剥离。耕作层土壤和表层土壤是经过多年耕作和植物作用形成的熟化土壤，是深层生土所不能替代的，对于植物种子的萌发和幼苗的生长有着重要作用。因此在进行土地复垦时，要保护和利用好表层的熟化土壤（主要为</w:t>
      </w:r>
      <w:r>
        <w:rPr>
          <w:rFonts w:ascii="Times New Roman" w:hAnsi="Times New Roman" w:eastAsia="Arial" w:cs="Times New Roman"/>
        </w:rPr>
        <w:t>0</w:t>
      </w:r>
      <w:r>
        <w:rPr>
          <w:rFonts w:hint="eastAsia"/>
        </w:rPr>
        <w:t>～</w:t>
      </w:r>
      <w:r>
        <w:rPr>
          <w:rFonts w:ascii="Times New Roman" w:hAnsi="Times New Roman" w:eastAsia="Arial" w:cs="Times New Roman"/>
        </w:rPr>
        <w:t>30cm</w:t>
      </w:r>
      <w:r>
        <w:rPr>
          <w:rFonts w:hint="eastAsia"/>
        </w:rPr>
        <w:t>的土层）。首先要把表层的熟化土壤尽可能地剥离后在合适的地方贮存并加以养护以保持其肥力；待复垦结束后，再平铺于土地表面，使其得到充分、有效的利用。</w:t>
      </w:r>
    </w:p>
    <w:p w14:paraId="78EAD911">
      <w:pPr>
        <w:pStyle w:val="96"/>
        <w:ind w:firstLine="480"/>
        <w:rPr>
          <w:rFonts w:ascii="Times New Roman" w:hAnsi="Times New Roman" w:eastAsia="Arial" w:cs="Times New Roman"/>
        </w:rPr>
      </w:pPr>
      <w:r>
        <w:rPr>
          <w:rFonts w:hint="eastAsia"/>
        </w:rPr>
        <w:t>（</w:t>
      </w:r>
      <w:r>
        <w:rPr>
          <w:rFonts w:ascii="Times New Roman" w:hAnsi="Times New Roman" w:eastAsia="Arial" w:cs="Times New Roman"/>
        </w:rPr>
        <w:t>1</w:t>
      </w:r>
      <w:r>
        <w:rPr>
          <w:rFonts w:hint="eastAsia"/>
        </w:rPr>
        <w:t>）临时堆土防护</w:t>
      </w:r>
    </w:p>
    <w:p w14:paraId="64965863">
      <w:pPr>
        <w:pStyle w:val="96"/>
        <w:ind w:firstLine="480"/>
        <w:rPr>
          <w:rFonts w:ascii="Times New Roman" w:hAnsi="Times New Roman" w:eastAsia="Arial" w:cs="Times New Roman"/>
        </w:rPr>
      </w:pPr>
      <w:r>
        <w:rPr>
          <w:rFonts w:hint="eastAsia"/>
        </w:rPr>
        <w:t>施工时剥离的表土，首先进行临时防护，以使不产生水土流失。不回填的表土再进行植草防护。</w:t>
      </w:r>
    </w:p>
    <w:p w14:paraId="76C9A780">
      <w:pPr>
        <w:pStyle w:val="96"/>
        <w:ind w:firstLine="480"/>
        <w:rPr>
          <w:rFonts w:ascii="Times New Roman" w:hAnsi="Times New Roman" w:eastAsia="Arial" w:cs="Times New Roman"/>
        </w:rPr>
      </w:pPr>
      <w:r>
        <w:rPr>
          <w:rFonts w:hint="eastAsia"/>
        </w:rPr>
        <w:t>（</w:t>
      </w:r>
      <w:r>
        <w:rPr>
          <w:rFonts w:ascii="Times New Roman" w:hAnsi="Times New Roman" w:eastAsia="Arial" w:cs="Times New Roman"/>
        </w:rPr>
        <w:t>2</w:t>
      </w:r>
      <w:r>
        <w:rPr>
          <w:rFonts w:hint="eastAsia"/>
        </w:rPr>
        <w:t>）截水、排水沟</w:t>
      </w:r>
    </w:p>
    <w:p w14:paraId="312BDC07">
      <w:pPr>
        <w:pStyle w:val="96"/>
        <w:ind w:firstLine="480"/>
      </w:pPr>
      <w:r>
        <w:rPr>
          <w:rFonts w:hint="eastAsia"/>
        </w:rPr>
        <w:t>分布在平地、沟台地的井场，由于地势平坦，动用土方量较小，不会产生边坡，因此，不设截水、排水沟，而分布在山腰地、沟底地、山顶地上的井场，如果不设截水、排水沟，则水力侵蚀对地面破坏较为严重，复垦成果不能保持，因此，井场施工开挖时应优先考虑在上、下边坡设截、排水沟。截、排水沟设计洪水标准为</w:t>
      </w:r>
      <w:r>
        <w:rPr>
          <w:rFonts w:ascii="Times New Roman" w:hAnsi="Times New Roman" w:eastAsia="Arial" w:cs="Times New Roman"/>
        </w:rPr>
        <w:t>20</w:t>
      </w:r>
      <w:r>
        <w:rPr>
          <w:rFonts w:hint="eastAsia"/>
        </w:rPr>
        <w:t>年一</w:t>
      </w:r>
      <w:r>
        <w:t>遇。</w:t>
      </w:r>
    </w:p>
    <w:p w14:paraId="7AA4BC33">
      <w:pPr>
        <w:pStyle w:val="96"/>
        <w:ind w:firstLine="480"/>
      </w:pPr>
      <w:r>
        <w:t>（3）边坡防护</w:t>
      </w:r>
    </w:p>
    <w:p w14:paraId="1CD4F18E">
      <w:pPr>
        <w:pStyle w:val="96"/>
        <w:ind w:firstLine="480"/>
      </w:pPr>
      <w:r>
        <w:t>对处于</w:t>
      </w:r>
      <w:r>
        <w:rPr>
          <w:rFonts w:hint="eastAsia"/>
        </w:rPr>
        <w:t>山腰地</w:t>
      </w:r>
      <w:r>
        <w:t>的井场、</w:t>
      </w:r>
      <w:r>
        <w:rPr>
          <w:rFonts w:hint="eastAsia"/>
        </w:rPr>
        <w:t>井场道路</w:t>
      </w:r>
      <w:r>
        <w:t>等的开挖边坡需进行防护，以保护井场用地的稳定。</w:t>
      </w:r>
    </w:p>
    <w:p w14:paraId="3043A656">
      <w:pPr>
        <w:pStyle w:val="96"/>
        <w:ind w:firstLine="480"/>
      </w:pPr>
      <w:r>
        <w:t>（4）土壤培肥</w:t>
      </w:r>
    </w:p>
    <w:p w14:paraId="2E50EB3D">
      <w:pPr>
        <w:pStyle w:val="96"/>
        <w:ind w:firstLine="480"/>
      </w:pPr>
      <w:r>
        <w:t>施工结束后，机械深松改良土壤。使用疏松设备，降低土壤的压实度，改善土壤的物理性状。由于施工中使用推土机等重型机械，复垦后农田土壤存在不同程度的压实，土地平整后压实的土壤使用疏松机，其疏松深度可达40cm以上，通过土壤疏松，降低表层土壤的容重，改变耕作层土壤的农业孔性和通透性，降低土壤的含水量，增加土壤的保水、保墒、保肥能力，为作物创造良好的生长环境。深松改良土壤的基础上采用培肥措施进一步提高土壤肥力。</w:t>
      </w:r>
    </w:p>
    <w:p w14:paraId="715D4D43">
      <w:pPr>
        <w:pStyle w:val="5"/>
        <w:rPr>
          <w:rFonts w:cs="Arial"/>
          <w:szCs w:val="24"/>
        </w:rPr>
      </w:pPr>
      <w:r>
        <w:rPr>
          <w:rFonts w:hint="eastAsia"/>
        </w:rPr>
        <w:t>生物和化学措施</w:t>
      </w:r>
    </w:p>
    <w:p w14:paraId="2369F5D5">
      <w:pPr>
        <w:pStyle w:val="96"/>
        <w:ind w:firstLine="480"/>
      </w:pPr>
      <w:r>
        <w:t>植被恢复为本项目主要土地复垦措施，通过合理安排施工，确保恢复土地原有功能。根据因地制宜确定复垦土地的目标和方向；适地适树（草），以地带性植被、乡土树种为主、灌草结合，丰富生物多样性，构建立体生态防护体系的原则，对项目区进行植被恢复。要保证1年后植物覆盖率保持在90%以上，2年后植物成活率85%以上，且生态系统稳定性强，能自我更新，最终达到自然景观和人文景观协调，环境优美、宜人的目标。</w:t>
      </w:r>
    </w:p>
    <w:p w14:paraId="3308B4D6">
      <w:pPr>
        <w:pStyle w:val="96"/>
        <w:ind w:firstLine="480"/>
      </w:pPr>
      <w:r>
        <w:t>（1）植物防治措施</w:t>
      </w:r>
    </w:p>
    <w:p w14:paraId="700E4204">
      <w:pPr>
        <w:pStyle w:val="96"/>
        <w:ind w:firstLine="480"/>
      </w:pPr>
      <w:r>
        <w:t>优选植物品种：项目建设初期，施工临时占地对原地表遭到较大损毁，在项目区半干旱生态脆弱条件下依靠自然恢复较困难．且周期长，要加快恢复植被与土地生产能力，首先筛选先锋植物，广泛进行适宜的植被品种资源调查，选择可行性好的品种，在实验室进行抗逆性能筛选，选出的植物品种应有较强的固氮能力、根系发达、生产快、产量高、适应性强、抗逆性好、耐贫瘠等。在选择乔、灌、草的种属时，应尽量选取耐早、耐瘠薄、抗病虫害性能强、易于成活的品种，尽量兼顾经济、环境、社会综合效益。优选已被实践证明的，易养、易管、易活的种属，通过先锋植物的引入改善矿区复垦地植物的生存环境，为适生植物和目的树种的生长，人工耕作和重建生态提供条件。</w:t>
      </w:r>
    </w:p>
    <w:p w14:paraId="6E079035">
      <w:pPr>
        <w:pStyle w:val="96"/>
        <w:ind w:firstLine="480"/>
      </w:pPr>
      <w:r>
        <w:t>剥离表土植物防护措施：为防止表土沙化或产生水土流失，破坏表土土壤质量，对临时堆放的表土进行防护。设计在堆体裸露表面撒播草籽进行防护。</w:t>
      </w:r>
    </w:p>
    <w:p w14:paraId="33342BBA">
      <w:pPr>
        <w:pStyle w:val="96"/>
        <w:ind w:firstLine="480"/>
      </w:pPr>
      <w:r>
        <w:t>原有植被区域或空地进行植物恢复：为防止表土和施工空置地沙化或产生水土流失，破坏表土土壤质量，对原有处于林地和灌草地类的井场的空地进行植被恢复。实施植物措施的原则是基本按原地类恢复植被。如果原地类为灌木林地或其他林地，表土保存较好，周围有丰富的种子库，则恢复为林地或灌木林地。如果原地类损毁严重，表土不丰富，则最终恢复为草地。</w:t>
      </w:r>
    </w:p>
    <w:p w14:paraId="737E5CC1">
      <w:pPr>
        <w:pStyle w:val="96"/>
        <w:ind w:firstLine="480"/>
      </w:pPr>
      <w:r>
        <w:t>种植技术：直接播种生命力强，根系扎入土层较深，地下部根系的伸长经常高于地上部的生长量。直播的林木易发生自然淘汰，天然地进行林分密度调节，形成抵御自然灾害能力强的株形，因此这类植物具有较大的抗逆性。可以考虑在某些情况下如复垦费用较少等，逐渐以直播来代替移栽。在项目区复垦地上种植的各种牧草和绝大多数药用植物与农作物都是用直播法来繁殖的。</w:t>
      </w:r>
    </w:p>
    <w:p w14:paraId="51B93E51">
      <w:pPr>
        <w:pStyle w:val="96"/>
        <w:ind w:firstLine="480"/>
      </w:pPr>
      <w:r>
        <w:t>移栽的苗木较大，植株生长起来封陇地面快，对于能固氮的植物和有菌根菌的植物，移栽时可把苗圃地内的有益菌带到新垦地内，促使植株健壮生长。可适当发展自己的苗圃，既可节省资金，又可提高移栽成活率，用不完的苗木还可出售。</w:t>
      </w:r>
    </w:p>
    <w:p w14:paraId="4A9879F9">
      <w:pPr>
        <w:pStyle w:val="96"/>
        <w:ind w:firstLine="480"/>
      </w:pPr>
      <w:r>
        <w:t>本项目复垦采用外购苗木，购置的苗木不能堆放，要迅速架植起来，随栽随挖取，栽植时幼苗根部蘸泥浆以减少根部在干燥空气中的暴露时间，增加根部土壤含水量。栽植时一定要除去树苗地周围快速生长的杂草，以免与树木争夺水分。</w:t>
      </w:r>
    </w:p>
    <w:p w14:paraId="568C2969">
      <w:pPr>
        <w:pStyle w:val="96"/>
        <w:ind w:firstLine="480"/>
      </w:pPr>
      <w:r>
        <w:t>（2）化学改良措施</w:t>
      </w:r>
    </w:p>
    <w:p w14:paraId="5A1D86D2">
      <w:pPr>
        <w:pStyle w:val="96"/>
        <w:ind w:firstLine="480"/>
      </w:pPr>
      <w:r>
        <w:t>主要采取的化学措施是结合当地土壤特点，对于损毁的土地通过土壤培肥，恢复土壤肥力与生产力的活动，项目区大部分被黄土所覆盖，但养分非常贫瘠，有机质和营养元素含量较低，因此需要针对土壤的不良性状和障碍因素，采取相应的化学措施，改善土壤性状，提高土壤肥力，增加土地生产力。改良措施主要有种植豆科绿肥或施农家肥，当土壤过砂或过粘时，可采用砂黏互掺的办法。本项目丰要是增施农家肥和覆盖有机质丰富的表土，从而达到改良土壤的目的。</w:t>
      </w:r>
    </w:p>
    <w:p w14:paraId="39CA12C9">
      <w:pPr>
        <w:pStyle w:val="5"/>
        <w:rPr>
          <w:rFonts w:cs="Arial"/>
          <w:szCs w:val="24"/>
        </w:rPr>
      </w:pPr>
      <w:r>
        <w:rPr>
          <w:rFonts w:hint="eastAsia"/>
        </w:rPr>
        <w:t>管护措施</w:t>
      </w:r>
    </w:p>
    <w:p w14:paraId="183F8376">
      <w:pPr>
        <w:pStyle w:val="96"/>
        <w:ind w:firstLine="480"/>
      </w:pPr>
      <w:r>
        <w:t>植被措施的后期养护是生态复垦成败的关键，主要包括浇水养护、防除有害草种与培土补植。</w:t>
      </w:r>
    </w:p>
    <w:p w14:paraId="57A3028F">
      <w:pPr>
        <w:pStyle w:val="96"/>
        <w:ind w:firstLine="480"/>
      </w:pPr>
      <w:r>
        <w:t>（1）浇水养护</w:t>
      </w:r>
    </w:p>
    <w:p w14:paraId="23A606BC">
      <w:pPr>
        <w:pStyle w:val="96"/>
        <w:ind w:firstLine="480"/>
      </w:pPr>
      <w:r>
        <w:t>分前、中、后期水分管理，前期浇水养护为60天，播后第一次浇透水，以后根据天气情况，保持土壤湿润，中期依靠自然降水。后期喷水频率和水量以使土壤保持湿润为宜。</w:t>
      </w:r>
    </w:p>
    <w:p w14:paraId="335D2B85">
      <w:pPr>
        <w:pStyle w:val="96"/>
        <w:ind w:firstLine="480"/>
      </w:pPr>
      <w:r>
        <w:t>（2）病虫害防治</w:t>
      </w:r>
    </w:p>
    <w:p w14:paraId="185B6343">
      <w:pPr>
        <w:pStyle w:val="96"/>
        <w:ind w:firstLine="480"/>
      </w:pPr>
      <w:r>
        <w:t>病虫害防治是林草管理中的一项重要的工作，在林草生长季节尤为重要。主要采取药物防治，根据不同的草种在不同的生长期，根据病虫害种类的生长发育期选用不同的药物，使用不同的浓度和不同的使用方法。当杂草种子高出主草丛时，采用人工拔除。</w:t>
      </w:r>
    </w:p>
    <w:p w14:paraId="04FBC1EF">
      <w:pPr>
        <w:pStyle w:val="96"/>
        <w:ind w:firstLine="480"/>
      </w:pPr>
      <w:r>
        <w:t>（3）培土补植</w:t>
      </w:r>
    </w:p>
    <w:p w14:paraId="494B90F7">
      <w:pPr>
        <w:pStyle w:val="96"/>
        <w:ind w:firstLine="480"/>
      </w:pPr>
      <w:r>
        <w:t>对坡度大、土壤易受冲刷的坡面，暴雨后要认真检查，尽量恢复原来平整的坡面，培土后要压实以保证根系与土壤紧密结合。由于干旱、雨水冲刷等客观原因，导致部分植物死亡，应及时补植。补播的牧草要求质量与周围正常生长的牧草一致，以保证绿化的整齐性。</w:t>
      </w:r>
    </w:p>
    <w:p w14:paraId="730534D6">
      <w:pPr>
        <w:pStyle w:val="96"/>
        <w:ind w:firstLine="480"/>
      </w:pPr>
      <w:r>
        <w:t>（4）管护期</w:t>
      </w:r>
    </w:p>
    <w:p w14:paraId="29C8DF2B">
      <w:pPr>
        <w:pStyle w:val="96"/>
        <w:ind w:firstLine="480"/>
      </w:pPr>
      <w:r>
        <w:t>复垦后的植被管护是关键，尤其在复垦后的前三年，因此本方案确定管护期为3年。</w:t>
      </w:r>
    </w:p>
    <w:p w14:paraId="1A263DFB">
      <w:pPr>
        <w:pStyle w:val="3"/>
        <w:rPr>
          <w:rFonts w:cs="Arial"/>
          <w:szCs w:val="24"/>
        </w:rPr>
      </w:pPr>
      <w:bookmarkStart w:id="171" w:name="_Toc171579839"/>
      <w:r>
        <w:rPr>
          <w:rFonts w:hint="eastAsia"/>
        </w:rPr>
        <w:t>生态跟踪监测措施</w:t>
      </w:r>
      <w:bookmarkEnd w:id="171"/>
    </w:p>
    <w:p w14:paraId="482472FE">
      <w:pPr>
        <w:pStyle w:val="96"/>
        <w:ind w:firstLine="480"/>
      </w:pPr>
      <w:r>
        <w:t>为监控项目土地复垦工程实施后的生态效果，有必要复垦后的林草用地进行植被监测。植被监测主要对成活率和覆盖率进行监测，监测时间选在植物生长的旺季进行，根据当地实际情况，一般选择在夏季进行。每年监测一次，直至管护期结束。</w:t>
      </w:r>
    </w:p>
    <w:p w14:paraId="395C4594">
      <w:pPr>
        <w:pStyle w:val="96"/>
        <w:ind w:firstLine="480"/>
      </w:pPr>
      <w:r>
        <w:t>植被监测包括植被长势、植被盖度以及入侵植物种类调查。</w:t>
      </w:r>
    </w:p>
    <w:p w14:paraId="23E6074C">
      <w:pPr>
        <w:pStyle w:val="96"/>
        <w:ind w:firstLine="480"/>
      </w:pPr>
      <w:r>
        <w:t>在调查基础之上进行生态系统后评价，后评价内容包括土壤生态系统健康评价以及植物多样性评价，调查与评价过程由具有相关技术的单位配合进行。</w:t>
      </w:r>
    </w:p>
    <w:p w14:paraId="4AB2C1DB">
      <w:pPr>
        <w:pStyle w:val="4"/>
      </w:pPr>
      <w:bookmarkStart w:id="172" w:name="_Toc171579840"/>
      <w:r>
        <w:rPr>
          <w:rFonts w:hint="eastAsia"/>
        </w:rPr>
        <w:t>监测计划</w:t>
      </w:r>
      <w:bookmarkEnd w:id="172"/>
    </w:p>
    <w:p w14:paraId="46C3C0D4">
      <w:pPr>
        <w:pStyle w:val="96"/>
        <w:ind w:firstLine="480"/>
      </w:pPr>
      <w:r>
        <w:rPr>
          <w:rFonts w:hint="eastAsia"/>
        </w:rPr>
        <w:t>勘探结束复垦后三年内，每年进行一次生态环境监测，具体监测计划见下表。</w:t>
      </w:r>
    </w:p>
    <w:p w14:paraId="5EC96FC9">
      <w:pPr>
        <w:pStyle w:val="19"/>
        <w:keepNext/>
      </w:pPr>
      <w:bookmarkStart w:id="173" w:name="_Ref169211197"/>
      <w:bookmarkStart w:id="174" w:name="_Ref169211209"/>
      <w:r>
        <w:t xml:space="preserve">表 </w:t>
      </w:r>
      <w:r>
        <w:fldChar w:fldCharType="begin"/>
      </w:r>
      <w:r>
        <w:instrText xml:space="preserve"> SEQ 表 \* ARABIC </w:instrText>
      </w:r>
      <w:r>
        <w:fldChar w:fldCharType="separate"/>
      </w:r>
      <w:r>
        <w:t>99</w:t>
      </w:r>
      <w:r>
        <w:fldChar w:fldCharType="end"/>
      </w:r>
      <w:bookmarkEnd w:id="173"/>
      <w:r>
        <w:rPr>
          <w:rFonts w:hint="eastAsia"/>
        </w:rPr>
        <w:t>生态环境监测计划</w:t>
      </w:r>
      <w:bookmarkEnd w:id="174"/>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49"/>
        <w:gridCol w:w="2042"/>
        <w:gridCol w:w="7691"/>
      </w:tblGrid>
      <w:tr w14:paraId="32C5DD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44" w:type="pct"/>
            <w:vAlign w:val="center"/>
          </w:tcPr>
          <w:p w14:paraId="70D26C00">
            <w:pPr>
              <w:pStyle w:val="94"/>
              <w:rPr>
                <w:color w:val="auto"/>
              </w:rPr>
            </w:pPr>
            <w:r>
              <w:rPr>
                <w:rFonts w:hint="eastAsia"/>
                <w:color w:val="auto"/>
              </w:rPr>
              <w:t>序号</w:t>
            </w:r>
          </w:p>
        </w:tc>
        <w:tc>
          <w:tcPr>
            <w:tcW w:w="956" w:type="pct"/>
            <w:vAlign w:val="center"/>
          </w:tcPr>
          <w:p w14:paraId="5386311D">
            <w:pPr>
              <w:pStyle w:val="94"/>
              <w:rPr>
                <w:color w:val="auto"/>
              </w:rPr>
            </w:pPr>
            <w:r>
              <w:rPr>
                <w:rFonts w:hint="eastAsia"/>
                <w:color w:val="auto"/>
              </w:rPr>
              <w:t>监测项目</w:t>
            </w:r>
          </w:p>
        </w:tc>
        <w:tc>
          <w:tcPr>
            <w:tcW w:w="3600" w:type="pct"/>
            <w:vAlign w:val="center"/>
          </w:tcPr>
          <w:p w14:paraId="5E16FBC7">
            <w:pPr>
              <w:pStyle w:val="94"/>
              <w:rPr>
                <w:color w:val="auto"/>
              </w:rPr>
            </w:pPr>
            <w:r>
              <w:rPr>
                <w:rFonts w:hint="eastAsia"/>
                <w:color w:val="auto"/>
              </w:rPr>
              <w:t>主要技术要求</w:t>
            </w:r>
          </w:p>
        </w:tc>
      </w:tr>
      <w:tr w14:paraId="176045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44" w:type="pct"/>
            <w:vAlign w:val="center"/>
          </w:tcPr>
          <w:p w14:paraId="6BD9147F">
            <w:pPr>
              <w:pStyle w:val="94"/>
              <w:rPr>
                <w:color w:val="auto"/>
              </w:rPr>
            </w:pPr>
            <w:r>
              <w:rPr>
                <w:rFonts w:hint="eastAsia"/>
                <w:color w:val="auto"/>
              </w:rPr>
              <w:t>1</w:t>
            </w:r>
          </w:p>
        </w:tc>
        <w:tc>
          <w:tcPr>
            <w:tcW w:w="956" w:type="pct"/>
            <w:vAlign w:val="center"/>
          </w:tcPr>
          <w:p w14:paraId="01F42EBF">
            <w:pPr>
              <w:pStyle w:val="94"/>
              <w:rPr>
                <w:color w:val="auto"/>
              </w:rPr>
            </w:pPr>
            <w:r>
              <w:rPr>
                <w:rFonts w:hint="eastAsia"/>
                <w:color w:val="auto"/>
              </w:rPr>
              <w:t>施工现</w:t>
            </w:r>
          </w:p>
          <w:p w14:paraId="0FB20A5D">
            <w:pPr>
              <w:pStyle w:val="94"/>
              <w:rPr>
                <w:color w:val="auto"/>
              </w:rPr>
            </w:pPr>
            <w:r>
              <w:rPr>
                <w:rFonts w:hint="eastAsia"/>
                <w:color w:val="auto"/>
              </w:rPr>
              <w:t>场清理</w:t>
            </w:r>
          </w:p>
        </w:tc>
        <w:tc>
          <w:tcPr>
            <w:tcW w:w="3600" w:type="pct"/>
            <w:vAlign w:val="center"/>
          </w:tcPr>
          <w:p w14:paraId="3C445560">
            <w:pPr>
              <w:pStyle w:val="94"/>
              <w:jc w:val="left"/>
              <w:rPr>
                <w:color w:val="auto"/>
              </w:rPr>
            </w:pPr>
            <w:r>
              <w:rPr>
                <w:rFonts w:hint="eastAsia"/>
                <w:color w:val="auto"/>
              </w:rPr>
              <w:t>1.监测项目：施工结束后，施工现场的弃土、石、渣等固废处理和生态环境恢复情况。</w:t>
            </w:r>
          </w:p>
          <w:p w14:paraId="248C0836">
            <w:pPr>
              <w:pStyle w:val="94"/>
              <w:jc w:val="left"/>
              <w:rPr>
                <w:color w:val="auto"/>
              </w:rPr>
            </w:pPr>
            <w:r>
              <w:rPr>
                <w:rFonts w:hint="eastAsia"/>
                <w:color w:val="auto"/>
              </w:rPr>
              <w:t>2.监测频率：施工结束后1次。</w:t>
            </w:r>
          </w:p>
          <w:p w14:paraId="2B23CC45">
            <w:pPr>
              <w:pStyle w:val="94"/>
              <w:jc w:val="left"/>
              <w:rPr>
                <w:color w:val="auto"/>
              </w:rPr>
            </w:pPr>
            <w:r>
              <w:rPr>
                <w:rFonts w:hint="eastAsia"/>
                <w:color w:val="auto"/>
              </w:rPr>
              <w:t>3.监测点：各施工区。</w:t>
            </w:r>
          </w:p>
        </w:tc>
      </w:tr>
      <w:tr w14:paraId="50B53C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44" w:type="pct"/>
            <w:vAlign w:val="center"/>
          </w:tcPr>
          <w:p w14:paraId="6367DDFB">
            <w:pPr>
              <w:pStyle w:val="94"/>
              <w:rPr>
                <w:color w:val="auto"/>
              </w:rPr>
            </w:pPr>
            <w:bookmarkStart w:id="175" w:name="_Hlk301602765"/>
            <w:r>
              <w:rPr>
                <w:rFonts w:hint="eastAsia"/>
                <w:color w:val="auto"/>
              </w:rPr>
              <w:t>2</w:t>
            </w:r>
            <w:bookmarkEnd w:id="175"/>
          </w:p>
        </w:tc>
        <w:tc>
          <w:tcPr>
            <w:tcW w:w="956" w:type="pct"/>
            <w:vAlign w:val="center"/>
          </w:tcPr>
          <w:p w14:paraId="22BBBF33">
            <w:pPr>
              <w:pStyle w:val="94"/>
              <w:rPr>
                <w:color w:val="auto"/>
              </w:rPr>
            </w:pPr>
            <w:r>
              <w:rPr>
                <w:rFonts w:hint="eastAsia"/>
                <w:color w:val="auto"/>
              </w:rPr>
              <w:t>土壤侵蚀</w:t>
            </w:r>
          </w:p>
        </w:tc>
        <w:tc>
          <w:tcPr>
            <w:tcW w:w="3600" w:type="pct"/>
            <w:vAlign w:val="center"/>
          </w:tcPr>
          <w:p w14:paraId="17A2D947">
            <w:pPr>
              <w:pStyle w:val="94"/>
              <w:jc w:val="left"/>
              <w:rPr>
                <w:color w:val="auto"/>
              </w:rPr>
            </w:pPr>
            <w:r>
              <w:rPr>
                <w:rFonts w:hint="eastAsia"/>
                <w:color w:val="auto"/>
              </w:rPr>
              <w:t>1.监测项目：土壤侵蚀类型、侵蚀量。</w:t>
            </w:r>
          </w:p>
          <w:p w14:paraId="5D7632C9">
            <w:pPr>
              <w:pStyle w:val="94"/>
              <w:jc w:val="left"/>
              <w:rPr>
                <w:color w:val="auto"/>
              </w:rPr>
            </w:pPr>
            <w:r>
              <w:rPr>
                <w:rFonts w:hint="eastAsia"/>
                <w:color w:val="auto"/>
              </w:rPr>
              <w:t>2.监测频率：勘探结束复垦后三年内，每年1次。</w:t>
            </w:r>
          </w:p>
          <w:p w14:paraId="1A87397D">
            <w:pPr>
              <w:pStyle w:val="94"/>
              <w:jc w:val="left"/>
              <w:rPr>
                <w:color w:val="auto"/>
              </w:rPr>
            </w:pPr>
            <w:r>
              <w:rPr>
                <w:rFonts w:hint="eastAsia"/>
                <w:color w:val="auto"/>
              </w:rPr>
              <w:t>3.监测点：施工区域</w:t>
            </w:r>
            <w:r>
              <w:rPr>
                <w:color w:val="auto"/>
              </w:rPr>
              <w:t>3</w:t>
            </w:r>
            <w:r>
              <w:rPr>
                <w:rFonts w:hint="eastAsia"/>
                <w:color w:val="auto"/>
              </w:rPr>
              <w:t>个代表点。</w:t>
            </w:r>
          </w:p>
        </w:tc>
      </w:tr>
      <w:tr w14:paraId="7145EC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44" w:type="pct"/>
            <w:vAlign w:val="center"/>
          </w:tcPr>
          <w:p w14:paraId="53E04296">
            <w:pPr>
              <w:pStyle w:val="94"/>
              <w:rPr>
                <w:color w:val="auto"/>
              </w:rPr>
            </w:pPr>
            <w:r>
              <w:rPr>
                <w:rFonts w:hint="eastAsia"/>
                <w:color w:val="auto"/>
              </w:rPr>
              <w:t>3</w:t>
            </w:r>
          </w:p>
        </w:tc>
        <w:tc>
          <w:tcPr>
            <w:tcW w:w="956" w:type="pct"/>
            <w:vAlign w:val="center"/>
          </w:tcPr>
          <w:p w14:paraId="5D676722">
            <w:pPr>
              <w:pStyle w:val="94"/>
              <w:rPr>
                <w:color w:val="auto"/>
              </w:rPr>
            </w:pPr>
            <w:r>
              <w:rPr>
                <w:rFonts w:hint="eastAsia"/>
                <w:color w:val="auto"/>
              </w:rPr>
              <w:t>植被</w:t>
            </w:r>
          </w:p>
        </w:tc>
        <w:tc>
          <w:tcPr>
            <w:tcW w:w="3600" w:type="pct"/>
            <w:vAlign w:val="center"/>
          </w:tcPr>
          <w:p w14:paraId="62EC59BE">
            <w:pPr>
              <w:pStyle w:val="94"/>
              <w:jc w:val="left"/>
              <w:rPr>
                <w:color w:val="auto"/>
              </w:rPr>
            </w:pPr>
            <w:r>
              <w:rPr>
                <w:rFonts w:hint="eastAsia"/>
                <w:color w:val="auto"/>
              </w:rPr>
              <w:t>1.监测项目：植被类型，植被种类、高度、盖度、生物量。</w:t>
            </w:r>
          </w:p>
          <w:p w14:paraId="203BB86D">
            <w:pPr>
              <w:pStyle w:val="94"/>
              <w:jc w:val="left"/>
              <w:rPr>
                <w:color w:val="auto"/>
              </w:rPr>
            </w:pPr>
            <w:r>
              <w:rPr>
                <w:rFonts w:hint="eastAsia"/>
                <w:color w:val="auto"/>
              </w:rPr>
              <w:t>2.监测频率：勘探结束复垦后三年内，每年1次。</w:t>
            </w:r>
          </w:p>
          <w:p w14:paraId="2E1EDE61">
            <w:pPr>
              <w:pStyle w:val="94"/>
              <w:jc w:val="left"/>
              <w:rPr>
                <w:color w:val="auto"/>
              </w:rPr>
            </w:pPr>
            <w:r>
              <w:rPr>
                <w:rFonts w:hint="eastAsia"/>
                <w:color w:val="auto"/>
              </w:rPr>
              <w:t>3.监测点：项目实施区</w:t>
            </w:r>
            <w:r>
              <w:rPr>
                <w:color w:val="auto"/>
              </w:rPr>
              <w:t>3</w:t>
            </w:r>
            <w:r>
              <w:rPr>
                <w:rFonts w:hint="eastAsia"/>
                <w:color w:val="auto"/>
              </w:rPr>
              <w:t>个点。</w:t>
            </w:r>
          </w:p>
        </w:tc>
      </w:tr>
      <w:tr w14:paraId="36DA07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44" w:type="pct"/>
            <w:vAlign w:val="center"/>
          </w:tcPr>
          <w:p w14:paraId="228467BB">
            <w:pPr>
              <w:pStyle w:val="94"/>
              <w:rPr>
                <w:color w:val="auto"/>
              </w:rPr>
            </w:pPr>
            <w:r>
              <w:rPr>
                <w:rFonts w:hint="eastAsia"/>
                <w:color w:val="auto"/>
              </w:rPr>
              <w:t>4</w:t>
            </w:r>
          </w:p>
        </w:tc>
        <w:tc>
          <w:tcPr>
            <w:tcW w:w="956" w:type="pct"/>
            <w:vAlign w:val="center"/>
          </w:tcPr>
          <w:p w14:paraId="4C8C31BF">
            <w:pPr>
              <w:pStyle w:val="94"/>
              <w:rPr>
                <w:color w:val="auto"/>
              </w:rPr>
            </w:pPr>
            <w:r>
              <w:rPr>
                <w:rFonts w:hint="eastAsia"/>
                <w:color w:val="auto"/>
              </w:rPr>
              <w:t>土壤环境</w:t>
            </w:r>
          </w:p>
        </w:tc>
        <w:tc>
          <w:tcPr>
            <w:tcW w:w="3600" w:type="pct"/>
            <w:vAlign w:val="center"/>
          </w:tcPr>
          <w:p w14:paraId="395D4ACC">
            <w:pPr>
              <w:pStyle w:val="94"/>
              <w:jc w:val="left"/>
              <w:rPr>
                <w:color w:val="auto"/>
              </w:rPr>
            </w:pPr>
            <w:r>
              <w:rPr>
                <w:rFonts w:hint="eastAsia"/>
                <w:color w:val="auto"/>
              </w:rPr>
              <w:t>1.监测项目：pH、有机质、全N、有效P、K。</w:t>
            </w:r>
          </w:p>
          <w:p w14:paraId="4B0B48DA">
            <w:pPr>
              <w:pStyle w:val="94"/>
              <w:jc w:val="left"/>
              <w:rPr>
                <w:color w:val="auto"/>
              </w:rPr>
            </w:pPr>
            <w:r>
              <w:rPr>
                <w:rFonts w:hint="eastAsia"/>
                <w:color w:val="auto"/>
              </w:rPr>
              <w:t>2.监测频率：勘探结束复垦后三年内，每年1次。</w:t>
            </w:r>
          </w:p>
          <w:p w14:paraId="0AF6BDBF">
            <w:pPr>
              <w:pStyle w:val="94"/>
              <w:jc w:val="left"/>
              <w:rPr>
                <w:color w:val="auto"/>
              </w:rPr>
            </w:pPr>
            <w:r>
              <w:rPr>
                <w:rFonts w:hint="eastAsia"/>
                <w:color w:val="auto"/>
              </w:rPr>
              <w:t>3.监测点：项目实施区</w:t>
            </w:r>
            <w:r>
              <w:rPr>
                <w:color w:val="auto"/>
              </w:rPr>
              <w:t>3</w:t>
            </w:r>
            <w:r>
              <w:rPr>
                <w:rFonts w:hint="eastAsia"/>
                <w:color w:val="auto"/>
              </w:rPr>
              <w:t>个点。</w:t>
            </w:r>
          </w:p>
        </w:tc>
      </w:tr>
      <w:tr w14:paraId="37B9C7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44" w:type="pct"/>
            <w:vAlign w:val="center"/>
          </w:tcPr>
          <w:p w14:paraId="654F4B8E">
            <w:pPr>
              <w:pStyle w:val="94"/>
              <w:rPr>
                <w:color w:val="auto"/>
              </w:rPr>
            </w:pPr>
            <w:r>
              <w:rPr>
                <w:rFonts w:hint="eastAsia"/>
                <w:color w:val="auto"/>
              </w:rPr>
              <w:t>5</w:t>
            </w:r>
          </w:p>
        </w:tc>
        <w:tc>
          <w:tcPr>
            <w:tcW w:w="956" w:type="pct"/>
            <w:vAlign w:val="center"/>
          </w:tcPr>
          <w:p w14:paraId="2E1281FF">
            <w:pPr>
              <w:pStyle w:val="94"/>
              <w:rPr>
                <w:color w:val="auto"/>
              </w:rPr>
            </w:pPr>
            <w:r>
              <w:rPr>
                <w:rFonts w:hint="eastAsia"/>
                <w:color w:val="auto"/>
              </w:rPr>
              <w:t>环保工程竣工验收</w:t>
            </w:r>
          </w:p>
        </w:tc>
        <w:tc>
          <w:tcPr>
            <w:tcW w:w="3600" w:type="pct"/>
            <w:vAlign w:val="center"/>
          </w:tcPr>
          <w:p w14:paraId="1711CD56">
            <w:pPr>
              <w:pStyle w:val="94"/>
              <w:jc w:val="left"/>
              <w:rPr>
                <w:color w:val="auto"/>
              </w:rPr>
            </w:pPr>
            <w:r>
              <w:rPr>
                <w:rFonts w:hint="eastAsia"/>
                <w:color w:val="auto"/>
              </w:rPr>
              <w:t>1.监测项目：植被恢复和建设等生态环保措施落实情况。</w:t>
            </w:r>
          </w:p>
          <w:p w14:paraId="20FF0A7A">
            <w:pPr>
              <w:pStyle w:val="94"/>
              <w:jc w:val="left"/>
              <w:rPr>
                <w:color w:val="auto"/>
              </w:rPr>
            </w:pPr>
            <w:r>
              <w:rPr>
                <w:rFonts w:hint="eastAsia"/>
                <w:color w:val="auto"/>
              </w:rPr>
              <w:t>2.监测频率：1次。</w:t>
            </w:r>
          </w:p>
          <w:p w14:paraId="7341A091">
            <w:pPr>
              <w:pStyle w:val="94"/>
              <w:jc w:val="left"/>
              <w:rPr>
                <w:color w:val="auto"/>
              </w:rPr>
            </w:pPr>
            <w:r>
              <w:rPr>
                <w:rFonts w:hint="eastAsia"/>
                <w:color w:val="auto"/>
              </w:rPr>
              <w:t>3.监测地点：项目所涉及区域。</w:t>
            </w:r>
          </w:p>
        </w:tc>
      </w:tr>
    </w:tbl>
    <w:p w14:paraId="6D3A5C13">
      <w:pPr>
        <w:pStyle w:val="4"/>
      </w:pPr>
      <w:bookmarkStart w:id="176" w:name="_Toc171579841"/>
      <w:r>
        <w:rPr>
          <w:rFonts w:hint="eastAsia"/>
        </w:rPr>
        <w:t>生态环境跟踪监测点布置</w:t>
      </w:r>
      <w:bookmarkEnd w:id="176"/>
    </w:p>
    <w:p w14:paraId="72EB27F4">
      <w:pPr>
        <w:pStyle w:val="96"/>
        <w:ind w:firstLine="480"/>
      </w:pPr>
      <w:r>
        <w:rPr>
          <w:rFonts w:hint="eastAsia"/>
        </w:rPr>
        <w:t>本项目生态环境跟踪监测点设置情况具体见下表。</w:t>
      </w:r>
    </w:p>
    <w:p w14:paraId="4268C0F0">
      <w:pPr>
        <w:pStyle w:val="19"/>
        <w:keepNext/>
      </w:pPr>
      <w:r>
        <w:t xml:space="preserve">表 </w:t>
      </w:r>
      <w:r>
        <w:fldChar w:fldCharType="begin"/>
      </w:r>
      <w:r>
        <w:instrText xml:space="preserve"> SEQ 表 \* ARABIC </w:instrText>
      </w:r>
      <w:r>
        <w:fldChar w:fldCharType="separate"/>
      </w:r>
      <w:r>
        <w:t>100</w:t>
      </w:r>
      <w:r>
        <w:fldChar w:fldCharType="end"/>
      </w:r>
      <w:r>
        <w:rPr>
          <w:rFonts w:hint="eastAsia"/>
        </w:rPr>
        <w:t>本项目生态环境跟踪监测点设置一览表</w:t>
      </w:r>
    </w:p>
    <w:tbl>
      <w:tblPr>
        <w:tblStyle w:val="7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54"/>
        <w:gridCol w:w="3230"/>
        <w:gridCol w:w="1555"/>
        <w:gridCol w:w="3123"/>
        <w:gridCol w:w="1040"/>
        <w:gridCol w:w="1080"/>
      </w:tblGrid>
      <w:tr w14:paraId="110A3D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06" w:type="pct"/>
            <w:noWrap/>
            <w:vAlign w:val="center"/>
          </w:tcPr>
          <w:p w14:paraId="47BE966C">
            <w:pPr>
              <w:pStyle w:val="94"/>
              <w:rPr>
                <w:color w:val="auto"/>
              </w:rPr>
            </w:pPr>
            <w:r>
              <w:rPr>
                <w:color w:val="auto"/>
              </w:rPr>
              <w:t>编号</w:t>
            </w:r>
          </w:p>
        </w:tc>
        <w:tc>
          <w:tcPr>
            <w:tcW w:w="1512" w:type="pct"/>
            <w:noWrap/>
            <w:vAlign w:val="center"/>
          </w:tcPr>
          <w:p w14:paraId="759D81E7">
            <w:pPr>
              <w:pStyle w:val="94"/>
              <w:rPr>
                <w:color w:val="auto"/>
              </w:rPr>
            </w:pPr>
            <w:r>
              <w:rPr>
                <w:color w:val="auto"/>
              </w:rPr>
              <w:t>植被类型</w:t>
            </w:r>
          </w:p>
        </w:tc>
        <w:tc>
          <w:tcPr>
            <w:tcW w:w="728" w:type="pct"/>
            <w:noWrap/>
            <w:vAlign w:val="center"/>
          </w:tcPr>
          <w:p w14:paraId="368D5E80">
            <w:pPr>
              <w:pStyle w:val="94"/>
              <w:rPr>
                <w:color w:val="auto"/>
              </w:rPr>
            </w:pPr>
            <w:r>
              <w:rPr>
                <w:color w:val="auto"/>
              </w:rPr>
              <w:t>位置</w:t>
            </w:r>
          </w:p>
        </w:tc>
        <w:tc>
          <w:tcPr>
            <w:tcW w:w="1462" w:type="pct"/>
            <w:noWrap/>
            <w:vAlign w:val="center"/>
          </w:tcPr>
          <w:p w14:paraId="686F1769">
            <w:pPr>
              <w:pStyle w:val="94"/>
              <w:rPr>
                <w:color w:val="auto"/>
              </w:rPr>
            </w:pPr>
            <w:r>
              <w:rPr>
                <w:color w:val="auto"/>
              </w:rPr>
              <w:t>地理坐标</w:t>
            </w:r>
          </w:p>
        </w:tc>
        <w:tc>
          <w:tcPr>
            <w:tcW w:w="487" w:type="pct"/>
            <w:noWrap/>
            <w:vAlign w:val="center"/>
          </w:tcPr>
          <w:p w14:paraId="08E1F8DB">
            <w:pPr>
              <w:pStyle w:val="94"/>
              <w:rPr>
                <w:color w:val="auto"/>
              </w:rPr>
            </w:pPr>
            <w:r>
              <w:rPr>
                <w:color w:val="auto"/>
              </w:rPr>
              <w:t>海拔</w:t>
            </w:r>
          </w:p>
        </w:tc>
        <w:tc>
          <w:tcPr>
            <w:tcW w:w="506" w:type="pct"/>
            <w:noWrap/>
            <w:vAlign w:val="center"/>
          </w:tcPr>
          <w:p w14:paraId="601497A3">
            <w:pPr>
              <w:pStyle w:val="94"/>
              <w:rPr>
                <w:color w:val="auto"/>
              </w:rPr>
            </w:pPr>
            <w:r>
              <w:rPr>
                <w:color w:val="auto"/>
              </w:rPr>
              <w:t>土壤类型</w:t>
            </w:r>
          </w:p>
        </w:tc>
      </w:tr>
      <w:tr w14:paraId="710E51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06" w:type="pct"/>
            <w:noWrap/>
            <w:vAlign w:val="center"/>
          </w:tcPr>
          <w:p w14:paraId="50DCB5D0">
            <w:pPr>
              <w:pStyle w:val="94"/>
              <w:rPr>
                <w:color w:val="auto"/>
              </w:rPr>
            </w:pPr>
            <w:r>
              <w:rPr>
                <w:color w:val="auto"/>
              </w:rPr>
              <w:t>1#</w:t>
            </w:r>
          </w:p>
        </w:tc>
        <w:tc>
          <w:tcPr>
            <w:tcW w:w="1512" w:type="pct"/>
            <w:noWrap/>
            <w:vAlign w:val="center"/>
          </w:tcPr>
          <w:p w14:paraId="3E37C62D">
            <w:pPr>
              <w:pStyle w:val="94"/>
              <w:rPr>
                <w:color w:val="auto"/>
              </w:rPr>
            </w:pPr>
            <w:r>
              <w:rPr>
                <w:rFonts w:hint="eastAsia"/>
                <w:color w:val="auto"/>
              </w:rPr>
              <w:t>蒿类草丛</w:t>
            </w:r>
          </w:p>
        </w:tc>
        <w:tc>
          <w:tcPr>
            <w:tcW w:w="728" w:type="pct"/>
            <w:noWrap/>
            <w:vAlign w:val="center"/>
          </w:tcPr>
          <w:p w14:paraId="7CBA8F79">
            <w:pPr>
              <w:pStyle w:val="94"/>
              <w:rPr>
                <w:color w:val="auto"/>
              </w:rPr>
            </w:pPr>
            <w:r>
              <w:rPr>
                <w:color w:val="auto"/>
              </w:rPr>
              <w:t>LXD12-8</w:t>
            </w:r>
            <w:r>
              <w:rPr>
                <w:rFonts w:hint="eastAsia"/>
                <w:color w:val="auto"/>
              </w:rPr>
              <w:t>井场</w:t>
            </w:r>
          </w:p>
        </w:tc>
        <w:tc>
          <w:tcPr>
            <w:tcW w:w="1462" w:type="pct"/>
            <w:noWrap/>
            <w:vAlign w:val="center"/>
          </w:tcPr>
          <w:p w14:paraId="1C1F2113">
            <w:pPr>
              <w:pStyle w:val="94"/>
              <w:rPr>
                <w:color w:val="auto"/>
              </w:rPr>
            </w:pPr>
            <w:r>
              <w:rPr>
                <w:color w:val="auto"/>
              </w:rPr>
              <w:t>E110.86104°；N38.4358542°</w:t>
            </w:r>
          </w:p>
        </w:tc>
        <w:tc>
          <w:tcPr>
            <w:tcW w:w="487" w:type="pct"/>
            <w:noWrap/>
            <w:vAlign w:val="center"/>
          </w:tcPr>
          <w:p w14:paraId="7144A327">
            <w:pPr>
              <w:pStyle w:val="94"/>
              <w:rPr>
                <w:color w:val="auto"/>
              </w:rPr>
            </w:pPr>
            <w:r>
              <w:rPr>
                <w:color w:val="auto"/>
              </w:rPr>
              <w:t>934m</w:t>
            </w:r>
          </w:p>
        </w:tc>
        <w:tc>
          <w:tcPr>
            <w:tcW w:w="506" w:type="pct"/>
            <w:noWrap/>
            <w:vAlign w:val="center"/>
          </w:tcPr>
          <w:p w14:paraId="7133F36B">
            <w:pPr>
              <w:pStyle w:val="94"/>
              <w:rPr>
                <w:color w:val="auto"/>
              </w:rPr>
            </w:pPr>
            <w:r>
              <w:rPr>
                <w:rFonts w:hint="eastAsia"/>
                <w:color w:val="auto"/>
              </w:rPr>
              <w:t>红粘土</w:t>
            </w:r>
          </w:p>
        </w:tc>
      </w:tr>
      <w:tr w14:paraId="400721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06" w:type="pct"/>
            <w:noWrap/>
            <w:vAlign w:val="center"/>
          </w:tcPr>
          <w:p w14:paraId="4D5C3810">
            <w:pPr>
              <w:pStyle w:val="94"/>
              <w:rPr>
                <w:color w:val="auto"/>
              </w:rPr>
            </w:pPr>
            <w:r>
              <w:rPr>
                <w:color w:val="auto"/>
              </w:rPr>
              <w:t>2#</w:t>
            </w:r>
          </w:p>
        </w:tc>
        <w:tc>
          <w:tcPr>
            <w:tcW w:w="1512" w:type="pct"/>
            <w:noWrap/>
            <w:vAlign w:val="center"/>
          </w:tcPr>
          <w:p w14:paraId="65DF988C">
            <w:pPr>
              <w:pStyle w:val="94"/>
              <w:rPr>
                <w:color w:val="auto"/>
              </w:rPr>
            </w:pPr>
            <w:r>
              <w:rPr>
                <w:rFonts w:hint="eastAsia"/>
                <w:color w:val="auto"/>
              </w:rPr>
              <w:t>小叶杨林</w:t>
            </w:r>
          </w:p>
        </w:tc>
        <w:tc>
          <w:tcPr>
            <w:tcW w:w="728" w:type="pct"/>
            <w:noWrap/>
            <w:vAlign w:val="center"/>
          </w:tcPr>
          <w:p w14:paraId="4DEC31CA">
            <w:pPr>
              <w:pStyle w:val="94"/>
              <w:rPr>
                <w:color w:val="auto"/>
              </w:rPr>
            </w:pPr>
            <w:r>
              <w:rPr>
                <w:color w:val="auto"/>
              </w:rPr>
              <w:t>LXD11-25</w:t>
            </w:r>
            <w:r>
              <w:rPr>
                <w:rFonts w:hint="eastAsia"/>
                <w:color w:val="auto"/>
              </w:rPr>
              <w:t>井场</w:t>
            </w:r>
          </w:p>
        </w:tc>
        <w:tc>
          <w:tcPr>
            <w:tcW w:w="1462" w:type="pct"/>
            <w:noWrap/>
            <w:vAlign w:val="center"/>
          </w:tcPr>
          <w:p w14:paraId="793EE0AE">
            <w:pPr>
              <w:pStyle w:val="94"/>
              <w:rPr>
                <w:color w:val="auto"/>
              </w:rPr>
            </w:pPr>
            <w:r>
              <w:rPr>
                <w:color w:val="auto"/>
              </w:rPr>
              <w:t>E110.90176°；N38.4254724°</w:t>
            </w:r>
          </w:p>
        </w:tc>
        <w:tc>
          <w:tcPr>
            <w:tcW w:w="487" w:type="pct"/>
            <w:noWrap/>
            <w:vAlign w:val="center"/>
          </w:tcPr>
          <w:p w14:paraId="7C3E6C4B">
            <w:pPr>
              <w:pStyle w:val="94"/>
              <w:rPr>
                <w:color w:val="auto"/>
              </w:rPr>
            </w:pPr>
            <w:r>
              <w:rPr>
                <w:color w:val="auto"/>
              </w:rPr>
              <w:t>992m</w:t>
            </w:r>
          </w:p>
        </w:tc>
        <w:tc>
          <w:tcPr>
            <w:tcW w:w="506" w:type="pct"/>
            <w:noWrap/>
            <w:vAlign w:val="center"/>
          </w:tcPr>
          <w:p w14:paraId="01CD6778">
            <w:pPr>
              <w:pStyle w:val="94"/>
              <w:rPr>
                <w:color w:val="auto"/>
              </w:rPr>
            </w:pPr>
            <w:r>
              <w:rPr>
                <w:rFonts w:hint="eastAsia"/>
                <w:color w:val="auto"/>
              </w:rPr>
              <w:t>黄绵土</w:t>
            </w:r>
          </w:p>
        </w:tc>
      </w:tr>
      <w:tr w14:paraId="5B52A7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06" w:type="pct"/>
            <w:noWrap/>
            <w:vAlign w:val="center"/>
          </w:tcPr>
          <w:p w14:paraId="6C9F6947">
            <w:pPr>
              <w:pStyle w:val="94"/>
              <w:rPr>
                <w:color w:val="auto"/>
              </w:rPr>
            </w:pPr>
            <w:r>
              <w:rPr>
                <w:color w:val="auto"/>
              </w:rPr>
              <w:t>3#</w:t>
            </w:r>
          </w:p>
        </w:tc>
        <w:tc>
          <w:tcPr>
            <w:tcW w:w="1512" w:type="pct"/>
            <w:noWrap/>
            <w:vAlign w:val="center"/>
          </w:tcPr>
          <w:p w14:paraId="3A96C314">
            <w:pPr>
              <w:pStyle w:val="94"/>
              <w:rPr>
                <w:color w:val="auto"/>
              </w:rPr>
            </w:pPr>
            <w:r>
              <w:rPr>
                <w:rFonts w:hint="eastAsia"/>
                <w:color w:val="auto"/>
              </w:rPr>
              <w:t>柠条锦鸡儿灌丛</w:t>
            </w:r>
          </w:p>
        </w:tc>
        <w:tc>
          <w:tcPr>
            <w:tcW w:w="728" w:type="pct"/>
            <w:noWrap/>
            <w:vAlign w:val="center"/>
          </w:tcPr>
          <w:p w14:paraId="44C69A86">
            <w:pPr>
              <w:pStyle w:val="94"/>
              <w:rPr>
                <w:color w:val="auto"/>
              </w:rPr>
            </w:pPr>
            <w:r>
              <w:rPr>
                <w:color w:val="auto"/>
              </w:rPr>
              <w:t>LXD2-25</w:t>
            </w:r>
            <w:r>
              <w:rPr>
                <w:rFonts w:hint="eastAsia"/>
                <w:color w:val="auto"/>
              </w:rPr>
              <w:t>井场</w:t>
            </w:r>
          </w:p>
        </w:tc>
        <w:tc>
          <w:tcPr>
            <w:tcW w:w="1462" w:type="pct"/>
            <w:noWrap/>
            <w:vAlign w:val="center"/>
          </w:tcPr>
          <w:p w14:paraId="1222F2BB">
            <w:pPr>
              <w:pStyle w:val="94"/>
              <w:rPr>
                <w:color w:val="auto"/>
              </w:rPr>
            </w:pPr>
            <w:r>
              <w:rPr>
                <w:color w:val="auto"/>
              </w:rPr>
              <w:t>E110.91669°；N38.3758775°</w:t>
            </w:r>
          </w:p>
        </w:tc>
        <w:tc>
          <w:tcPr>
            <w:tcW w:w="487" w:type="pct"/>
            <w:noWrap/>
            <w:vAlign w:val="center"/>
          </w:tcPr>
          <w:p w14:paraId="61C6A08F">
            <w:pPr>
              <w:pStyle w:val="94"/>
              <w:rPr>
                <w:color w:val="auto"/>
              </w:rPr>
            </w:pPr>
            <w:r>
              <w:rPr>
                <w:color w:val="auto"/>
              </w:rPr>
              <w:t>1118m</w:t>
            </w:r>
          </w:p>
        </w:tc>
        <w:tc>
          <w:tcPr>
            <w:tcW w:w="506" w:type="pct"/>
            <w:noWrap/>
            <w:vAlign w:val="center"/>
          </w:tcPr>
          <w:p w14:paraId="1C0A89BC">
            <w:pPr>
              <w:pStyle w:val="94"/>
              <w:rPr>
                <w:color w:val="auto"/>
              </w:rPr>
            </w:pPr>
            <w:r>
              <w:rPr>
                <w:rFonts w:hint="eastAsia"/>
                <w:color w:val="auto"/>
              </w:rPr>
              <w:t>黄绵土</w:t>
            </w:r>
          </w:p>
        </w:tc>
      </w:tr>
    </w:tbl>
    <w:p w14:paraId="0CEF8CF3">
      <w:pPr>
        <w:pStyle w:val="96"/>
        <w:keepNext/>
        <w:spacing w:line="240" w:lineRule="auto"/>
        <w:ind w:firstLine="480"/>
        <w:jc w:val="center"/>
      </w:pPr>
    </w:p>
    <w:p w14:paraId="5CFEFE66">
      <w:pPr>
        <w:pStyle w:val="19"/>
      </w:pPr>
      <w:r>
        <w:t xml:space="preserve">图 </w:t>
      </w:r>
      <w:r>
        <w:fldChar w:fldCharType="begin"/>
      </w:r>
      <w:r>
        <w:instrText xml:space="preserve"> SEQ 图 \* ARABIC </w:instrText>
      </w:r>
      <w:r>
        <w:fldChar w:fldCharType="separate"/>
      </w:r>
      <w:r>
        <w:t>11</w:t>
      </w:r>
      <w:r>
        <w:fldChar w:fldCharType="end"/>
      </w:r>
      <w:r>
        <w:rPr>
          <w:rFonts w:hint="eastAsia"/>
        </w:rPr>
        <w:t>生态环境跟踪监测点布置图</w:t>
      </w:r>
    </w:p>
    <w:p w14:paraId="16C734B7">
      <w:pPr>
        <w:sectPr>
          <w:pgSz w:w="11906" w:h="16838"/>
          <w:pgMar w:top="720" w:right="720" w:bottom="720" w:left="720" w:header="851" w:footer="1077" w:gutter="0"/>
          <w:cols w:space="425" w:num="1"/>
          <w:docGrid w:linePitch="312" w:charSpace="0"/>
        </w:sectPr>
      </w:pPr>
    </w:p>
    <w:p w14:paraId="1E293B2F">
      <w:pPr>
        <w:jc w:val="center"/>
      </w:pPr>
    </w:p>
    <w:sectPr>
      <w:pgSz w:w="23808" w:h="16840" w:orient="landscape"/>
      <w:pgMar w:top="720" w:right="720" w:bottom="720" w:left="720" w:header="851" w:footer="1077" w:gutter="0"/>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ˎ̥">
    <w:altName w:val="Times New Roman"/>
    <w:panose1 w:val="00000000000000000000"/>
    <w:charset w:val="00"/>
    <w:family w:val="roman"/>
    <w:pitch w:val="default"/>
    <w:sig w:usb0="00000000" w:usb1="00000000" w:usb2="00000000" w:usb3="00000000" w:csb0="00040001" w:csb1="00000000"/>
  </w:font>
  <w:font w:name="隶书">
    <w:altName w:val="微软雅黑"/>
    <w:panose1 w:val="02010509060101010101"/>
    <w:charset w:val="86"/>
    <w:family w:val="modern"/>
    <w:pitch w:val="default"/>
    <w:sig w:usb0="00000000" w:usb1="00000000" w:usb2="00000010" w:usb3="00000000" w:csb0="00040000" w:csb1="00000000"/>
  </w:font>
  <w:font w:name="仿宋_GB2312">
    <w:altName w:val="仿宋"/>
    <w:panose1 w:val="02010609030101010101"/>
    <w:charset w:val="86"/>
    <w:family w:val="modern"/>
    <w:pitch w:val="default"/>
    <w:sig w:usb0="00000000" w:usb1="00000000" w:usb2="00000010" w:usb3="00000000" w:csb0="00040000" w:csb1="00000000"/>
  </w:font>
  <w:font w:name="Arial Unicode MS">
    <w:altName w:val="宋体"/>
    <w:panose1 w:val="020B0604020202020204"/>
    <w:charset w:val="86"/>
    <w:family w:val="swiss"/>
    <w:pitch w:val="default"/>
    <w:sig w:usb0="00000000" w:usb1="00000000" w:usb2="0000003F" w:usb3="00000000" w:csb0="003F01FF" w:csb1="00000000"/>
  </w:font>
  <w:font w:name="Cambria">
    <w:panose1 w:val="02040503050406030204"/>
    <w:charset w:val="00"/>
    <w:family w:val="roman"/>
    <w:pitch w:val="default"/>
    <w:sig w:usb0="E00006FF" w:usb1="420024FF" w:usb2="02000000" w:usb3="00000000" w:csb0="2000019F" w:csb1="00000000"/>
  </w:font>
  <w:font w:name="华文中宋">
    <w:altName w:val="宋体"/>
    <w:panose1 w:val="02010600040101010101"/>
    <w:charset w:val="86"/>
    <w:family w:val="auto"/>
    <w:pitch w:val="default"/>
    <w:sig w:usb0="00000000" w:usb1="00000000" w:usb2="00000010" w:usb3="00000000" w:csb0="0004009F" w:csb1="00000000"/>
  </w:font>
  <w:font w:name="汉鼎简书宋">
    <w:altName w:val="宋体"/>
    <w:panose1 w:val="00000000000000000000"/>
    <w:charset w:val="86"/>
    <w:family w:val="modern"/>
    <w:pitch w:val="default"/>
    <w:sig w:usb0="00000000" w:usb1="00000000" w:usb2="00000000" w:usb3="00000000" w:csb0="00000000" w:csb1="00000000"/>
  </w:font>
  <w:font w:name="MS Serif">
    <w:altName w:val="Times New Roman"/>
    <w:panose1 w:val="00000000000000000000"/>
    <w:charset w:val="00"/>
    <w:family w:val="roman"/>
    <w:pitch w:val="default"/>
    <w:sig w:usb0="00000000" w:usb1="00000000" w:usb2="00000000" w:usb3="00000000" w:csb0="00000001" w:csb1="00000000"/>
  </w:font>
  <w:font w:name="宋体-方正超大字符集">
    <w:altName w:val="宋体"/>
    <w:panose1 w:val="00000000000000000000"/>
    <w:charset w:val="86"/>
    <w:family w:val="script"/>
    <w:pitch w:val="default"/>
    <w:sig w:usb0="00000000" w:usb1="00000000" w:usb2="00000010" w:usb3="00000000" w:csb0="00040000" w:csb1="00000000"/>
  </w:font>
  <w:font w:name="方正小标宋_GBK">
    <w:altName w:val="宋体"/>
    <w:panose1 w:val="00000000000000000000"/>
    <w:charset w:val="86"/>
    <w:family w:val="roman"/>
    <w:pitch w:val="default"/>
    <w:sig w:usb0="00000000" w:usb1="00000000" w:usb2="00000000" w:usb3="00000000" w:csb0="00000000" w:csb1="00000000"/>
  </w:font>
  <w:font w:name="楷体_GB2312">
    <w:altName w:val="楷体"/>
    <w:panose1 w:val="02010609030101010101"/>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Segoe UI Symbol">
    <w:panose1 w:val="020B0502040204020203"/>
    <w:charset w:val="00"/>
    <w:family w:val="swiss"/>
    <w:pitch w:val="default"/>
    <w:sig w:usb0="800001E3" w:usb1="1200FFEF" w:usb2="00040000" w:usb3="04000000" w:csb0="00000001" w:csb1="40000000"/>
  </w:font>
  <w:font w:name="MS Mincho">
    <w:altName w:val="Yu Gothic UI"/>
    <w:panose1 w:val="02020609040205080304"/>
    <w:charset w:val="80"/>
    <w:family w:val="modern"/>
    <w:pitch w:val="default"/>
    <w:sig w:usb0="00000000" w:usb1="00000000" w:usb2="08000012" w:usb3="00000000" w:csb0="0002009F" w:csb1="00000000"/>
  </w:font>
  <w:font w:name="Yu Mincho">
    <w:altName w:val="Yu Gothic"/>
    <w:panose1 w:val="00000000000000000000"/>
    <w:charset w:val="80"/>
    <w:family w:val="roman"/>
    <w:pitch w:val="default"/>
    <w:sig w:usb0="00000000" w:usb1="00000000" w:usb2="00000012" w:usb3="00000000" w:csb0="0002009F" w:csb1="00000000"/>
  </w:font>
  <w:font w:name="Cambria Math">
    <w:panose1 w:val="02040503050406030204"/>
    <w:charset w:val="00"/>
    <w:family w:val="roman"/>
    <w:pitch w:val="default"/>
    <w:sig w:usb0="E00006FF" w:usb1="420024FF" w:usb2="02000000" w:usb3="00000000" w:csb0="2000019F" w:csb1="00000000"/>
  </w:font>
  <w:font w:name="新宋体">
    <w:panose1 w:val="02010609030101010101"/>
    <w:charset w:val="86"/>
    <w:family w:val="modern"/>
    <w:pitch w:val="default"/>
    <w:sig w:usb0="00000283" w:usb1="288F0000" w:usb2="00000006" w:usb3="00000000" w:csb0="00040001" w:csb1="00000000"/>
  </w:font>
  <w:font w:name="微软雅黑">
    <w:panose1 w:val="020B0503020204020204"/>
    <w:charset w:val="86"/>
    <w:family w:val="swiss"/>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Yu Gothic UI">
    <w:panose1 w:val="020B0500000000000000"/>
    <w:charset w:val="80"/>
    <w:family w:val="auto"/>
    <w:pitch w:val="default"/>
    <w:sig w:usb0="E00002FF" w:usb1="2AC7FDFF" w:usb2="00000016" w:usb3="00000000" w:csb0="2002009F" w:csb1="00000000"/>
  </w:font>
  <w:font w:name="Yu Gothic">
    <w:panose1 w:val="020B0400000000000000"/>
    <w:charset w:val="80"/>
    <w:family w:val="auto"/>
    <w:pitch w:val="default"/>
    <w:sig w:usb0="E00002FF" w:usb1="2AC7FDFF" w:usb2="00000016" w:usb3="00000000" w:csb0="2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56A822">
    <w:pPr>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615CE8">
    <w:pPr>
      <w:framePr w:wrap="around" w:vAnchor="text" w:hAnchor="margin" w:xAlign="outside" w:y="1"/>
    </w:pPr>
    <w:r>
      <w:fldChar w:fldCharType="begin"/>
    </w:r>
    <w:r>
      <w:instrText xml:space="preserve">PAGE  </w:instrText>
    </w:r>
    <w:r>
      <w:fldChar w:fldCharType="end"/>
    </w:r>
  </w:p>
  <w:p w14:paraId="1835EAA7">
    <w:pPr>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62F48C">
    <w:pPr>
      <w:pStyle w:val="46"/>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7EFA8F">
    <w:pPr>
      <w:framePr w:wrap="around" w:vAnchor="text" w:hAnchor="margin" w:xAlign="outside" w:y="1"/>
      <w:rPr>
        <w:rFonts w:ascii="宋体" w:hAnsi="宋体"/>
        <w:sz w:val="28"/>
        <w:szCs w:val="28"/>
      </w:rPr>
    </w:pPr>
    <w:r>
      <w:rPr>
        <w:rFonts w:hint="eastAsia" w:ascii="宋体" w:hAnsi="宋体"/>
        <w:sz w:val="28"/>
        <w:szCs w:val="28"/>
      </w:rPr>
      <w:t>—</w:t>
    </w:r>
    <w:r>
      <w:rPr>
        <w:rFonts w:hint="eastAsia" w:ascii="宋体" w:hAnsi="宋体"/>
        <w:sz w:val="20"/>
        <w:szCs w:val="20"/>
      </w:rPr>
      <w:t xml:space="preserve">  </w:t>
    </w:r>
    <w:r>
      <w:rPr>
        <w:rFonts w:ascii="宋体" w:hAnsi="宋体"/>
        <w:sz w:val="26"/>
        <w:szCs w:val="26"/>
      </w:rPr>
      <w:fldChar w:fldCharType="begin"/>
    </w:r>
    <w:r>
      <w:rPr>
        <w:rFonts w:ascii="宋体" w:hAnsi="宋体"/>
        <w:sz w:val="26"/>
        <w:szCs w:val="26"/>
      </w:rPr>
      <w:instrText xml:space="preserve">PAGE  </w:instrText>
    </w:r>
    <w:r>
      <w:rPr>
        <w:rFonts w:ascii="宋体" w:hAnsi="宋体"/>
        <w:sz w:val="26"/>
        <w:szCs w:val="26"/>
      </w:rPr>
      <w:fldChar w:fldCharType="separate"/>
    </w:r>
    <w:r>
      <w:rPr>
        <w:rFonts w:ascii="宋体" w:hAnsi="宋体"/>
        <w:sz w:val="26"/>
        <w:szCs w:val="26"/>
      </w:rPr>
      <w:t>107</w:t>
    </w:r>
    <w:r>
      <w:rPr>
        <w:rFonts w:ascii="宋体" w:hAnsi="宋体"/>
        <w:sz w:val="26"/>
        <w:szCs w:val="26"/>
      </w:rPr>
      <w:fldChar w:fldCharType="end"/>
    </w:r>
    <w:r>
      <w:rPr>
        <w:rFonts w:hint="eastAsia" w:ascii="宋体" w:hAnsi="宋体"/>
        <w:sz w:val="20"/>
        <w:szCs w:val="20"/>
      </w:rPr>
      <w:t xml:space="preserve">  </w:t>
    </w:r>
    <w:r>
      <w:rPr>
        <w:rFonts w:hint="eastAsia" w:ascii="宋体" w:hAnsi="宋体"/>
        <w:sz w:val="28"/>
        <w:szCs w:val="28"/>
      </w:rPr>
      <w:t>—</w:t>
    </w:r>
  </w:p>
  <w:p w14:paraId="245F204F">
    <w:pPr>
      <w:ind w:right="360" w:firstLine="360"/>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30E718">
    <w:pPr>
      <w:pStyle w:val="48"/>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B4B6EE">
    <w:pPr>
      <w:pStyle w:val="48"/>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03B406">
    <w:pPr>
      <w:pStyle w:val="48"/>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A"/>
    <w:multiLevelType w:val="singleLevel"/>
    <w:tmpl w:val="0000000A"/>
    <w:lvl w:ilvl="0" w:tentative="0">
      <w:start w:val="1"/>
      <w:numFmt w:val="bullet"/>
      <w:pStyle w:val="34"/>
      <w:lvlText w:val=""/>
      <w:lvlJc w:val="left"/>
      <w:pPr>
        <w:tabs>
          <w:tab w:val="left" w:pos="1632"/>
        </w:tabs>
        <w:ind w:left="1632" w:hanging="360"/>
      </w:pPr>
      <w:rPr>
        <w:rFonts w:hint="default" w:ascii="Wingdings" w:hAnsi="Wingdings"/>
      </w:rPr>
    </w:lvl>
  </w:abstractNum>
  <w:abstractNum w:abstractNumId="1">
    <w:nsid w:val="0000000B"/>
    <w:multiLevelType w:val="singleLevel"/>
    <w:tmpl w:val="0000000B"/>
    <w:lvl w:ilvl="0" w:tentative="0">
      <w:start w:val="1"/>
      <w:numFmt w:val="decimal"/>
      <w:pStyle w:val="17"/>
      <w:lvlText w:val="%1."/>
      <w:lvlJc w:val="left"/>
      <w:pPr>
        <w:tabs>
          <w:tab w:val="left" w:pos="360"/>
        </w:tabs>
        <w:ind w:left="360" w:hanging="360"/>
      </w:pPr>
    </w:lvl>
  </w:abstractNum>
  <w:abstractNum w:abstractNumId="2">
    <w:nsid w:val="0000000C"/>
    <w:multiLevelType w:val="singleLevel"/>
    <w:tmpl w:val="0000000C"/>
    <w:lvl w:ilvl="0" w:tentative="0">
      <w:start w:val="1"/>
      <w:numFmt w:val="bullet"/>
      <w:pStyle w:val="20"/>
      <w:lvlText w:val=""/>
      <w:lvlJc w:val="left"/>
      <w:pPr>
        <w:tabs>
          <w:tab w:val="left" w:pos="360"/>
        </w:tabs>
        <w:ind w:left="360" w:hanging="360"/>
      </w:pPr>
      <w:rPr>
        <w:rFonts w:hint="default" w:ascii="Wingdings" w:hAnsi="Wingdings"/>
      </w:rPr>
    </w:lvl>
  </w:abstractNum>
  <w:abstractNum w:abstractNumId="3">
    <w:nsid w:val="0000000D"/>
    <w:multiLevelType w:val="singleLevel"/>
    <w:tmpl w:val="0000000D"/>
    <w:lvl w:ilvl="0" w:tentative="0">
      <w:start w:val="1"/>
      <w:numFmt w:val="bullet"/>
      <w:pStyle w:val="39"/>
      <w:lvlText w:val=""/>
      <w:lvlJc w:val="left"/>
      <w:pPr>
        <w:tabs>
          <w:tab w:val="left" w:pos="2040"/>
        </w:tabs>
        <w:ind w:left="2040" w:hanging="360"/>
      </w:pPr>
      <w:rPr>
        <w:rFonts w:hint="default" w:ascii="Wingdings" w:hAnsi="Wingdings"/>
      </w:rPr>
    </w:lvl>
  </w:abstractNum>
  <w:abstractNum w:abstractNumId="4">
    <w:nsid w:val="0000000E"/>
    <w:multiLevelType w:val="singleLevel"/>
    <w:tmpl w:val="0000000E"/>
    <w:lvl w:ilvl="0" w:tentative="0">
      <w:start w:val="1"/>
      <w:numFmt w:val="bullet"/>
      <w:pStyle w:val="15"/>
      <w:lvlText w:val=""/>
      <w:lvlJc w:val="left"/>
      <w:pPr>
        <w:tabs>
          <w:tab w:val="left" w:pos="1620"/>
        </w:tabs>
        <w:ind w:left="1620" w:hanging="360"/>
      </w:pPr>
      <w:rPr>
        <w:rFonts w:hint="default" w:ascii="Wingdings" w:hAnsi="Wingdings"/>
      </w:rPr>
    </w:lvl>
  </w:abstractNum>
  <w:abstractNum w:abstractNumId="5">
    <w:nsid w:val="0000000F"/>
    <w:multiLevelType w:val="singleLevel"/>
    <w:tmpl w:val="0000000F"/>
    <w:lvl w:ilvl="0" w:tentative="0">
      <w:start w:val="1"/>
      <w:numFmt w:val="bullet"/>
      <w:pStyle w:val="27"/>
      <w:lvlText w:val=""/>
      <w:lvlJc w:val="left"/>
      <w:pPr>
        <w:tabs>
          <w:tab w:val="left" w:pos="1200"/>
        </w:tabs>
        <w:ind w:left="1200" w:hanging="360"/>
      </w:pPr>
      <w:rPr>
        <w:rFonts w:hint="default" w:ascii="Wingdings" w:hAnsi="Wingdings"/>
      </w:rPr>
    </w:lvl>
  </w:abstractNum>
  <w:abstractNum w:abstractNumId="6">
    <w:nsid w:val="00000010"/>
    <w:multiLevelType w:val="singleLevel"/>
    <w:tmpl w:val="00000010"/>
    <w:lvl w:ilvl="0" w:tentative="0">
      <w:start w:val="1"/>
      <w:numFmt w:val="decimal"/>
      <w:pStyle w:val="54"/>
      <w:lvlText w:val="%1."/>
      <w:lvlJc w:val="left"/>
      <w:pPr>
        <w:tabs>
          <w:tab w:val="left" w:pos="2040"/>
        </w:tabs>
        <w:ind w:left="2040" w:hanging="360"/>
      </w:pPr>
    </w:lvl>
  </w:abstractNum>
  <w:abstractNum w:abstractNumId="7">
    <w:nsid w:val="00000011"/>
    <w:multiLevelType w:val="singleLevel"/>
    <w:tmpl w:val="00000011"/>
    <w:lvl w:ilvl="0" w:tentative="0">
      <w:start w:val="1"/>
      <w:numFmt w:val="decimal"/>
      <w:pStyle w:val="40"/>
      <w:lvlText w:val="%1."/>
      <w:lvlJc w:val="left"/>
      <w:pPr>
        <w:tabs>
          <w:tab w:val="left" w:pos="1620"/>
        </w:tabs>
        <w:ind w:left="1620" w:hanging="360"/>
      </w:pPr>
    </w:lvl>
  </w:abstractNum>
  <w:abstractNum w:abstractNumId="8">
    <w:nsid w:val="00000012"/>
    <w:multiLevelType w:val="singleLevel"/>
    <w:tmpl w:val="00000012"/>
    <w:lvl w:ilvl="0" w:tentative="0">
      <w:start w:val="1"/>
      <w:numFmt w:val="decimal"/>
      <w:pStyle w:val="30"/>
      <w:lvlText w:val="%1."/>
      <w:lvlJc w:val="left"/>
      <w:pPr>
        <w:tabs>
          <w:tab w:val="left" w:pos="1200"/>
        </w:tabs>
        <w:ind w:left="1200" w:hanging="360"/>
      </w:pPr>
    </w:lvl>
  </w:abstractNum>
  <w:abstractNum w:abstractNumId="9">
    <w:nsid w:val="00000018"/>
    <w:multiLevelType w:val="singleLevel"/>
    <w:tmpl w:val="00000018"/>
    <w:lvl w:ilvl="0" w:tentative="0">
      <w:start w:val="1"/>
      <w:numFmt w:val="decimal"/>
      <w:pStyle w:val="13"/>
      <w:lvlText w:val="%1."/>
      <w:lvlJc w:val="left"/>
      <w:pPr>
        <w:tabs>
          <w:tab w:val="left" w:pos="780"/>
        </w:tabs>
        <w:ind w:left="780" w:hanging="360"/>
      </w:pPr>
    </w:lvl>
  </w:abstractNum>
  <w:abstractNum w:abstractNumId="10">
    <w:nsid w:val="069F21CD"/>
    <w:multiLevelType w:val="multilevel"/>
    <w:tmpl w:val="069F21CD"/>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1">
    <w:nsid w:val="15865FAE"/>
    <w:multiLevelType w:val="multilevel"/>
    <w:tmpl w:val="15865FAE"/>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2">
    <w:nsid w:val="2A6A5E7F"/>
    <w:multiLevelType w:val="multilevel"/>
    <w:tmpl w:val="2A6A5E7F"/>
    <w:lvl w:ilvl="0" w:tentative="0">
      <w:start w:val="1"/>
      <w:numFmt w:val="decimal"/>
      <w:pStyle w:val="68"/>
      <w:lvlText w:val="第%1章"/>
      <w:lvlJc w:val="center"/>
      <w:pPr>
        <w:ind w:left="0" w:firstLine="0"/>
      </w:pPr>
      <w:rPr>
        <w:rFonts w:hint="eastAsia" w:ascii="宋体" w:hAnsi="宋体" w:eastAsia="隶书"/>
        <w:b/>
        <w:i w:val="0"/>
        <w:sz w:val="44"/>
      </w:rPr>
    </w:lvl>
    <w:lvl w:ilvl="1" w:tentative="0">
      <w:start w:val="1"/>
      <w:numFmt w:val="decimal"/>
      <w:lvlText w:val="%1.%2"/>
      <w:lvlJc w:val="left"/>
      <w:pPr>
        <w:ind w:left="0" w:firstLine="0"/>
      </w:pPr>
      <w:rPr>
        <w:rFonts w:hint="eastAsia" w:ascii="黑体" w:hAnsi="黑体" w:eastAsia="黑体"/>
        <w:b/>
        <w:i w:val="0"/>
        <w:sz w:val="30"/>
      </w:rPr>
    </w:lvl>
    <w:lvl w:ilvl="2" w:tentative="0">
      <w:start w:val="1"/>
      <w:numFmt w:val="decimal"/>
      <w:lvlText w:val="%1.%2.%3"/>
      <w:lvlJc w:val="left"/>
      <w:pPr>
        <w:ind w:left="0" w:firstLine="0"/>
      </w:pPr>
      <w:rPr>
        <w:rFonts w:hint="eastAsia" w:ascii="黑体" w:hAnsi="黑体" w:eastAsia="黑体"/>
        <w:b/>
        <w:i w:val="0"/>
        <w:sz w:val="28"/>
      </w:rPr>
    </w:lvl>
    <w:lvl w:ilvl="3" w:tentative="0">
      <w:start w:val="1"/>
      <w:numFmt w:val="decimal"/>
      <w:lvlText w:val="%1.%2.%3.%4"/>
      <w:lvlJc w:val="left"/>
      <w:pPr>
        <w:ind w:left="0" w:firstLine="0"/>
      </w:pPr>
      <w:rPr>
        <w:rFonts w:hint="eastAsia" w:ascii="宋体" w:hAnsi="黑体" w:eastAsia="宋体"/>
        <w:b/>
        <w:i w:val="0"/>
        <w:sz w:val="24"/>
      </w:rPr>
    </w:lvl>
    <w:lvl w:ilvl="4" w:tentative="0">
      <w:start w:val="1"/>
      <w:numFmt w:val="decimal"/>
      <w:lvlText w:val="%1.%2.%3.%4.%5"/>
      <w:lvlJc w:val="left"/>
      <w:pPr>
        <w:ind w:left="0" w:firstLine="0"/>
      </w:pPr>
      <w:rPr>
        <w:rFonts w:hint="default" w:eastAsia="宋体" w:asciiTheme="minorEastAsia"/>
        <w:b/>
        <w:i w:val="0"/>
        <w:sz w:val="24"/>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13">
    <w:nsid w:val="468A5F70"/>
    <w:multiLevelType w:val="multilevel"/>
    <w:tmpl w:val="468A5F70"/>
    <w:lvl w:ilvl="0" w:tentative="0">
      <w:start w:val="1"/>
      <w:numFmt w:val="decimal"/>
      <w:pStyle w:val="2"/>
      <w:lvlText w:val="%1"/>
      <w:lvlJc w:val="left"/>
      <w:pPr>
        <w:ind w:left="425" w:hanging="425"/>
      </w:pPr>
      <w:rPr>
        <w:rFonts w:hint="eastAsia" w:ascii="宋体" w:hAnsi="宋体" w:eastAsia="宋体"/>
        <w:b/>
        <w:i w:val="0"/>
        <w:sz w:val="52"/>
      </w:rPr>
    </w:lvl>
    <w:lvl w:ilvl="1" w:tentative="0">
      <w:start w:val="1"/>
      <w:numFmt w:val="decimal"/>
      <w:pStyle w:val="3"/>
      <w:lvlText w:val="%1.%2"/>
      <w:lvlJc w:val="left"/>
      <w:pPr>
        <w:ind w:left="0" w:firstLine="0"/>
      </w:pPr>
      <w:rPr>
        <w:rFonts w:hint="eastAsia" w:ascii="宋体" w:hAnsi="宋体" w:eastAsia="宋体"/>
        <w:b/>
        <w:i w:val="0"/>
        <w:sz w:val="28"/>
      </w:rPr>
    </w:lvl>
    <w:lvl w:ilvl="2" w:tentative="0">
      <w:start w:val="1"/>
      <w:numFmt w:val="decimal"/>
      <w:pStyle w:val="4"/>
      <w:lvlText w:val="%1.%2.%3"/>
      <w:lvlJc w:val="left"/>
      <w:pPr>
        <w:ind w:left="0" w:firstLine="0"/>
      </w:pPr>
      <w:rPr>
        <w:rFonts w:hint="eastAsia" w:ascii="宋体" w:hAnsi="宋体" w:eastAsia="宋体"/>
        <w:b/>
        <w:i w:val="0"/>
        <w:sz w:val="24"/>
      </w:rPr>
    </w:lvl>
    <w:lvl w:ilvl="3" w:tentative="0">
      <w:start w:val="1"/>
      <w:numFmt w:val="decimal"/>
      <w:pStyle w:val="5"/>
      <w:lvlText w:val="%1.%2.%3.%4"/>
      <w:lvlJc w:val="left"/>
      <w:pPr>
        <w:ind w:left="0" w:firstLine="0"/>
      </w:pPr>
      <w:rPr>
        <w:rFonts w:hint="eastAsia" w:ascii="宋体" w:hAnsi="宋体" w:eastAsia="宋体"/>
        <w:b/>
        <w:i w:val="0"/>
        <w:sz w:val="24"/>
      </w:rPr>
    </w:lvl>
    <w:lvl w:ilvl="4" w:tentative="0">
      <w:start w:val="1"/>
      <w:numFmt w:val="decimal"/>
      <w:pStyle w:val="6"/>
      <w:lvlText w:val="%1.%2.%3.%4.%5"/>
      <w:lvlJc w:val="left"/>
      <w:pPr>
        <w:ind w:left="0" w:firstLine="0"/>
      </w:pPr>
      <w:rPr>
        <w:rFonts w:hint="eastAsia" w:ascii="宋体" w:hAnsi="宋体" w:eastAsia="宋体"/>
        <w:b/>
        <w:i w:val="0"/>
        <w:sz w:val="24"/>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4">
    <w:nsid w:val="4F815F0A"/>
    <w:multiLevelType w:val="multilevel"/>
    <w:tmpl w:val="4F815F0A"/>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num w:numId="1">
    <w:abstractNumId w:val="13"/>
  </w:num>
  <w:num w:numId="2">
    <w:abstractNumId w:val="9"/>
  </w:num>
  <w:num w:numId="3">
    <w:abstractNumId w:val="4"/>
  </w:num>
  <w:num w:numId="4">
    <w:abstractNumId w:val="1"/>
  </w:num>
  <w:num w:numId="5">
    <w:abstractNumId w:val="2"/>
  </w:num>
  <w:num w:numId="6">
    <w:abstractNumId w:val="5"/>
  </w:num>
  <w:num w:numId="7">
    <w:abstractNumId w:val="8"/>
  </w:num>
  <w:num w:numId="8">
    <w:abstractNumId w:val="0"/>
  </w:num>
  <w:num w:numId="9">
    <w:abstractNumId w:val="3"/>
  </w:num>
  <w:num w:numId="10">
    <w:abstractNumId w:val="7"/>
  </w:num>
  <w:num w:numId="11">
    <w:abstractNumId w:val="6"/>
  </w:num>
  <w:num w:numId="12">
    <w:abstractNumId w:val="12"/>
  </w:num>
  <w:num w:numId="13">
    <w:abstractNumId w:val="11"/>
  </w:num>
  <w:num w:numId="14">
    <w:abstractNumId w:val="14"/>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1"/>
  <w:bordersDoNotSurroundFooter w:val="1"/>
  <w:documentProtection w:enforcement="0"/>
  <w:defaultTabStop w:val="4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GUzZjcxMWE3YmQ5OGYxNTA0NTEwOTVjMjkyYzNkYjcifQ=="/>
    <w:docVar w:name="KSO_WPS_MARK_KEY" w:val="66bbf34d-2a16-4227-83a6-031a23f281a6"/>
  </w:docVars>
  <w:rsids>
    <w:rsidRoot w:val="002160E1"/>
    <w:rsid w:val="00000E09"/>
    <w:rsid w:val="00002FCB"/>
    <w:rsid w:val="00005A64"/>
    <w:rsid w:val="0001120D"/>
    <w:rsid w:val="0001234A"/>
    <w:rsid w:val="000141EE"/>
    <w:rsid w:val="00023D03"/>
    <w:rsid w:val="00027386"/>
    <w:rsid w:val="0003616D"/>
    <w:rsid w:val="00042483"/>
    <w:rsid w:val="00046866"/>
    <w:rsid w:val="00047A7C"/>
    <w:rsid w:val="00047FB7"/>
    <w:rsid w:val="00053C89"/>
    <w:rsid w:val="00061A09"/>
    <w:rsid w:val="000655F7"/>
    <w:rsid w:val="00067418"/>
    <w:rsid w:val="00074EAA"/>
    <w:rsid w:val="00081E3F"/>
    <w:rsid w:val="0008554C"/>
    <w:rsid w:val="00097845"/>
    <w:rsid w:val="000A04BA"/>
    <w:rsid w:val="000A133C"/>
    <w:rsid w:val="000A5396"/>
    <w:rsid w:val="000B6782"/>
    <w:rsid w:val="000B6FF1"/>
    <w:rsid w:val="000C68E1"/>
    <w:rsid w:val="000C69BB"/>
    <w:rsid w:val="000C6A01"/>
    <w:rsid w:val="000D0E55"/>
    <w:rsid w:val="000D600F"/>
    <w:rsid w:val="000E5AB2"/>
    <w:rsid w:val="000F1039"/>
    <w:rsid w:val="000F20C7"/>
    <w:rsid w:val="000F6ACC"/>
    <w:rsid w:val="00100D42"/>
    <w:rsid w:val="001073C7"/>
    <w:rsid w:val="0011097C"/>
    <w:rsid w:val="00115DE4"/>
    <w:rsid w:val="00117182"/>
    <w:rsid w:val="00126B2E"/>
    <w:rsid w:val="0013436A"/>
    <w:rsid w:val="00137767"/>
    <w:rsid w:val="00137A77"/>
    <w:rsid w:val="0014138D"/>
    <w:rsid w:val="001426C3"/>
    <w:rsid w:val="0014359F"/>
    <w:rsid w:val="00146582"/>
    <w:rsid w:val="00146F4C"/>
    <w:rsid w:val="00166244"/>
    <w:rsid w:val="0016711F"/>
    <w:rsid w:val="0017028D"/>
    <w:rsid w:val="001708EE"/>
    <w:rsid w:val="00176F05"/>
    <w:rsid w:val="001863B3"/>
    <w:rsid w:val="00187DA7"/>
    <w:rsid w:val="00190ECB"/>
    <w:rsid w:val="001932D3"/>
    <w:rsid w:val="00193C11"/>
    <w:rsid w:val="0019420F"/>
    <w:rsid w:val="00195195"/>
    <w:rsid w:val="001A1457"/>
    <w:rsid w:val="001A18B3"/>
    <w:rsid w:val="001B33CC"/>
    <w:rsid w:val="001B589C"/>
    <w:rsid w:val="001B58CB"/>
    <w:rsid w:val="001B5B90"/>
    <w:rsid w:val="001C6434"/>
    <w:rsid w:val="001D38C4"/>
    <w:rsid w:val="001D6565"/>
    <w:rsid w:val="001D751B"/>
    <w:rsid w:val="001D7935"/>
    <w:rsid w:val="001E053D"/>
    <w:rsid w:val="001E484E"/>
    <w:rsid w:val="001E6416"/>
    <w:rsid w:val="001E7FEE"/>
    <w:rsid w:val="001F2380"/>
    <w:rsid w:val="001F3011"/>
    <w:rsid w:val="00201C8F"/>
    <w:rsid w:val="00205C59"/>
    <w:rsid w:val="00215B5E"/>
    <w:rsid w:val="002160E1"/>
    <w:rsid w:val="00217F03"/>
    <w:rsid w:val="00224806"/>
    <w:rsid w:val="00224A02"/>
    <w:rsid w:val="00224F6D"/>
    <w:rsid w:val="00225302"/>
    <w:rsid w:val="0022712C"/>
    <w:rsid w:val="0023631A"/>
    <w:rsid w:val="00237F5F"/>
    <w:rsid w:val="00241BBE"/>
    <w:rsid w:val="00241BE2"/>
    <w:rsid w:val="0024317E"/>
    <w:rsid w:val="00245FA2"/>
    <w:rsid w:val="002470B8"/>
    <w:rsid w:val="00250307"/>
    <w:rsid w:val="0025287F"/>
    <w:rsid w:val="002535E7"/>
    <w:rsid w:val="0025567E"/>
    <w:rsid w:val="002612F6"/>
    <w:rsid w:val="002653A2"/>
    <w:rsid w:val="002700A6"/>
    <w:rsid w:val="0027026D"/>
    <w:rsid w:val="002709F9"/>
    <w:rsid w:val="002801B0"/>
    <w:rsid w:val="002869ED"/>
    <w:rsid w:val="002917A1"/>
    <w:rsid w:val="00297D52"/>
    <w:rsid w:val="002A06F8"/>
    <w:rsid w:val="002A1F59"/>
    <w:rsid w:val="002A40E5"/>
    <w:rsid w:val="002B19BF"/>
    <w:rsid w:val="002D33E3"/>
    <w:rsid w:val="002F0C53"/>
    <w:rsid w:val="002F28F3"/>
    <w:rsid w:val="002F5ABE"/>
    <w:rsid w:val="002F5CC4"/>
    <w:rsid w:val="003008E6"/>
    <w:rsid w:val="00300ECD"/>
    <w:rsid w:val="00303672"/>
    <w:rsid w:val="003040B8"/>
    <w:rsid w:val="00304A88"/>
    <w:rsid w:val="0030509A"/>
    <w:rsid w:val="003077D3"/>
    <w:rsid w:val="00310E6D"/>
    <w:rsid w:val="0031110E"/>
    <w:rsid w:val="00313E02"/>
    <w:rsid w:val="00314BE5"/>
    <w:rsid w:val="00330975"/>
    <w:rsid w:val="00335E44"/>
    <w:rsid w:val="0034120C"/>
    <w:rsid w:val="003424CE"/>
    <w:rsid w:val="003430A3"/>
    <w:rsid w:val="00343637"/>
    <w:rsid w:val="00343FB3"/>
    <w:rsid w:val="003449E0"/>
    <w:rsid w:val="00344B85"/>
    <w:rsid w:val="00352CA1"/>
    <w:rsid w:val="00355139"/>
    <w:rsid w:val="00363439"/>
    <w:rsid w:val="00365C04"/>
    <w:rsid w:val="00367029"/>
    <w:rsid w:val="0037223C"/>
    <w:rsid w:val="00375D46"/>
    <w:rsid w:val="00386751"/>
    <w:rsid w:val="00394772"/>
    <w:rsid w:val="003951D1"/>
    <w:rsid w:val="003B18EA"/>
    <w:rsid w:val="003B2121"/>
    <w:rsid w:val="003B3238"/>
    <w:rsid w:val="003B5C13"/>
    <w:rsid w:val="003C1D13"/>
    <w:rsid w:val="003C4ADC"/>
    <w:rsid w:val="003C65CB"/>
    <w:rsid w:val="003D275B"/>
    <w:rsid w:val="003D5B65"/>
    <w:rsid w:val="003E3195"/>
    <w:rsid w:val="003E6BB9"/>
    <w:rsid w:val="003F049A"/>
    <w:rsid w:val="003F2C04"/>
    <w:rsid w:val="003F2FE5"/>
    <w:rsid w:val="003F452A"/>
    <w:rsid w:val="003F4769"/>
    <w:rsid w:val="003F56CB"/>
    <w:rsid w:val="003F7B7B"/>
    <w:rsid w:val="0040243A"/>
    <w:rsid w:val="004072B9"/>
    <w:rsid w:val="00410A2E"/>
    <w:rsid w:val="004130BC"/>
    <w:rsid w:val="00413A33"/>
    <w:rsid w:val="0042416B"/>
    <w:rsid w:val="00430DF3"/>
    <w:rsid w:val="004325C8"/>
    <w:rsid w:val="00435639"/>
    <w:rsid w:val="00442DFD"/>
    <w:rsid w:val="00443F5D"/>
    <w:rsid w:val="0045040F"/>
    <w:rsid w:val="00456764"/>
    <w:rsid w:val="0046176D"/>
    <w:rsid w:val="00462049"/>
    <w:rsid w:val="00464A4A"/>
    <w:rsid w:val="0046679C"/>
    <w:rsid w:val="00470935"/>
    <w:rsid w:val="0047135C"/>
    <w:rsid w:val="00472DEB"/>
    <w:rsid w:val="00474E2D"/>
    <w:rsid w:val="00475F10"/>
    <w:rsid w:val="00480689"/>
    <w:rsid w:val="00480854"/>
    <w:rsid w:val="004814BE"/>
    <w:rsid w:val="004821A5"/>
    <w:rsid w:val="004838E9"/>
    <w:rsid w:val="00484632"/>
    <w:rsid w:val="00497B6B"/>
    <w:rsid w:val="00497C5D"/>
    <w:rsid w:val="004A534E"/>
    <w:rsid w:val="004B3BA0"/>
    <w:rsid w:val="004C04FD"/>
    <w:rsid w:val="004C074A"/>
    <w:rsid w:val="004C116C"/>
    <w:rsid w:val="004C4656"/>
    <w:rsid w:val="004C751E"/>
    <w:rsid w:val="004C7CFA"/>
    <w:rsid w:val="004D1AF8"/>
    <w:rsid w:val="004D1F5F"/>
    <w:rsid w:val="004D301D"/>
    <w:rsid w:val="004D5730"/>
    <w:rsid w:val="004E11CA"/>
    <w:rsid w:val="004E6E05"/>
    <w:rsid w:val="004F1F5C"/>
    <w:rsid w:val="004F2CFC"/>
    <w:rsid w:val="004F74E7"/>
    <w:rsid w:val="00500E26"/>
    <w:rsid w:val="005054C8"/>
    <w:rsid w:val="00520A55"/>
    <w:rsid w:val="005243A5"/>
    <w:rsid w:val="005267DD"/>
    <w:rsid w:val="0053285E"/>
    <w:rsid w:val="005432B4"/>
    <w:rsid w:val="00544B7D"/>
    <w:rsid w:val="00550733"/>
    <w:rsid w:val="00565C77"/>
    <w:rsid w:val="00565CB5"/>
    <w:rsid w:val="00572E6E"/>
    <w:rsid w:val="00576847"/>
    <w:rsid w:val="00584EE2"/>
    <w:rsid w:val="00586459"/>
    <w:rsid w:val="005970A1"/>
    <w:rsid w:val="005971DB"/>
    <w:rsid w:val="005A1D5F"/>
    <w:rsid w:val="005A2A31"/>
    <w:rsid w:val="005A4D2E"/>
    <w:rsid w:val="005A5CA8"/>
    <w:rsid w:val="005A666C"/>
    <w:rsid w:val="005A6E4A"/>
    <w:rsid w:val="005A7A6D"/>
    <w:rsid w:val="005B44A2"/>
    <w:rsid w:val="005D1737"/>
    <w:rsid w:val="005D1C60"/>
    <w:rsid w:val="005D2ED8"/>
    <w:rsid w:val="005E07F3"/>
    <w:rsid w:val="005E409E"/>
    <w:rsid w:val="005E56A1"/>
    <w:rsid w:val="005F1726"/>
    <w:rsid w:val="005F36EA"/>
    <w:rsid w:val="005F5BF9"/>
    <w:rsid w:val="00605722"/>
    <w:rsid w:val="00612191"/>
    <w:rsid w:val="006333A2"/>
    <w:rsid w:val="00634F0F"/>
    <w:rsid w:val="00636EF9"/>
    <w:rsid w:val="00645066"/>
    <w:rsid w:val="00646AEF"/>
    <w:rsid w:val="00650199"/>
    <w:rsid w:val="006522A1"/>
    <w:rsid w:val="006614BC"/>
    <w:rsid w:val="006628F2"/>
    <w:rsid w:val="00665F81"/>
    <w:rsid w:val="006710FC"/>
    <w:rsid w:val="00671F44"/>
    <w:rsid w:val="00672612"/>
    <w:rsid w:val="00672B60"/>
    <w:rsid w:val="006737F6"/>
    <w:rsid w:val="00676BDD"/>
    <w:rsid w:val="00676C05"/>
    <w:rsid w:val="006805D8"/>
    <w:rsid w:val="00682827"/>
    <w:rsid w:val="00682B91"/>
    <w:rsid w:val="006830B3"/>
    <w:rsid w:val="0068385D"/>
    <w:rsid w:val="00683AFB"/>
    <w:rsid w:val="00685260"/>
    <w:rsid w:val="00687AAC"/>
    <w:rsid w:val="00690F99"/>
    <w:rsid w:val="006943F3"/>
    <w:rsid w:val="00694692"/>
    <w:rsid w:val="006A11B1"/>
    <w:rsid w:val="006A1392"/>
    <w:rsid w:val="006B18EB"/>
    <w:rsid w:val="006B25C0"/>
    <w:rsid w:val="006B2D8B"/>
    <w:rsid w:val="006B4E84"/>
    <w:rsid w:val="006B56B5"/>
    <w:rsid w:val="006B5E59"/>
    <w:rsid w:val="006C25CE"/>
    <w:rsid w:val="006C3C77"/>
    <w:rsid w:val="006C3FE5"/>
    <w:rsid w:val="006E288F"/>
    <w:rsid w:val="006F0B59"/>
    <w:rsid w:val="006F5D44"/>
    <w:rsid w:val="0070334D"/>
    <w:rsid w:val="007076A4"/>
    <w:rsid w:val="007159C1"/>
    <w:rsid w:val="007170FE"/>
    <w:rsid w:val="00720A53"/>
    <w:rsid w:val="00722887"/>
    <w:rsid w:val="00740EC3"/>
    <w:rsid w:val="007474ED"/>
    <w:rsid w:val="00755C0A"/>
    <w:rsid w:val="007676B9"/>
    <w:rsid w:val="00770A9D"/>
    <w:rsid w:val="00774B41"/>
    <w:rsid w:val="007949D3"/>
    <w:rsid w:val="007A37DA"/>
    <w:rsid w:val="007A3BFE"/>
    <w:rsid w:val="007B3AA2"/>
    <w:rsid w:val="007B474A"/>
    <w:rsid w:val="007C2339"/>
    <w:rsid w:val="007D471B"/>
    <w:rsid w:val="007E0D61"/>
    <w:rsid w:val="007E1E5E"/>
    <w:rsid w:val="007E751C"/>
    <w:rsid w:val="007F1246"/>
    <w:rsid w:val="007F35B9"/>
    <w:rsid w:val="007F5141"/>
    <w:rsid w:val="007F5A4C"/>
    <w:rsid w:val="00800DE5"/>
    <w:rsid w:val="00812228"/>
    <w:rsid w:val="00812ADC"/>
    <w:rsid w:val="00817BFB"/>
    <w:rsid w:val="00817E50"/>
    <w:rsid w:val="00820034"/>
    <w:rsid w:val="00822DC9"/>
    <w:rsid w:val="00823BED"/>
    <w:rsid w:val="00826871"/>
    <w:rsid w:val="00833F93"/>
    <w:rsid w:val="008426B3"/>
    <w:rsid w:val="00844EE8"/>
    <w:rsid w:val="00845B8F"/>
    <w:rsid w:val="0085663B"/>
    <w:rsid w:val="008705B3"/>
    <w:rsid w:val="008719B4"/>
    <w:rsid w:val="00874389"/>
    <w:rsid w:val="00880D31"/>
    <w:rsid w:val="008818C8"/>
    <w:rsid w:val="00886745"/>
    <w:rsid w:val="00892743"/>
    <w:rsid w:val="00894750"/>
    <w:rsid w:val="0089481D"/>
    <w:rsid w:val="008955E9"/>
    <w:rsid w:val="008A2F8A"/>
    <w:rsid w:val="008A4B65"/>
    <w:rsid w:val="008A7FD5"/>
    <w:rsid w:val="008B51C5"/>
    <w:rsid w:val="008B7B85"/>
    <w:rsid w:val="008C2131"/>
    <w:rsid w:val="008C6C82"/>
    <w:rsid w:val="008C7730"/>
    <w:rsid w:val="008D131D"/>
    <w:rsid w:val="008D1560"/>
    <w:rsid w:val="008D1C4B"/>
    <w:rsid w:val="008D402A"/>
    <w:rsid w:val="008D490C"/>
    <w:rsid w:val="008E15B8"/>
    <w:rsid w:val="008E212B"/>
    <w:rsid w:val="008E342F"/>
    <w:rsid w:val="008E6871"/>
    <w:rsid w:val="008E6A32"/>
    <w:rsid w:val="008F40E6"/>
    <w:rsid w:val="008F56CD"/>
    <w:rsid w:val="008F5975"/>
    <w:rsid w:val="00907CDD"/>
    <w:rsid w:val="00914AB0"/>
    <w:rsid w:val="00923B01"/>
    <w:rsid w:val="00926C04"/>
    <w:rsid w:val="00932BE5"/>
    <w:rsid w:val="00934D29"/>
    <w:rsid w:val="00935178"/>
    <w:rsid w:val="00960923"/>
    <w:rsid w:val="00960B62"/>
    <w:rsid w:val="00964CEC"/>
    <w:rsid w:val="00971793"/>
    <w:rsid w:val="0097230B"/>
    <w:rsid w:val="00974438"/>
    <w:rsid w:val="009745D7"/>
    <w:rsid w:val="00982674"/>
    <w:rsid w:val="00982A48"/>
    <w:rsid w:val="00983D73"/>
    <w:rsid w:val="00991137"/>
    <w:rsid w:val="00997AF5"/>
    <w:rsid w:val="009A41C7"/>
    <w:rsid w:val="009B533C"/>
    <w:rsid w:val="009B6A88"/>
    <w:rsid w:val="009D253E"/>
    <w:rsid w:val="009D4BA2"/>
    <w:rsid w:val="009E2ECE"/>
    <w:rsid w:val="009E6C65"/>
    <w:rsid w:val="009E7C09"/>
    <w:rsid w:val="009F4085"/>
    <w:rsid w:val="009F43EC"/>
    <w:rsid w:val="009F79D9"/>
    <w:rsid w:val="00A005D3"/>
    <w:rsid w:val="00A00F5B"/>
    <w:rsid w:val="00A05791"/>
    <w:rsid w:val="00A07FAA"/>
    <w:rsid w:val="00A12786"/>
    <w:rsid w:val="00A1286F"/>
    <w:rsid w:val="00A13BBE"/>
    <w:rsid w:val="00A22092"/>
    <w:rsid w:val="00A26CE4"/>
    <w:rsid w:val="00A27F79"/>
    <w:rsid w:val="00A315F3"/>
    <w:rsid w:val="00A337F4"/>
    <w:rsid w:val="00A35A6A"/>
    <w:rsid w:val="00A37250"/>
    <w:rsid w:val="00A37C84"/>
    <w:rsid w:val="00A40C04"/>
    <w:rsid w:val="00A47E72"/>
    <w:rsid w:val="00A53914"/>
    <w:rsid w:val="00A5530B"/>
    <w:rsid w:val="00A569B9"/>
    <w:rsid w:val="00A65717"/>
    <w:rsid w:val="00A7279B"/>
    <w:rsid w:val="00A81A4C"/>
    <w:rsid w:val="00A83E45"/>
    <w:rsid w:val="00A8657A"/>
    <w:rsid w:val="00A92E7C"/>
    <w:rsid w:val="00A93D6B"/>
    <w:rsid w:val="00A9499D"/>
    <w:rsid w:val="00A9608C"/>
    <w:rsid w:val="00AA0A54"/>
    <w:rsid w:val="00AA2CD3"/>
    <w:rsid w:val="00AA3ABC"/>
    <w:rsid w:val="00AA618F"/>
    <w:rsid w:val="00AA6A47"/>
    <w:rsid w:val="00AB0258"/>
    <w:rsid w:val="00AB0E2A"/>
    <w:rsid w:val="00AB15D3"/>
    <w:rsid w:val="00AB4947"/>
    <w:rsid w:val="00AC479A"/>
    <w:rsid w:val="00AC4FBE"/>
    <w:rsid w:val="00AD7B1F"/>
    <w:rsid w:val="00AE0D93"/>
    <w:rsid w:val="00AE368A"/>
    <w:rsid w:val="00AF0D0D"/>
    <w:rsid w:val="00AF2E76"/>
    <w:rsid w:val="00AF314D"/>
    <w:rsid w:val="00AF4315"/>
    <w:rsid w:val="00AF4D42"/>
    <w:rsid w:val="00B00679"/>
    <w:rsid w:val="00B075EA"/>
    <w:rsid w:val="00B113E5"/>
    <w:rsid w:val="00B11C04"/>
    <w:rsid w:val="00B12542"/>
    <w:rsid w:val="00B144ED"/>
    <w:rsid w:val="00B150FB"/>
    <w:rsid w:val="00B15EC7"/>
    <w:rsid w:val="00B2193C"/>
    <w:rsid w:val="00B2519C"/>
    <w:rsid w:val="00B36CCB"/>
    <w:rsid w:val="00B37064"/>
    <w:rsid w:val="00B379EC"/>
    <w:rsid w:val="00B42F6A"/>
    <w:rsid w:val="00B43301"/>
    <w:rsid w:val="00B47F89"/>
    <w:rsid w:val="00B54DD8"/>
    <w:rsid w:val="00B622EC"/>
    <w:rsid w:val="00B62691"/>
    <w:rsid w:val="00B66B3C"/>
    <w:rsid w:val="00B677A2"/>
    <w:rsid w:val="00B700F9"/>
    <w:rsid w:val="00B8213F"/>
    <w:rsid w:val="00B82BB9"/>
    <w:rsid w:val="00B82FBA"/>
    <w:rsid w:val="00B837C3"/>
    <w:rsid w:val="00B86229"/>
    <w:rsid w:val="00B8761E"/>
    <w:rsid w:val="00BA05E2"/>
    <w:rsid w:val="00BA525E"/>
    <w:rsid w:val="00BA6409"/>
    <w:rsid w:val="00BB0EAF"/>
    <w:rsid w:val="00BC3A3C"/>
    <w:rsid w:val="00BC3F05"/>
    <w:rsid w:val="00BC4CE0"/>
    <w:rsid w:val="00BC6053"/>
    <w:rsid w:val="00BC7A2D"/>
    <w:rsid w:val="00BD2153"/>
    <w:rsid w:val="00BD6D58"/>
    <w:rsid w:val="00BD7151"/>
    <w:rsid w:val="00BE092A"/>
    <w:rsid w:val="00BE71F7"/>
    <w:rsid w:val="00BF00BF"/>
    <w:rsid w:val="00BF1971"/>
    <w:rsid w:val="00BF34B6"/>
    <w:rsid w:val="00BF3C3A"/>
    <w:rsid w:val="00BF3F91"/>
    <w:rsid w:val="00C02ABD"/>
    <w:rsid w:val="00C0396F"/>
    <w:rsid w:val="00C05321"/>
    <w:rsid w:val="00C202D0"/>
    <w:rsid w:val="00C20AE0"/>
    <w:rsid w:val="00C31EFF"/>
    <w:rsid w:val="00C341A3"/>
    <w:rsid w:val="00C543BB"/>
    <w:rsid w:val="00C57052"/>
    <w:rsid w:val="00C614CD"/>
    <w:rsid w:val="00C63CF9"/>
    <w:rsid w:val="00C64DAC"/>
    <w:rsid w:val="00C73394"/>
    <w:rsid w:val="00C75FA3"/>
    <w:rsid w:val="00C82A55"/>
    <w:rsid w:val="00C85E5B"/>
    <w:rsid w:val="00C873D8"/>
    <w:rsid w:val="00C87AD5"/>
    <w:rsid w:val="00C87D21"/>
    <w:rsid w:val="00C914AD"/>
    <w:rsid w:val="00C91E38"/>
    <w:rsid w:val="00C95979"/>
    <w:rsid w:val="00C95E2D"/>
    <w:rsid w:val="00C960A4"/>
    <w:rsid w:val="00C960F4"/>
    <w:rsid w:val="00C96BF5"/>
    <w:rsid w:val="00C97DF3"/>
    <w:rsid w:val="00CA0565"/>
    <w:rsid w:val="00CA444E"/>
    <w:rsid w:val="00CB3152"/>
    <w:rsid w:val="00CB3F82"/>
    <w:rsid w:val="00CB4793"/>
    <w:rsid w:val="00CB4D74"/>
    <w:rsid w:val="00CB59FE"/>
    <w:rsid w:val="00CB67D4"/>
    <w:rsid w:val="00CB70FE"/>
    <w:rsid w:val="00CC189E"/>
    <w:rsid w:val="00CC2105"/>
    <w:rsid w:val="00CC2C57"/>
    <w:rsid w:val="00CC335F"/>
    <w:rsid w:val="00CC5248"/>
    <w:rsid w:val="00CC7A12"/>
    <w:rsid w:val="00CD092E"/>
    <w:rsid w:val="00CD0C62"/>
    <w:rsid w:val="00CD6FE2"/>
    <w:rsid w:val="00CE3FA3"/>
    <w:rsid w:val="00CE6235"/>
    <w:rsid w:val="00D01471"/>
    <w:rsid w:val="00D04104"/>
    <w:rsid w:val="00D058CA"/>
    <w:rsid w:val="00D05CB7"/>
    <w:rsid w:val="00D06342"/>
    <w:rsid w:val="00D11ED3"/>
    <w:rsid w:val="00D16B00"/>
    <w:rsid w:val="00D20A3F"/>
    <w:rsid w:val="00D227E1"/>
    <w:rsid w:val="00D26659"/>
    <w:rsid w:val="00D306D1"/>
    <w:rsid w:val="00D30A0F"/>
    <w:rsid w:val="00D357DE"/>
    <w:rsid w:val="00D4078B"/>
    <w:rsid w:val="00D40C2D"/>
    <w:rsid w:val="00D45FA4"/>
    <w:rsid w:val="00D4697F"/>
    <w:rsid w:val="00D51C0B"/>
    <w:rsid w:val="00D604F7"/>
    <w:rsid w:val="00D62182"/>
    <w:rsid w:val="00D703A9"/>
    <w:rsid w:val="00D774A6"/>
    <w:rsid w:val="00D96463"/>
    <w:rsid w:val="00DB53A3"/>
    <w:rsid w:val="00DC04EC"/>
    <w:rsid w:val="00DC185E"/>
    <w:rsid w:val="00DC3508"/>
    <w:rsid w:val="00DC3C57"/>
    <w:rsid w:val="00DC5BC2"/>
    <w:rsid w:val="00DD2394"/>
    <w:rsid w:val="00DD306E"/>
    <w:rsid w:val="00DD4B09"/>
    <w:rsid w:val="00DE29A4"/>
    <w:rsid w:val="00DE51A8"/>
    <w:rsid w:val="00DF09CD"/>
    <w:rsid w:val="00DF0AB6"/>
    <w:rsid w:val="00DF1439"/>
    <w:rsid w:val="00DF334C"/>
    <w:rsid w:val="00DF3790"/>
    <w:rsid w:val="00DF503A"/>
    <w:rsid w:val="00E0353F"/>
    <w:rsid w:val="00E16794"/>
    <w:rsid w:val="00E30C42"/>
    <w:rsid w:val="00E31AEE"/>
    <w:rsid w:val="00E3441A"/>
    <w:rsid w:val="00E37295"/>
    <w:rsid w:val="00E41BF8"/>
    <w:rsid w:val="00E43CCD"/>
    <w:rsid w:val="00E44881"/>
    <w:rsid w:val="00E47639"/>
    <w:rsid w:val="00E504E3"/>
    <w:rsid w:val="00E5487C"/>
    <w:rsid w:val="00E6183B"/>
    <w:rsid w:val="00E67153"/>
    <w:rsid w:val="00E67E55"/>
    <w:rsid w:val="00E71C26"/>
    <w:rsid w:val="00E729F5"/>
    <w:rsid w:val="00E80FFD"/>
    <w:rsid w:val="00E83F08"/>
    <w:rsid w:val="00E85CEE"/>
    <w:rsid w:val="00E864D4"/>
    <w:rsid w:val="00E90E38"/>
    <w:rsid w:val="00E90FFC"/>
    <w:rsid w:val="00E95F8D"/>
    <w:rsid w:val="00E96BB5"/>
    <w:rsid w:val="00EA5DD4"/>
    <w:rsid w:val="00EA777D"/>
    <w:rsid w:val="00EB6339"/>
    <w:rsid w:val="00EC1A67"/>
    <w:rsid w:val="00EC4AA4"/>
    <w:rsid w:val="00ED16ED"/>
    <w:rsid w:val="00ED6CFD"/>
    <w:rsid w:val="00EE1205"/>
    <w:rsid w:val="00EE32DE"/>
    <w:rsid w:val="00EE5A24"/>
    <w:rsid w:val="00EF2BB7"/>
    <w:rsid w:val="00EF6E11"/>
    <w:rsid w:val="00F02939"/>
    <w:rsid w:val="00F057EE"/>
    <w:rsid w:val="00F05B86"/>
    <w:rsid w:val="00F16E56"/>
    <w:rsid w:val="00F16FE7"/>
    <w:rsid w:val="00F17622"/>
    <w:rsid w:val="00F177E5"/>
    <w:rsid w:val="00F25004"/>
    <w:rsid w:val="00F2630E"/>
    <w:rsid w:val="00F30925"/>
    <w:rsid w:val="00F30CE3"/>
    <w:rsid w:val="00F41F5B"/>
    <w:rsid w:val="00F45C6C"/>
    <w:rsid w:val="00F47915"/>
    <w:rsid w:val="00F55919"/>
    <w:rsid w:val="00F72BFC"/>
    <w:rsid w:val="00F73520"/>
    <w:rsid w:val="00F73E8F"/>
    <w:rsid w:val="00F76021"/>
    <w:rsid w:val="00F77690"/>
    <w:rsid w:val="00F82E71"/>
    <w:rsid w:val="00F86B49"/>
    <w:rsid w:val="00F87FF9"/>
    <w:rsid w:val="00F902CC"/>
    <w:rsid w:val="00F92AD0"/>
    <w:rsid w:val="00F93118"/>
    <w:rsid w:val="00FA0399"/>
    <w:rsid w:val="00FA14E2"/>
    <w:rsid w:val="00FA1B96"/>
    <w:rsid w:val="00FA5794"/>
    <w:rsid w:val="00FB08BE"/>
    <w:rsid w:val="00FB1B77"/>
    <w:rsid w:val="00FB3913"/>
    <w:rsid w:val="00FC0990"/>
    <w:rsid w:val="00FC0BCE"/>
    <w:rsid w:val="00FC2C39"/>
    <w:rsid w:val="00FC50FF"/>
    <w:rsid w:val="00FD5FFC"/>
    <w:rsid w:val="00FD61A0"/>
    <w:rsid w:val="00FE1B31"/>
    <w:rsid w:val="00FE26B3"/>
    <w:rsid w:val="00FE5B7B"/>
    <w:rsid w:val="00FE7D2D"/>
    <w:rsid w:val="00FF4DEC"/>
    <w:rsid w:val="0388084D"/>
    <w:rsid w:val="6D9C0C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9" w:semiHidden="0" w:name="heading 2"/>
    <w:lsdException w:qFormat="1" w:uiPriority="0" w:semiHidden="0" w:name="heading 3"/>
    <w:lsdException w:qFormat="1" w:uiPriority="99" w:semiHidden="0" w:name="heading 4"/>
    <w:lsdException w:qFormat="1" w:uiPriority="99" w:semiHidden="0" w:name="heading 5"/>
    <w:lsdException w:qFormat="1" w:unhideWhenUsed="0" w:uiPriority="0" w:name="heading 6"/>
    <w:lsdException w:qFormat="1" w:unhideWhenUsed="0" w:uiPriority="0" w:name="heading 7"/>
    <w:lsdException w:qFormat="1" w:unhideWhenUsed="0" w:uiPriority="0" w:name="heading 8"/>
    <w:lsdException w:qFormat="1" w:unhideWhenUsed="0" w:uiPriority="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nhideWhenUsed="0" w:uiPriority="0" w:name="toc 4"/>
    <w:lsdException w:qFormat="1" w:unhideWhenUsed="0" w:uiPriority="0" w:name="toc 5"/>
    <w:lsdException w:qFormat="1" w:unhideWhenUsed="0" w:uiPriority="0" w:name="toc 6"/>
    <w:lsdException w:qFormat="1" w:unhideWhenUsed="0" w:uiPriority="0" w:name="toc 7"/>
    <w:lsdException w:qFormat="1" w:unhideWhenUsed="0" w:uiPriority="0" w:name="toc 8"/>
    <w:lsdException w:qFormat="1" w:unhideWhenUsed="0" w:uiPriority="0" w:name="toc 9"/>
    <w:lsdException w:qFormat="1" w:unhideWhenUsed="0" w:uiPriority="0" w:semiHidden="0" w:name="Normal Indent"/>
    <w:lsdException w:uiPriority="99" w:name="footnote text"/>
    <w:lsdException w:qFormat="1" w:unhideWhenUsed="0" w:uiPriority="0" w:semiHidden="0" w:name="annotation text"/>
    <w:lsdException w:qFormat="1" w:unhideWhenUsed="0" w:uiPriority="0" w:name="header"/>
    <w:lsdException w:qFormat="1" w:unhideWhenUsed="0" w:uiPriority="99" w:semiHidden="0" w:name="footer"/>
    <w:lsdException w:uiPriority="99" w:name="index heading"/>
    <w:lsdException w:qFormat="1" w:uiPriority="99" w:semiHidden="0" w:name="caption"/>
    <w:lsdException w:uiPriority="99" w:name="table of figures"/>
    <w:lsdException w:qFormat="1" w:unhideWhenUsed="0" w:uiPriority="0" w:name="envelope address"/>
    <w:lsdException w:qFormat="1" w:unhideWhenUsed="0" w:uiPriority="0" w:name="envelope return"/>
    <w:lsdException w:uiPriority="99" w:name="footnote reference"/>
    <w:lsdException w:qFormat="1" w:unhideWhenUsed="0" w:uiPriority="0" w:semiHidden="0" w:name="annotation reference"/>
    <w:lsdException w:qFormat="1" w:unhideWhenUsed="0" w:uiPriority="0" w:name="line number"/>
    <w:lsdException w:qFormat="1" w:unhideWhenUsed="0" w:uiPriority="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99" w:semiHidden="0" w:name="List"/>
    <w:lsdException w:qFormat="1" w:unhideWhenUsed="0" w:uiPriority="0" w:name="List Bullet"/>
    <w:lsdException w:qFormat="1" w:unhideWhenUsed="0" w:uiPriority="0" w:name="List Number"/>
    <w:lsdException w:qFormat="1" w:unhideWhenUsed="0" w:uiPriority="0" w:name="List 2"/>
    <w:lsdException w:qFormat="1" w:unhideWhenUsed="0" w:uiPriority="0" w:name="List 3"/>
    <w:lsdException w:qFormat="1" w:unhideWhenUsed="0" w:uiPriority="0" w:name="List 4"/>
    <w:lsdException w:qFormat="1" w:unhideWhenUsed="0" w:uiPriority="0" w:name="List 5"/>
    <w:lsdException w:qFormat="1" w:unhideWhenUsed="0" w:uiPriority="0" w:name="List Bullet 2"/>
    <w:lsdException w:qFormat="1" w:unhideWhenUsed="0" w:uiPriority="0" w:name="List Bullet 3"/>
    <w:lsdException w:qFormat="1" w:unhideWhenUsed="0" w:uiPriority="0" w:name="List Bullet 4"/>
    <w:lsdException w:qFormat="1" w:unhideWhenUsed="0" w:uiPriority="0" w:name="List Bullet 5"/>
    <w:lsdException w:qFormat="1" w:unhideWhenUsed="0" w:uiPriority="0" w:name="List Number 2"/>
    <w:lsdException w:qFormat="1" w:unhideWhenUsed="0" w:uiPriority="0" w:name="List Number 3"/>
    <w:lsdException w:qFormat="1" w:unhideWhenUsed="0" w:uiPriority="0" w:name="List Number 4"/>
    <w:lsdException w:qFormat="1" w:unhideWhenUsed="0" w:uiPriority="0" w:name="List Number 5"/>
    <w:lsdException w:qFormat="1" w:unhideWhenUsed="0" w:uiPriority="0" w:semiHidden="0" w:name="Title"/>
    <w:lsdException w:qFormat="1" w:unhideWhenUsed="0" w:uiPriority="0" w:name="Closing"/>
    <w:lsdException w:qFormat="1" w:unhideWhenUsed="0" w:uiPriority="0" w:name="Signature"/>
    <w:lsdException w:uiPriority="1" w:name="Default Paragraph Font"/>
    <w:lsdException w:qFormat="1" w:unhideWhenUsed="0" w:uiPriority="99" w:semiHidden="0" w:name="Body Text"/>
    <w:lsdException w:qFormat="1" w:uiPriority="99" w:semiHidden="0" w:name="Body Text Indent"/>
    <w:lsdException w:qFormat="1" w:unhideWhenUsed="0" w:uiPriority="0" w:name="List Continue"/>
    <w:lsdException w:qFormat="1" w:unhideWhenUsed="0" w:uiPriority="0" w:name="List Continue 2"/>
    <w:lsdException w:qFormat="1" w:unhideWhenUsed="0" w:uiPriority="0" w:name="List Continue 3"/>
    <w:lsdException w:qFormat="1" w:unhideWhenUsed="0" w:uiPriority="0" w:name="List Continue 4"/>
    <w:lsdException w:qFormat="1" w:unhideWhenUsed="0" w:uiPriority="0" w:name="List Continue 5"/>
    <w:lsdException w:qFormat="1" w:unhideWhenUsed="0" w:uiPriority="0" w:name="Message Header"/>
    <w:lsdException w:qFormat="1" w:unhideWhenUsed="0" w:uiPriority="0" w:semiHidden="0" w:name="Subtitle"/>
    <w:lsdException w:qFormat="1" w:unhideWhenUsed="0" w:uiPriority="0" w:name="Salutation"/>
    <w:lsdException w:qFormat="1" w:uiPriority="0" w:name="Date"/>
    <w:lsdException w:qFormat="1" w:unhideWhenUsed="0" w:uiPriority="0" w:name="Body Text First Indent"/>
    <w:lsdException w:qFormat="1" w:unhideWhenUsed="0" w:uiPriority="0" w:name="Body Text First Indent 2"/>
    <w:lsdException w:qFormat="1" w:unhideWhenUsed="0" w:uiPriority="0" w:name="Note Heading"/>
    <w:lsdException w:qFormat="1" w:unhideWhenUsed="0" w:uiPriority="0" w:name="Body Text 2"/>
    <w:lsdException w:qFormat="1" w:unhideWhenUsed="0" w:uiPriority="0" w:name="Body Text 3"/>
    <w:lsdException w:qFormat="1" w:unhideWhenUsed="0" w:uiPriority="0" w:name="Body Text Indent 2"/>
    <w:lsdException w:qFormat="1" w:unhideWhenUsed="0" w:uiPriority="0" w:name="Body Text Indent 3"/>
    <w:lsdException w:qFormat="1" w:unhideWhenUsed="0" w:uiPriority="0" w:name="Block Text"/>
    <w:lsdException w:qFormat="1" w:uiPriority="99" w:semiHidden="0" w:name="Hyperlink"/>
    <w:lsdException w:qFormat="1" w:unhideWhenUsed="0" w:uiPriority="99"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iPriority="99" w:semiHidden="0" w:name="Plain Text"/>
    <w:lsdException w:qFormat="1" w:unhideWhenUsed="0" w:uiPriority="0" w:name="E-mail Signature"/>
    <w:lsdException w:qFormat="1" w:unhideWhenUsed="0" w:uiPriority="0" w:semiHidden="0" w:name="Normal (Web)"/>
    <w:lsdException w:qFormat="1" w:unhideWhenUsed="0" w:uiPriority="0" w:name="HTML Acronym"/>
    <w:lsdException w:qFormat="1" w:unhideWhenUsed="0" w:uiPriority="0" w:name="HTML Address"/>
    <w:lsdException w:qFormat="1" w:unhideWhenUsed="0" w:uiPriority="0" w:name="HTML Cite"/>
    <w:lsdException w:qFormat="1" w:unhideWhenUsed="0" w:uiPriority="0" w:name="HTML Code"/>
    <w:lsdException w:qFormat="1" w:unhideWhenUsed="0" w:uiPriority="0" w:name="HTML Definition"/>
    <w:lsdException w:qFormat="1" w:unhideWhenUsed="0" w:uiPriority="0" w:name="HTML Keyboard"/>
    <w:lsdException w:qFormat="1" w:unhideWhenUsed="0" w:uiPriority="0" w:name="HTML Preformatted"/>
    <w:lsdException w:qFormat="1" w:unhideWhenUsed="0" w:uiPriority="0" w:name="HTML Sample"/>
    <w:lsdException w:qFormat="1" w:unhideWhenUsed="0" w:uiPriority="0" w:name="HTML Typewriter"/>
    <w:lsdException w:qFormat="1" w:unhideWhenUsed="0" w:uiPriority="0" w:name="HTML Variable"/>
    <w:lsdException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nhideWhenUsed="0" w:uiPriority="99" w:semiHidden="0"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99" w:semiHidden="0" w:name="Table Grid"/>
    <w:lsdException w:qFormat="1" w:unhideWhenUsed="0" w:uiPriority="0" w:semiHidden="0" w:name="Table Theme"/>
    <w:lsdException w:qFormat="1" w:unhideWhenUsed="0" w:uiPriority="99"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14:ligatures w14:val="standardContextual"/>
    </w:rPr>
  </w:style>
  <w:style w:type="paragraph" w:styleId="2">
    <w:name w:val="heading 1"/>
    <w:basedOn w:val="1"/>
    <w:next w:val="1"/>
    <w:link w:val="103"/>
    <w:qFormat/>
    <w:uiPriority w:val="0"/>
    <w:pPr>
      <w:keepNext/>
      <w:keepLines/>
      <w:numPr>
        <w:ilvl w:val="0"/>
        <w:numId w:val="1"/>
      </w:numPr>
      <w:jc w:val="center"/>
      <w:outlineLvl w:val="0"/>
    </w:pPr>
    <w:rPr>
      <w:rFonts w:eastAsia="黑体"/>
      <w:b/>
      <w:bCs/>
      <w:kern w:val="44"/>
      <w:sz w:val="36"/>
      <w:szCs w:val="44"/>
    </w:rPr>
  </w:style>
  <w:style w:type="paragraph" w:styleId="3">
    <w:name w:val="heading 2"/>
    <w:basedOn w:val="1"/>
    <w:next w:val="1"/>
    <w:link w:val="104"/>
    <w:unhideWhenUsed/>
    <w:qFormat/>
    <w:uiPriority w:val="99"/>
    <w:pPr>
      <w:keepNext/>
      <w:keepLines/>
      <w:numPr>
        <w:ilvl w:val="1"/>
        <w:numId w:val="1"/>
      </w:numPr>
      <w:spacing w:line="480" w:lineRule="exact"/>
      <w:outlineLvl w:val="1"/>
    </w:pPr>
    <w:rPr>
      <w:rFonts w:eastAsia="宋体" w:asciiTheme="majorHAnsi" w:hAnsiTheme="majorHAnsi" w:cstheme="majorBidi"/>
      <w:b/>
      <w:bCs/>
      <w:sz w:val="28"/>
      <w:szCs w:val="32"/>
    </w:rPr>
  </w:style>
  <w:style w:type="paragraph" w:styleId="4">
    <w:name w:val="heading 3"/>
    <w:basedOn w:val="1"/>
    <w:next w:val="1"/>
    <w:link w:val="105"/>
    <w:unhideWhenUsed/>
    <w:qFormat/>
    <w:uiPriority w:val="0"/>
    <w:pPr>
      <w:keepNext/>
      <w:keepLines/>
      <w:numPr>
        <w:ilvl w:val="2"/>
        <w:numId w:val="1"/>
      </w:numPr>
      <w:spacing w:line="480" w:lineRule="exact"/>
      <w:outlineLvl w:val="2"/>
    </w:pPr>
    <w:rPr>
      <w:rFonts w:eastAsia="宋体"/>
      <w:b/>
      <w:bCs/>
      <w:sz w:val="24"/>
      <w:szCs w:val="32"/>
    </w:rPr>
  </w:style>
  <w:style w:type="paragraph" w:styleId="5">
    <w:name w:val="heading 4"/>
    <w:basedOn w:val="1"/>
    <w:next w:val="1"/>
    <w:link w:val="106"/>
    <w:unhideWhenUsed/>
    <w:qFormat/>
    <w:uiPriority w:val="99"/>
    <w:pPr>
      <w:keepNext/>
      <w:keepLines/>
      <w:numPr>
        <w:ilvl w:val="3"/>
        <w:numId w:val="1"/>
      </w:numPr>
      <w:spacing w:line="480" w:lineRule="exact"/>
      <w:outlineLvl w:val="3"/>
    </w:pPr>
    <w:rPr>
      <w:rFonts w:ascii="宋体" w:hAnsi="宋体" w:eastAsia="宋体" w:cstheme="majorBidi"/>
      <w:b/>
      <w:bCs/>
      <w:sz w:val="24"/>
      <w:szCs w:val="28"/>
    </w:rPr>
  </w:style>
  <w:style w:type="paragraph" w:styleId="6">
    <w:name w:val="heading 5"/>
    <w:basedOn w:val="1"/>
    <w:next w:val="1"/>
    <w:link w:val="107"/>
    <w:unhideWhenUsed/>
    <w:qFormat/>
    <w:uiPriority w:val="99"/>
    <w:pPr>
      <w:keepNext/>
      <w:keepLines/>
      <w:numPr>
        <w:ilvl w:val="4"/>
        <w:numId w:val="1"/>
      </w:numPr>
      <w:spacing w:before="280" w:after="290" w:line="376" w:lineRule="auto"/>
      <w:outlineLvl w:val="4"/>
    </w:pPr>
    <w:rPr>
      <w:b/>
      <w:bCs/>
      <w:sz w:val="28"/>
      <w:szCs w:val="28"/>
    </w:rPr>
  </w:style>
  <w:style w:type="paragraph" w:styleId="7">
    <w:name w:val="heading 6"/>
    <w:basedOn w:val="1"/>
    <w:next w:val="1"/>
    <w:link w:val="116"/>
    <w:semiHidden/>
    <w:qFormat/>
    <w:uiPriority w:val="0"/>
    <w:pPr>
      <w:keepNext/>
      <w:keepLines/>
      <w:widowControl/>
      <w:spacing w:line="480" w:lineRule="exact"/>
      <w:ind w:left="1151"/>
      <w:outlineLvl w:val="5"/>
    </w:pPr>
    <w:rPr>
      <w:rFonts w:ascii="宋体" w:hAnsi="Arial" w:eastAsia="宋体" w:cs="宋体"/>
      <w:b/>
      <w:bCs/>
      <w:kern w:val="0"/>
      <w:sz w:val="24"/>
      <w:szCs w:val="24"/>
      <w14:ligatures w14:val="none"/>
    </w:rPr>
  </w:style>
  <w:style w:type="paragraph" w:styleId="8">
    <w:name w:val="heading 7"/>
    <w:basedOn w:val="1"/>
    <w:next w:val="1"/>
    <w:link w:val="117"/>
    <w:semiHidden/>
    <w:qFormat/>
    <w:uiPriority w:val="0"/>
    <w:pPr>
      <w:keepNext/>
      <w:keepLines/>
      <w:widowControl/>
      <w:spacing w:before="240" w:after="64" w:line="319" w:lineRule="auto"/>
      <w:ind w:left="1296"/>
      <w:outlineLvl w:val="6"/>
    </w:pPr>
    <w:rPr>
      <w:rFonts w:ascii="宋体" w:hAnsi="宋体" w:eastAsia="宋体" w:cs="宋体"/>
      <w:b/>
      <w:bCs/>
      <w:kern w:val="0"/>
      <w:sz w:val="24"/>
      <w:szCs w:val="24"/>
      <w14:ligatures w14:val="none"/>
    </w:rPr>
  </w:style>
  <w:style w:type="paragraph" w:styleId="9">
    <w:name w:val="heading 8"/>
    <w:basedOn w:val="1"/>
    <w:next w:val="1"/>
    <w:link w:val="118"/>
    <w:semiHidden/>
    <w:qFormat/>
    <w:uiPriority w:val="0"/>
    <w:pPr>
      <w:keepNext/>
      <w:keepLines/>
      <w:widowControl/>
      <w:spacing w:before="240" w:after="64" w:line="319" w:lineRule="auto"/>
      <w:ind w:left="1440"/>
      <w:outlineLvl w:val="7"/>
    </w:pPr>
    <w:rPr>
      <w:rFonts w:ascii="Arial" w:hAnsi="Arial" w:eastAsia="黑体" w:cs="宋体"/>
      <w:kern w:val="0"/>
      <w:sz w:val="24"/>
      <w:szCs w:val="24"/>
      <w14:ligatures w14:val="none"/>
    </w:rPr>
  </w:style>
  <w:style w:type="paragraph" w:styleId="10">
    <w:name w:val="heading 9"/>
    <w:basedOn w:val="1"/>
    <w:next w:val="1"/>
    <w:link w:val="119"/>
    <w:semiHidden/>
    <w:qFormat/>
    <w:uiPriority w:val="0"/>
    <w:pPr>
      <w:keepNext/>
      <w:keepLines/>
      <w:widowControl/>
      <w:spacing w:before="240" w:after="64" w:line="319" w:lineRule="auto"/>
      <w:ind w:left="1583"/>
      <w:outlineLvl w:val="8"/>
    </w:pPr>
    <w:rPr>
      <w:rFonts w:ascii="Arial" w:hAnsi="Arial" w:eastAsia="黑体" w:cs="宋体"/>
      <w:kern w:val="0"/>
      <w:sz w:val="24"/>
      <w:szCs w:val="21"/>
      <w14:ligatures w14:val="none"/>
    </w:rPr>
  </w:style>
  <w:style w:type="character" w:default="1" w:styleId="76">
    <w:name w:val="Default Paragraph Font"/>
    <w:semiHidden/>
    <w:unhideWhenUsed/>
    <w:uiPriority w:val="1"/>
  </w:style>
  <w:style w:type="table" w:default="1" w:styleId="72">
    <w:name w:val="Normal Table"/>
    <w:semiHidden/>
    <w:unhideWhenUsed/>
    <w:uiPriority w:val="99"/>
    <w:tblPr>
      <w:tblCellMar>
        <w:top w:w="0" w:type="dxa"/>
        <w:left w:w="108" w:type="dxa"/>
        <w:bottom w:w="0" w:type="dxa"/>
        <w:right w:w="108" w:type="dxa"/>
      </w:tblCellMar>
    </w:tblPr>
  </w:style>
  <w:style w:type="paragraph" w:styleId="11">
    <w:name w:val="List 3"/>
    <w:basedOn w:val="1"/>
    <w:semiHidden/>
    <w:qFormat/>
    <w:uiPriority w:val="0"/>
    <w:pPr>
      <w:widowControl/>
      <w:spacing w:line="480" w:lineRule="exact"/>
      <w:ind w:left="100" w:leftChars="400" w:hanging="200" w:hangingChars="200"/>
    </w:pPr>
    <w:rPr>
      <w:rFonts w:ascii="宋体" w:hAnsi="宋体" w:eastAsia="宋体" w:cs="宋体"/>
      <w:kern w:val="0"/>
      <w:sz w:val="24"/>
      <w:szCs w:val="24"/>
      <w14:ligatures w14:val="none"/>
    </w:rPr>
  </w:style>
  <w:style w:type="paragraph" w:styleId="12">
    <w:name w:val="toc 7"/>
    <w:basedOn w:val="1"/>
    <w:next w:val="1"/>
    <w:semiHidden/>
    <w:qFormat/>
    <w:uiPriority w:val="0"/>
    <w:pPr>
      <w:widowControl/>
      <w:spacing w:line="480" w:lineRule="exact"/>
      <w:ind w:left="1200" w:firstLine="200" w:firstLineChars="200"/>
      <w:jc w:val="left"/>
    </w:pPr>
    <w:rPr>
      <w:rFonts w:ascii="宋体" w:hAnsi="宋体" w:eastAsia="宋体" w:cs="宋体"/>
      <w:kern w:val="0"/>
      <w:sz w:val="20"/>
      <w:szCs w:val="20"/>
      <w14:ligatures w14:val="none"/>
    </w:rPr>
  </w:style>
  <w:style w:type="paragraph" w:styleId="13">
    <w:name w:val="List Number 2"/>
    <w:basedOn w:val="1"/>
    <w:semiHidden/>
    <w:qFormat/>
    <w:uiPriority w:val="0"/>
    <w:pPr>
      <w:widowControl/>
      <w:numPr>
        <w:ilvl w:val="0"/>
        <w:numId w:val="2"/>
      </w:numPr>
      <w:tabs>
        <w:tab w:val="left" w:pos="360"/>
        <w:tab w:val="clear" w:pos="780"/>
      </w:tabs>
      <w:spacing w:line="480" w:lineRule="exact"/>
      <w:ind w:left="0" w:firstLine="200" w:firstLineChars="200"/>
    </w:pPr>
    <w:rPr>
      <w:rFonts w:ascii="宋体" w:hAnsi="宋体" w:eastAsia="宋体" w:cs="宋体"/>
      <w:kern w:val="0"/>
      <w:sz w:val="24"/>
      <w:szCs w:val="24"/>
      <w14:ligatures w14:val="none"/>
    </w:rPr>
  </w:style>
  <w:style w:type="paragraph" w:styleId="14">
    <w:name w:val="Note Heading"/>
    <w:basedOn w:val="1"/>
    <w:next w:val="1"/>
    <w:link w:val="120"/>
    <w:semiHidden/>
    <w:qFormat/>
    <w:uiPriority w:val="0"/>
    <w:pPr>
      <w:widowControl/>
      <w:spacing w:line="480" w:lineRule="exact"/>
      <w:ind w:firstLine="200" w:firstLineChars="200"/>
      <w:jc w:val="center"/>
    </w:pPr>
    <w:rPr>
      <w:rFonts w:ascii="宋体" w:hAnsi="宋体" w:eastAsia="宋体" w:cs="宋体"/>
      <w:kern w:val="0"/>
      <w:sz w:val="24"/>
      <w:szCs w:val="24"/>
      <w14:ligatures w14:val="none"/>
    </w:rPr>
  </w:style>
  <w:style w:type="paragraph" w:styleId="15">
    <w:name w:val="List Bullet 4"/>
    <w:basedOn w:val="1"/>
    <w:semiHidden/>
    <w:qFormat/>
    <w:uiPriority w:val="0"/>
    <w:pPr>
      <w:widowControl/>
      <w:numPr>
        <w:ilvl w:val="0"/>
        <w:numId w:val="3"/>
      </w:numPr>
      <w:tabs>
        <w:tab w:val="left" w:pos="360"/>
        <w:tab w:val="clear" w:pos="1620"/>
      </w:tabs>
      <w:spacing w:line="480" w:lineRule="exact"/>
      <w:ind w:left="0" w:firstLine="200" w:firstLineChars="200"/>
    </w:pPr>
    <w:rPr>
      <w:rFonts w:ascii="宋体" w:hAnsi="宋体" w:eastAsia="宋体" w:cs="宋体"/>
      <w:kern w:val="0"/>
      <w:sz w:val="24"/>
      <w:szCs w:val="24"/>
      <w14:ligatures w14:val="none"/>
    </w:rPr>
  </w:style>
  <w:style w:type="paragraph" w:styleId="16">
    <w:name w:val="E-mail Signature"/>
    <w:basedOn w:val="1"/>
    <w:link w:val="121"/>
    <w:semiHidden/>
    <w:qFormat/>
    <w:uiPriority w:val="0"/>
    <w:pPr>
      <w:widowControl/>
      <w:spacing w:line="480" w:lineRule="exact"/>
      <w:ind w:firstLine="200" w:firstLineChars="200"/>
    </w:pPr>
    <w:rPr>
      <w:rFonts w:ascii="宋体" w:hAnsi="宋体" w:eastAsia="宋体" w:cs="宋体"/>
      <w:kern w:val="0"/>
      <w:sz w:val="24"/>
      <w:szCs w:val="24"/>
      <w14:ligatures w14:val="none"/>
    </w:rPr>
  </w:style>
  <w:style w:type="paragraph" w:styleId="17">
    <w:name w:val="List Number"/>
    <w:basedOn w:val="1"/>
    <w:semiHidden/>
    <w:qFormat/>
    <w:uiPriority w:val="0"/>
    <w:pPr>
      <w:widowControl/>
      <w:numPr>
        <w:ilvl w:val="0"/>
        <w:numId w:val="4"/>
      </w:numPr>
      <w:spacing w:line="480" w:lineRule="exact"/>
      <w:ind w:left="0" w:firstLine="200" w:firstLineChars="200"/>
    </w:pPr>
    <w:rPr>
      <w:rFonts w:ascii="宋体" w:hAnsi="宋体" w:eastAsia="宋体" w:cs="宋体"/>
      <w:kern w:val="0"/>
      <w:sz w:val="24"/>
      <w:szCs w:val="24"/>
      <w14:ligatures w14:val="none"/>
    </w:rPr>
  </w:style>
  <w:style w:type="paragraph" w:styleId="18">
    <w:name w:val="Normal Indent"/>
    <w:basedOn w:val="1"/>
    <w:link w:val="143"/>
    <w:qFormat/>
    <w:uiPriority w:val="0"/>
    <w:pPr>
      <w:widowControl/>
      <w:spacing w:before="100" w:beforeAutospacing="1" w:after="100" w:afterAutospacing="1" w:line="480" w:lineRule="exact"/>
      <w:ind w:firstLine="200" w:firstLineChars="200"/>
      <w:jc w:val="left"/>
    </w:pPr>
    <w:rPr>
      <w:rFonts w:ascii="宋体" w:hAnsi="宋体" w:eastAsia="宋体" w:cs="宋体"/>
      <w:kern w:val="0"/>
      <w:sz w:val="24"/>
      <w:szCs w:val="24"/>
      <w14:ligatures w14:val="none"/>
    </w:rPr>
  </w:style>
  <w:style w:type="paragraph" w:styleId="19">
    <w:name w:val="caption"/>
    <w:basedOn w:val="1"/>
    <w:next w:val="1"/>
    <w:link w:val="115"/>
    <w:unhideWhenUsed/>
    <w:qFormat/>
    <w:uiPriority w:val="99"/>
    <w:pPr>
      <w:spacing w:line="480" w:lineRule="exact"/>
      <w:jc w:val="center"/>
    </w:pPr>
    <w:rPr>
      <w:rFonts w:ascii="宋体" w:hAnsi="宋体" w:eastAsia="宋体" w:cstheme="majorBidi"/>
      <w:b/>
      <w:sz w:val="24"/>
      <w:szCs w:val="20"/>
    </w:rPr>
  </w:style>
  <w:style w:type="paragraph" w:styleId="20">
    <w:name w:val="List Bullet"/>
    <w:basedOn w:val="1"/>
    <w:semiHidden/>
    <w:qFormat/>
    <w:uiPriority w:val="0"/>
    <w:pPr>
      <w:widowControl/>
      <w:numPr>
        <w:ilvl w:val="0"/>
        <w:numId w:val="5"/>
      </w:numPr>
      <w:spacing w:line="480" w:lineRule="exact"/>
      <w:ind w:firstLine="200" w:firstLineChars="200"/>
    </w:pPr>
    <w:rPr>
      <w:rFonts w:ascii="宋体" w:hAnsi="宋体" w:eastAsia="宋体" w:cs="宋体"/>
      <w:kern w:val="0"/>
      <w:sz w:val="24"/>
      <w:szCs w:val="24"/>
      <w14:ligatures w14:val="none"/>
    </w:rPr>
  </w:style>
  <w:style w:type="paragraph" w:styleId="21">
    <w:name w:val="envelope address"/>
    <w:basedOn w:val="1"/>
    <w:semiHidden/>
    <w:qFormat/>
    <w:uiPriority w:val="0"/>
    <w:pPr>
      <w:widowControl/>
      <w:snapToGrid w:val="0"/>
      <w:spacing w:line="480" w:lineRule="exact"/>
      <w:ind w:left="100" w:leftChars="1400" w:firstLine="200" w:firstLineChars="200"/>
    </w:pPr>
    <w:rPr>
      <w:rFonts w:ascii="Arial" w:hAnsi="Arial" w:eastAsia="宋体" w:cs="Arial"/>
      <w:kern w:val="0"/>
      <w:sz w:val="24"/>
      <w:szCs w:val="24"/>
      <w14:ligatures w14:val="none"/>
    </w:rPr>
  </w:style>
  <w:style w:type="paragraph" w:styleId="22">
    <w:name w:val="Document Map"/>
    <w:basedOn w:val="1"/>
    <w:link w:val="122"/>
    <w:semiHidden/>
    <w:qFormat/>
    <w:uiPriority w:val="0"/>
    <w:pPr>
      <w:widowControl/>
      <w:shd w:val="clear" w:color="auto" w:fill="000080"/>
      <w:spacing w:line="480" w:lineRule="exact"/>
      <w:ind w:firstLine="200" w:firstLineChars="200"/>
    </w:pPr>
    <w:rPr>
      <w:rFonts w:ascii="宋体" w:hAnsi="宋体" w:eastAsia="宋体" w:cs="宋体"/>
      <w:kern w:val="0"/>
      <w:sz w:val="24"/>
      <w:szCs w:val="24"/>
      <w14:ligatures w14:val="none"/>
    </w:rPr>
  </w:style>
  <w:style w:type="paragraph" w:styleId="23">
    <w:name w:val="annotation text"/>
    <w:basedOn w:val="1"/>
    <w:link w:val="123"/>
    <w:qFormat/>
    <w:uiPriority w:val="0"/>
    <w:pPr>
      <w:widowControl/>
      <w:spacing w:line="480" w:lineRule="exact"/>
      <w:ind w:firstLine="200" w:firstLineChars="200"/>
      <w:jc w:val="left"/>
    </w:pPr>
    <w:rPr>
      <w:rFonts w:ascii="Times New Roman" w:hAnsi="宋体" w:eastAsia="宋体" w:cs="宋体"/>
      <w:kern w:val="0"/>
      <w:sz w:val="24"/>
      <w:szCs w:val="24"/>
      <w14:ligatures w14:val="none"/>
    </w:rPr>
  </w:style>
  <w:style w:type="paragraph" w:styleId="24">
    <w:name w:val="Salutation"/>
    <w:basedOn w:val="1"/>
    <w:next w:val="1"/>
    <w:link w:val="124"/>
    <w:semiHidden/>
    <w:qFormat/>
    <w:uiPriority w:val="0"/>
    <w:pPr>
      <w:widowControl/>
      <w:spacing w:line="480" w:lineRule="exact"/>
      <w:ind w:firstLine="200" w:firstLineChars="200"/>
    </w:pPr>
    <w:rPr>
      <w:rFonts w:ascii="宋体" w:hAnsi="宋体" w:eastAsia="宋体" w:cs="宋体"/>
      <w:kern w:val="0"/>
      <w:sz w:val="24"/>
      <w:szCs w:val="24"/>
      <w14:ligatures w14:val="none"/>
    </w:rPr>
  </w:style>
  <w:style w:type="paragraph" w:styleId="25">
    <w:name w:val="Body Text 3"/>
    <w:basedOn w:val="1"/>
    <w:link w:val="125"/>
    <w:semiHidden/>
    <w:qFormat/>
    <w:uiPriority w:val="0"/>
    <w:pPr>
      <w:widowControl/>
      <w:spacing w:after="120" w:line="480" w:lineRule="exact"/>
      <w:ind w:firstLine="200" w:firstLineChars="200"/>
    </w:pPr>
    <w:rPr>
      <w:rFonts w:ascii="宋体" w:hAnsi="宋体" w:eastAsia="宋体" w:cs="宋体"/>
      <w:kern w:val="0"/>
      <w:sz w:val="16"/>
      <w:szCs w:val="16"/>
      <w14:ligatures w14:val="none"/>
    </w:rPr>
  </w:style>
  <w:style w:type="paragraph" w:styleId="26">
    <w:name w:val="Closing"/>
    <w:basedOn w:val="1"/>
    <w:link w:val="126"/>
    <w:semiHidden/>
    <w:qFormat/>
    <w:uiPriority w:val="0"/>
    <w:pPr>
      <w:widowControl/>
      <w:spacing w:line="480" w:lineRule="exact"/>
      <w:ind w:left="100" w:leftChars="2100" w:firstLine="200" w:firstLineChars="200"/>
    </w:pPr>
    <w:rPr>
      <w:rFonts w:ascii="宋体" w:hAnsi="宋体" w:eastAsia="宋体" w:cs="宋体"/>
      <w:kern w:val="0"/>
      <w:sz w:val="24"/>
      <w:szCs w:val="24"/>
      <w14:ligatures w14:val="none"/>
    </w:rPr>
  </w:style>
  <w:style w:type="paragraph" w:styleId="27">
    <w:name w:val="List Bullet 3"/>
    <w:basedOn w:val="1"/>
    <w:semiHidden/>
    <w:qFormat/>
    <w:uiPriority w:val="0"/>
    <w:pPr>
      <w:widowControl/>
      <w:numPr>
        <w:ilvl w:val="0"/>
        <w:numId w:val="6"/>
      </w:numPr>
      <w:tabs>
        <w:tab w:val="left" w:pos="360"/>
        <w:tab w:val="clear" w:pos="1200"/>
      </w:tabs>
      <w:spacing w:line="480" w:lineRule="exact"/>
      <w:ind w:left="0" w:firstLine="200" w:firstLineChars="200"/>
    </w:pPr>
    <w:rPr>
      <w:rFonts w:ascii="宋体" w:hAnsi="宋体" w:eastAsia="宋体" w:cs="宋体"/>
      <w:kern w:val="0"/>
      <w:sz w:val="24"/>
      <w:szCs w:val="24"/>
      <w14:ligatures w14:val="none"/>
    </w:rPr>
  </w:style>
  <w:style w:type="paragraph" w:styleId="28">
    <w:name w:val="Body Text"/>
    <w:basedOn w:val="1"/>
    <w:link w:val="127"/>
    <w:qFormat/>
    <w:uiPriority w:val="99"/>
    <w:pPr>
      <w:widowControl/>
      <w:spacing w:after="120" w:line="480" w:lineRule="exact"/>
      <w:ind w:firstLine="200" w:firstLineChars="200"/>
    </w:pPr>
    <w:rPr>
      <w:rFonts w:ascii="宋体" w:hAnsi="宋体" w:eastAsia="宋体" w:cs="宋体"/>
      <w:kern w:val="0"/>
      <w:sz w:val="24"/>
      <w:szCs w:val="24"/>
      <w14:ligatures w14:val="none"/>
    </w:rPr>
  </w:style>
  <w:style w:type="paragraph" w:styleId="29">
    <w:name w:val="Body Text Indent"/>
    <w:basedOn w:val="1"/>
    <w:link w:val="101"/>
    <w:unhideWhenUsed/>
    <w:qFormat/>
    <w:uiPriority w:val="99"/>
    <w:pPr>
      <w:spacing w:after="120"/>
      <w:ind w:left="420" w:leftChars="200"/>
    </w:pPr>
  </w:style>
  <w:style w:type="paragraph" w:styleId="30">
    <w:name w:val="List Number 3"/>
    <w:basedOn w:val="1"/>
    <w:semiHidden/>
    <w:qFormat/>
    <w:uiPriority w:val="0"/>
    <w:pPr>
      <w:widowControl/>
      <w:numPr>
        <w:ilvl w:val="0"/>
        <w:numId w:val="7"/>
      </w:numPr>
      <w:spacing w:line="480" w:lineRule="exact"/>
      <w:ind w:firstLine="200" w:firstLineChars="200"/>
    </w:pPr>
    <w:rPr>
      <w:rFonts w:ascii="宋体" w:hAnsi="宋体" w:eastAsia="宋体" w:cs="宋体"/>
      <w:kern w:val="0"/>
      <w:sz w:val="24"/>
      <w:szCs w:val="24"/>
      <w14:ligatures w14:val="none"/>
    </w:rPr>
  </w:style>
  <w:style w:type="paragraph" w:styleId="31">
    <w:name w:val="List 2"/>
    <w:basedOn w:val="1"/>
    <w:semiHidden/>
    <w:qFormat/>
    <w:uiPriority w:val="0"/>
    <w:pPr>
      <w:widowControl/>
      <w:spacing w:line="480" w:lineRule="exact"/>
      <w:ind w:left="100" w:leftChars="200" w:hanging="200" w:hangingChars="200"/>
    </w:pPr>
    <w:rPr>
      <w:rFonts w:ascii="宋体" w:hAnsi="宋体" w:eastAsia="宋体" w:cs="宋体"/>
      <w:kern w:val="0"/>
      <w:sz w:val="24"/>
      <w:szCs w:val="24"/>
      <w14:ligatures w14:val="none"/>
    </w:rPr>
  </w:style>
  <w:style w:type="paragraph" w:styleId="32">
    <w:name w:val="List Continue"/>
    <w:basedOn w:val="1"/>
    <w:semiHidden/>
    <w:qFormat/>
    <w:uiPriority w:val="0"/>
    <w:pPr>
      <w:widowControl/>
      <w:spacing w:after="120" w:line="480" w:lineRule="exact"/>
      <w:ind w:left="420" w:leftChars="200" w:firstLine="200" w:firstLineChars="200"/>
    </w:pPr>
    <w:rPr>
      <w:rFonts w:ascii="宋体" w:hAnsi="宋体" w:eastAsia="宋体" w:cs="宋体"/>
      <w:kern w:val="0"/>
      <w:sz w:val="24"/>
      <w:szCs w:val="24"/>
      <w14:ligatures w14:val="none"/>
    </w:rPr>
  </w:style>
  <w:style w:type="paragraph" w:styleId="33">
    <w:name w:val="Block Text"/>
    <w:basedOn w:val="1"/>
    <w:semiHidden/>
    <w:qFormat/>
    <w:uiPriority w:val="0"/>
    <w:pPr>
      <w:widowControl/>
      <w:spacing w:after="120" w:line="480" w:lineRule="exact"/>
      <w:ind w:left="1440" w:leftChars="700" w:right="1440" w:rightChars="700" w:firstLine="200" w:firstLineChars="200"/>
    </w:pPr>
    <w:rPr>
      <w:rFonts w:ascii="宋体" w:hAnsi="宋体" w:eastAsia="宋体" w:cs="宋体"/>
      <w:kern w:val="0"/>
      <w:sz w:val="24"/>
      <w:szCs w:val="24"/>
      <w14:ligatures w14:val="none"/>
    </w:rPr>
  </w:style>
  <w:style w:type="paragraph" w:styleId="34">
    <w:name w:val="List Bullet 2"/>
    <w:basedOn w:val="1"/>
    <w:semiHidden/>
    <w:qFormat/>
    <w:uiPriority w:val="0"/>
    <w:pPr>
      <w:widowControl/>
      <w:numPr>
        <w:ilvl w:val="0"/>
        <w:numId w:val="8"/>
      </w:numPr>
      <w:tabs>
        <w:tab w:val="left" w:pos="780"/>
      </w:tabs>
      <w:spacing w:line="480" w:lineRule="exact"/>
      <w:ind w:firstLine="200" w:firstLineChars="200"/>
    </w:pPr>
    <w:rPr>
      <w:rFonts w:ascii="宋体" w:hAnsi="宋体" w:eastAsia="宋体" w:cs="宋体"/>
      <w:kern w:val="0"/>
      <w:sz w:val="24"/>
      <w:szCs w:val="24"/>
      <w14:ligatures w14:val="none"/>
    </w:rPr>
  </w:style>
  <w:style w:type="paragraph" w:styleId="35">
    <w:name w:val="HTML Address"/>
    <w:basedOn w:val="1"/>
    <w:link w:val="128"/>
    <w:semiHidden/>
    <w:qFormat/>
    <w:uiPriority w:val="0"/>
    <w:pPr>
      <w:widowControl/>
      <w:spacing w:line="480" w:lineRule="exact"/>
      <w:ind w:firstLine="200" w:firstLineChars="200"/>
    </w:pPr>
    <w:rPr>
      <w:rFonts w:ascii="宋体" w:hAnsi="宋体" w:eastAsia="宋体" w:cs="宋体"/>
      <w:i/>
      <w:iCs/>
      <w:kern w:val="0"/>
      <w:sz w:val="24"/>
      <w:szCs w:val="24"/>
      <w14:ligatures w14:val="none"/>
    </w:rPr>
  </w:style>
  <w:style w:type="paragraph" w:styleId="36">
    <w:name w:val="toc 5"/>
    <w:basedOn w:val="1"/>
    <w:next w:val="1"/>
    <w:semiHidden/>
    <w:qFormat/>
    <w:uiPriority w:val="0"/>
    <w:pPr>
      <w:widowControl/>
      <w:spacing w:line="480" w:lineRule="exact"/>
      <w:ind w:left="720" w:firstLine="200" w:firstLineChars="200"/>
      <w:jc w:val="left"/>
    </w:pPr>
    <w:rPr>
      <w:rFonts w:ascii="宋体" w:hAnsi="宋体" w:eastAsia="宋体" w:cs="宋体"/>
      <w:kern w:val="0"/>
      <w:sz w:val="20"/>
      <w:szCs w:val="20"/>
      <w14:ligatures w14:val="none"/>
    </w:rPr>
  </w:style>
  <w:style w:type="paragraph" w:styleId="37">
    <w:name w:val="toc 3"/>
    <w:basedOn w:val="1"/>
    <w:next w:val="1"/>
    <w:unhideWhenUsed/>
    <w:qFormat/>
    <w:uiPriority w:val="39"/>
    <w:pPr>
      <w:ind w:left="840" w:leftChars="400"/>
    </w:pPr>
  </w:style>
  <w:style w:type="paragraph" w:styleId="38">
    <w:name w:val="Plain Text"/>
    <w:basedOn w:val="1"/>
    <w:link w:val="110"/>
    <w:unhideWhenUsed/>
    <w:qFormat/>
    <w:uiPriority w:val="99"/>
    <w:rPr>
      <w:rFonts w:hAnsi="Courier New" w:cs="Courier New" w:asciiTheme="minorEastAsia"/>
    </w:rPr>
  </w:style>
  <w:style w:type="paragraph" w:styleId="39">
    <w:name w:val="List Bullet 5"/>
    <w:basedOn w:val="1"/>
    <w:semiHidden/>
    <w:qFormat/>
    <w:uiPriority w:val="0"/>
    <w:pPr>
      <w:widowControl/>
      <w:numPr>
        <w:ilvl w:val="0"/>
        <w:numId w:val="9"/>
      </w:numPr>
      <w:spacing w:line="480" w:lineRule="exact"/>
      <w:ind w:firstLine="200" w:firstLineChars="200"/>
    </w:pPr>
    <w:rPr>
      <w:rFonts w:ascii="宋体" w:hAnsi="宋体" w:eastAsia="宋体" w:cs="宋体"/>
      <w:kern w:val="0"/>
      <w:sz w:val="24"/>
      <w:szCs w:val="24"/>
      <w14:ligatures w14:val="none"/>
    </w:rPr>
  </w:style>
  <w:style w:type="paragraph" w:styleId="40">
    <w:name w:val="List Number 4"/>
    <w:basedOn w:val="1"/>
    <w:semiHidden/>
    <w:qFormat/>
    <w:uiPriority w:val="0"/>
    <w:pPr>
      <w:widowControl/>
      <w:numPr>
        <w:ilvl w:val="0"/>
        <w:numId w:val="10"/>
      </w:numPr>
      <w:spacing w:line="480" w:lineRule="exact"/>
      <w:ind w:firstLine="200" w:firstLineChars="200"/>
    </w:pPr>
    <w:rPr>
      <w:rFonts w:ascii="宋体" w:hAnsi="宋体" w:eastAsia="宋体" w:cs="宋体"/>
      <w:kern w:val="0"/>
      <w:sz w:val="24"/>
      <w:szCs w:val="24"/>
      <w14:ligatures w14:val="none"/>
    </w:rPr>
  </w:style>
  <w:style w:type="paragraph" w:styleId="41">
    <w:name w:val="toc 8"/>
    <w:basedOn w:val="1"/>
    <w:next w:val="1"/>
    <w:semiHidden/>
    <w:qFormat/>
    <w:uiPriority w:val="0"/>
    <w:pPr>
      <w:widowControl/>
      <w:spacing w:line="480" w:lineRule="exact"/>
      <w:ind w:left="1440" w:firstLine="200" w:firstLineChars="200"/>
      <w:jc w:val="left"/>
    </w:pPr>
    <w:rPr>
      <w:rFonts w:ascii="宋体" w:hAnsi="宋体" w:eastAsia="宋体" w:cs="宋体"/>
      <w:kern w:val="0"/>
      <w:sz w:val="20"/>
      <w:szCs w:val="20"/>
      <w14:ligatures w14:val="none"/>
    </w:rPr>
  </w:style>
  <w:style w:type="paragraph" w:styleId="42">
    <w:name w:val="Date"/>
    <w:basedOn w:val="1"/>
    <w:next w:val="1"/>
    <w:link w:val="108"/>
    <w:semiHidden/>
    <w:unhideWhenUsed/>
    <w:qFormat/>
    <w:uiPriority w:val="0"/>
    <w:pPr>
      <w:ind w:left="100" w:leftChars="2500"/>
    </w:pPr>
  </w:style>
  <w:style w:type="paragraph" w:styleId="43">
    <w:name w:val="Body Text Indent 2"/>
    <w:basedOn w:val="1"/>
    <w:link w:val="129"/>
    <w:semiHidden/>
    <w:qFormat/>
    <w:uiPriority w:val="0"/>
    <w:pPr>
      <w:widowControl/>
      <w:spacing w:after="120" w:line="480" w:lineRule="auto"/>
      <w:ind w:left="420" w:leftChars="200" w:firstLine="200" w:firstLineChars="200"/>
    </w:pPr>
    <w:rPr>
      <w:rFonts w:ascii="宋体" w:hAnsi="宋体" w:eastAsia="宋体" w:cs="宋体"/>
      <w:kern w:val="0"/>
      <w:sz w:val="24"/>
      <w:szCs w:val="24"/>
      <w14:ligatures w14:val="none"/>
    </w:rPr>
  </w:style>
  <w:style w:type="paragraph" w:styleId="44">
    <w:name w:val="List Continue 5"/>
    <w:basedOn w:val="1"/>
    <w:semiHidden/>
    <w:qFormat/>
    <w:uiPriority w:val="0"/>
    <w:pPr>
      <w:widowControl/>
      <w:spacing w:after="120" w:line="480" w:lineRule="exact"/>
      <w:ind w:left="2100" w:leftChars="1000" w:firstLine="200" w:firstLineChars="200"/>
    </w:pPr>
    <w:rPr>
      <w:rFonts w:ascii="宋体" w:hAnsi="宋体" w:eastAsia="宋体" w:cs="宋体"/>
      <w:kern w:val="0"/>
      <w:sz w:val="24"/>
      <w:szCs w:val="24"/>
      <w14:ligatures w14:val="none"/>
    </w:rPr>
  </w:style>
  <w:style w:type="paragraph" w:styleId="45">
    <w:name w:val="Balloon Text"/>
    <w:basedOn w:val="1"/>
    <w:link w:val="130"/>
    <w:qFormat/>
    <w:uiPriority w:val="0"/>
    <w:pPr>
      <w:widowControl/>
      <w:ind w:firstLine="200" w:firstLineChars="200"/>
    </w:pPr>
    <w:rPr>
      <w:rFonts w:ascii="Times New Roman" w:hAnsi="宋体" w:eastAsia="宋体" w:cs="宋体"/>
      <w:kern w:val="0"/>
      <w:sz w:val="18"/>
      <w:szCs w:val="18"/>
      <w14:ligatures w14:val="none"/>
    </w:rPr>
  </w:style>
  <w:style w:type="paragraph" w:styleId="46">
    <w:name w:val="footer"/>
    <w:basedOn w:val="1"/>
    <w:link w:val="131"/>
    <w:qFormat/>
    <w:uiPriority w:val="99"/>
    <w:pPr>
      <w:widowControl/>
      <w:tabs>
        <w:tab w:val="center" w:pos="4153"/>
        <w:tab w:val="right" w:pos="8306"/>
      </w:tabs>
      <w:snapToGrid w:val="0"/>
      <w:spacing w:line="480" w:lineRule="exact"/>
      <w:ind w:firstLine="200" w:firstLineChars="200"/>
      <w:jc w:val="left"/>
    </w:pPr>
    <w:rPr>
      <w:rFonts w:ascii="Times New Roman" w:hAnsi="宋体" w:eastAsia="宋体" w:cs="宋体"/>
      <w:kern w:val="0"/>
      <w:sz w:val="18"/>
      <w:szCs w:val="18"/>
      <w14:ligatures w14:val="none"/>
    </w:rPr>
  </w:style>
  <w:style w:type="paragraph" w:styleId="47">
    <w:name w:val="envelope return"/>
    <w:basedOn w:val="1"/>
    <w:semiHidden/>
    <w:qFormat/>
    <w:uiPriority w:val="0"/>
    <w:pPr>
      <w:widowControl/>
      <w:snapToGrid w:val="0"/>
      <w:spacing w:line="480" w:lineRule="exact"/>
      <w:ind w:firstLine="200" w:firstLineChars="200"/>
    </w:pPr>
    <w:rPr>
      <w:rFonts w:ascii="Arial" w:hAnsi="Arial" w:eastAsia="宋体" w:cs="Arial"/>
      <w:kern w:val="0"/>
      <w:sz w:val="24"/>
      <w:szCs w:val="24"/>
      <w14:ligatures w14:val="none"/>
    </w:rPr>
  </w:style>
  <w:style w:type="paragraph" w:styleId="48">
    <w:name w:val="header"/>
    <w:basedOn w:val="1"/>
    <w:link w:val="132"/>
    <w:semiHidden/>
    <w:qFormat/>
    <w:uiPriority w:val="0"/>
    <w:pPr>
      <w:widowControl/>
      <w:pBdr>
        <w:bottom w:val="single" w:color="auto" w:sz="6" w:space="1"/>
      </w:pBdr>
      <w:tabs>
        <w:tab w:val="center" w:pos="4153"/>
        <w:tab w:val="right" w:pos="8306"/>
      </w:tabs>
      <w:snapToGrid w:val="0"/>
      <w:spacing w:line="480" w:lineRule="exact"/>
      <w:ind w:firstLine="200" w:firstLineChars="200"/>
      <w:jc w:val="center"/>
    </w:pPr>
    <w:rPr>
      <w:rFonts w:ascii="Times New Roman" w:hAnsi="宋体" w:eastAsia="宋体" w:cs="宋体"/>
      <w:kern w:val="0"/>
      <w:sz w:val="18"/>
      <w:szCs w:val="18"/>
      <w14:ligatures w14:val="none"/>
    </w:rPr>
  </w:style>
  <w:style w:type="paragraph" w:styleId="49">
    <w:name w:val="Signature"/>
    <w:basedOn w:val="1"/>
    <w:link w:val="133"/>
    <w:semiHidden/>
    <w:qFormat/>
    <w:uiPriority w:val="0"/>
    <w:pPr>
      <w:widowControl/>
      <w:spacing w:line="480" w:lineRule="exact"/>
      <w:ind w:left="100" w:leftChars="2100" w:firstLine="200" w:firstLineChars="200"/>
    </w:pPr>
    <w:rPr>
      <w:rFonts w:ascii="宋体" w:hAnsi="宋体" w:eastAsia="宋体" w:cs="宋体"/>
      <w:kern w:val="0"/>
      <w:sz w:val="24"/>
      <w:szCs w:val="24"/>
      <w14:ligatures w14:val="none"/>
    </w:rPr>
  </w:style>
  <w:style w:type="paragraph" w:styleId="50">
    <w:name w:val="toc 1"/>
    <w:basedOn w:val="1"/>
    <w:next w:val="1"/>
    <w:unhideWhenUsed/>
    <w:qFormat/>
    <w:uiPriority w:val="39"/>
  </w:style>
  <w:style w:type="paragraph" w:styleId="51">
    <w:name w:val="List Continue 4"/>
    <w:basedOn w:val="1"/>
    <w:semiHidden/>
    <w:qFormat/>
    <w:uiPriority w:val="0"/>
    <w:pPr>
      <w:widowControl/>
      <w:spacing w:after="120" w:line="480" w:lineRule="exact"/>
      <w:ind w:left="1680" w:leftChars="800" w:firstLine="200" w:firstLineChars="200"/>
    </w:pPr>
    <w:rPr>
      <w:rFonts w:ascii="宋体" w:hAnsi="宋体" w:eastAsia="宋体" w:cs="宋体"/>
      <w:kern w:val="0"/>
      <w:sz w:val="24"/>
      <w:szCs w:val="24"/>
      <w14:ligatures w14:val="none"/>
    </w:rPr>
  </w:style>
  <w:style w:type="paragraph" w:styleId="52">
    <w:name w:val="toc 4"/>
    <w:basedOn w:val="1"/>
    <w:next w:val="1"/>
    <w:semiHidden/>
    <w:qFormat/>
    <w:uiPriority w:val="0"/>
    <w:pPr>
      <w:widowControl/>
      <w:spacing w:line="480" w:lineRule="exact"/>
      <w:ind w:left="480" w:firstLine="200" w:firstLineChars="200"/>
      <w:jc w:val="left"/>
    </w:pPr>
    <w:rPr>
      <w:rFonts w:ascii="宋体" w:hAnsi="宋体" w:eastAsia="宋体" w:cs="宋体"/>
      <w:kern w:val="0"/>
      <w:sz w:val="20"/>
      <w:szCs w:val="20"/>
      <w14:ligatures w14:val="none"/>
    </w:rPr>
  </w:style>
  <w:style w:type="paragraph" w:styleId="53">
    <w:name w:val="Subtitle"/>
    <w:basedOn w:val="1"/>
    <w:link w:val="134"/>
    <w:qFormat/>
    <w:uiPriority w:val="0"/>
    <w:pPr>
      <w:widowControl/>
      <w:spacing w:before="240" w:after="60" w:line="312" w:lineRule="auto"/>
      <w:ind w:firstLine="200" w:firstLineChars="200"/>
      <w:jc w:val="center"/>
      <w:outlineLvl w:val="1"/>
    </w:pPr>
    <w:rPr>
      <w:rFonts w:ascii="Arial" w:hAnsi="Arial" w:eastAsia="宋体" w:cs="Arial"/>
      <w:b/>
      <w:bCs/>
      <w:kern w:val="28"/>
      <w:sz w:val="32"/>
      <w:szCs w:val="32"/>
      <w14:ligatures w14:val="none"/>
    </w:rPr>
  </w:style>
  <w:style w:type="paragraph" w:styleId="54">
    <w:name w:val="List Number 5"/>
    <w:basedOn w:val="1"/>
    <w:semiHidden/>
    <w:qFormat/>
    <w:uiPriority w:val="0"/>
    <w:pPr>
      <w:widowControl/>
      <w:numPr>
        <w:ilvl w:val="0"/>
        <w:numId w:val="11"/>
      </w:numPr>
      <w:spacing w:line="480" w:lineRule="exact"/>
      <w:ind w:firstLine="200" w:firstLineChars="200"/>
    </w:pPr>
    <w:rPr>
      <w:rFonts w:ascii="宋体" w:hAnsi="宋体" w:eastAsia="宋体" w:cs="宋体"/>
      <w:kern w:val="0"/>
      <w:sz w:val="24"/>
      <w:szCs w:val="24"/>
      <w14:ligatures w14:val="none"/>
    </w:rPr>
  </w:style>
  <w:style w:type="paragraph" w:styleId="55">
    <w:name w:val="List"/>
    <w:basedOn w:val="1"/>
    <w:qFormat/>
    <w:uiPriority w:val="99"/>
    <w:pPr>
      <w:widowControl/>
      <w:autoSpaceDE w:val="0"/>
      <w:autoSpaceDN w:val="0"/>
      <w:adjustRightInd w:val="0"/>
      <w:snapToGrid w:val="0"/>
      <w:spacing w:line="480" w:lineRule="exact"/>
      <w:ind w:firstLine="200" w:firstLineChars="200"/>
      <w:jc w:val="center"/>
    </w:pPr>
    <w:rPr>
      <w:rFonts w:ascii="宋体" w:hAnsi="宋体" w:eastAsia="宋体" w:cs="宋体"/>
      <w:kern w:val="32"/>
      <w:sz w:val="24"/>
      <w:szCs w:val="20"/>
      <w14:ligatures w14:val="none"/>
    </w:rPr>
  </w:style>
  <w:style w:type="paragraph" w:styleId="56">
    <w:name w:val="toc 6"/>
    <w:basedOn w:val="1"/>
    <w:next w:val="1"/>
    <w:semiHidden/>
    <w:qFormat/>
    <w:uiPriority w:val="0"/>
    <w:pPr>
      <w:widowControl/>
      <w:spacing w:line="480" w:lineRule="exact"/>
      <w:ind w:left="960" w:firstLine="200" w:firstLineChars="200"/>
      <w:jc w:val="left"/>
    </w:pPr>
    <w:rPr>
      <w:rFonts w:ascii="宋体" w:hAnsi="宋体" w:eastAsia="宋体" w:cs="宋体"/>
      <w:kern w:val="0"/>
      <w:sz w:val="20"/>
      <w:szCs w:val="20"/>
      <w14:ligatures w14:val="none"/>
    </w:rPr>
  </w:style>
  <w:style w:type="paragraph" w:styleId="57">
    <w:name w:val="List 5"/>
    <w:basedOn w:val="1"/>
    <w:semiHidden/>
    <w:qFormat/>
    <w:uiPriority w:val="0"/>
    <w:pPr>
      <w:widowControl/>
      <w:spacing w:line="480" w:lineRule="exact"/>
      <w:ind w:left="100" w:leftChars="800" w:hanging="200" w:hangingChars="200"/>
    </w:pPr>
    <w:rPr>
      <w:rFonts w:ascii="宋体" w:hAnsi="宋体" w:eastAsia="宋体" w:cs="宋体"/>
      <w:kern w:val="0"/>
      <w:sz w:val="24"/>
      <w:szCs w:val="24"/>
      <w14:ligatures w14:val="none"/>
    </w:rPr>
  </w:style>
  <w:style w:type="paragraph" w:styleId="58">
    <w:name w:val="Body Text Indent 3"/>
    <w:basedOn w:val="1"/>
    <w:link w:val="135"/>
    <w:semiHidden/>
    <w:qFormat/>
    <w:uiPriority w:val="0"/>
    <w:pPr>
      <w:widowControl/>
      <w:spacing w:after="120" w:line="480" w:lineRule="exact"/>
      <w:ind w:left="420" w:leftChars="200" w:firstLine="200" w:firstLineChars="200"/>
    </w:pPr>
    <w:rPr>
      <w:rFonts w:ascii="宋体" w:hAnsi="宋体" w:eastAsia="宋体" w:cs="宋体"/>
      <w:kern w:val="0"/>
      <w:sz w:val="16"/>
      <w:szCs w:val="16"/>
      <w14:ligatures w14:val="none"/>
    </w:rPr>
  </w:style>
  <w:style w:type="paragraph" w:styleId="59">
    <w:name w:val="toc 2"/>
    <w:basedOn w:val="1"/>
    <w:next w:val="1"/>
    <w:unhideWhenUsed/>
    <w:qFormat/>
    <w:uiPriority w:val="39"/>
    <w:pPr>
      <w:ind w:left="420" w:leftChars="200"/>
    </w:pPr>
  </w:style>
  <w:style w:type="paragraph" w:styleId="60">
    <w:name w:val="toc 9"/>
    <w:basedOn w:val="1"/>
    <w:next w:val="1"/>
    <w:semiHidden/>
    <w:qFormat/>
    <w:uiPriority w:val="0"/>
    <w:pPr>
      <w:widowControl/>
      <w:spacing w:line="480" w:lineRule="exact"/>
      <w:ind w:left="1680" w:firstLine="200" w:firstLineChars="200"/>
      <w:jc w:val="left"/>
    </w:pPr>
    <w:rPr>
      <w:rFonts w:ascii="宋体" w:hAnsi="宋体" w:eastAsia="宋体" w:cs="宋体"/>
      <w:kern w:val="0"/>
      <w:sz w:val="20"/>
      <w:szCs w:val="20"/>
      <w14:ligatures w14:val="none"/>
    </w:rPr>
  </w:style>
  <w:style w:type="paragraph" w:styleId="61">
    <w:name w:val="Body Text 2"/>
    <w:basedOn w:val="1"/>
    <w:link w:val="136"/>
    <w:semiHidden/>
    <w:qFormat/>
    <w:uiPriority w:val="0"/>
    <w:pPr>
      <w:widowControl/>
      <w:spacing w:after="120" w:line="480" w:lineRule="auto"/>
      <w:ind w:firstLine="200" w:firstLineChars="200"/>
    </w:pPr>
    <w:rPr>
      <w:rFonts w:ascii="宋体" w:hAnsi="宋体" w:eastAsia="宋体" w:cs="宋体"/>
      <w:kern w:val="0"/>
      <w:sz w:val="24"/>
      <w:szCs w:val="24"/>
      <w14:ligatures w14:val="none"/>
    </w:rPr>
  </w:style>
  <w:style w:type="paragraph" w:styleId="62">
    <w:name w:val="List 4"/>
    <w:basedOn w:val="1"/>
    <w:semiHidden/>
    <w:qFormat/>
    <w:uiPriority w:val="0"/>
    <w:pPr>
      <w:widowControl/>
      <w:spacing w:line="480" w:lineRule="exact"/>
      <w:ind w:left="100" w:leftChars="600" w:hanging="200" w:hangingChars="200"/>
    </w:pPr>
    <w:rPr>
      <w:rFonts w:ascii="宋体" w:hAnsi="宋体" w:eastAsia="宋体" w:cs="宋体"/>
      <w:kern w:val="0"/>
      <w:sz w:val="24"/>
      <w:szCs w:val="24"/>
      <w14:ligatures w14:val="none"/>
    </w:rPr>
  </w:style>
  <w:style w:type="paragraph" w:styleId="63">
    <w:name w:val="List Continue 2"/>
    <w:basedOn w:val="1"/>
    <w:semiHidden/>
    <w:qFormat/>
    <w:uiPriority w:val="0"/>
    <w:pPr>
      <w:widowControl/>
      <w:spacing w:after="120" w:line="480" w:lineRule="exact"/>
      <w:ind w:left="840" w:leftChars="400" w:firstLine="200" w:firstLineChars="200"/>
    </w:pPr>
    <w:rPr>
      <w:rFonts w:ascii="宋体" w:hAnsi="宋体" w:eastAsia="宋体" w:cs="宋体"/>
      <w:kern w:val="0"/>
      <w:sz w:val="24"/>
      <w:szCs w:val="24"/>
      <w14:ligatures w14:val="none"/>
    </w:rPr>
  </w:style>
  <w:style w:type="paragraph" w:styleId="64">
    <w:name w:val="Message Header"/>
    <w:basedOn w:val="1"/>
    <w:link w:val="137"/>
    <w:semiHidden/>
    <w:qFormat/>
    <w:uiPriority w:val="0"/>
    <w:pPr>
      <w:widowControl/>
      <w:pBdr>
        <w:top w:val="single" w:color="auto" w:sz="6" w:space="1"/>
        <w:left w:val="single" w:color="auto" w:sz="6" w:space="1"/>
        <w:bottom w:val="single" w:color="auto" w:sz="6" w:space="1"/>
        <w:right w:val="single" w:color="auto" w:sz="6" w:space="1"/>
      </w:pBdr>
      <w:shd w:val="pct20" w:color="auto" w:fill="auto"/>
      <w:spacing w:line="480" w:lineRule="exact"/>
      <w:ind w:left="1080" w:leftChars="500" w:hanging="1080" w:hangingChars="500"/>
    </w:pPr>
    <w:rPr>
      <w:rFonts w:ascii="Arial" w:hAnsi="Arial" w:eastAsia="宋体" w:cs="Arial"/>
      <w:kern w:val="0"/>
      <w:sz w:val="24"/>
      <w:szCs w:val="24"/>
      <w14:ligatures w14:val="none"/>
    </w:rPr>
  </w:style>
  <w:style w:type="paragraph" w:styleId="65">
    <w:name w:val="HTML Preformatted"/>
    <w:basedOn w:val="1"/>
    <w:link w:val="138"/>
    <w:semiHidden/>
    <w:qFormat/>
    <w:uiPriority w:val="0"/>
    <w:pPr>
      <w:widowControl/>
      <w:spacing w:line="480" w:lineRule="exact"/>
      <w:ind w:firstLine="200" w:firstLineChars="200"/>
    </w:pPr>
    <w:rPr>
      <w:rFonts w:ascii="Courier New" w:hAnsi="Courier New" w:eastAsia="宋体" w:cs="Courier New"/>
      <w:kern w:val="0"/>
      <w:sz w:val="20"/>
      <w:szCs w:val="20"/>
      <w14:ligatures w14:val="none"/>
    </w:rPr>
  </w:style>
  <w:style w:type="paragraph" w:styleId="66">
    <w:name w:val="Normal (Web)"/>
    <w:basedOn w:val="1"/>
    <w:link w:val="184"/>
    <w:qFormat/>
    <w:uiPriority w:val="0"/>
    <w:pPr>
      <w:widowControl/>
      <w:spacing w:before="100" w:beforeAutospacing="1" w:after="100" w:afterAutospacing="1" w:line="480" w:lineRule="exact"/>
      <w:ind w:firstLine="200" w:firstLineChars="200"/>
      <w:jc w:val="left"/>
    </w:pPr>
    <w:rPr>
      <w:rFonts w:ascii="ˎ̥" w:hAnsi="ˎ̥" w:eastAsia="宋体" w:cs="宋体"/>
      <w:kern w:val="0"/>
      <w:sz w:val="18"/>
      <w:szCs w:val="18"/>
      <w14:ligatures w14:val="none"/>
    </w:rPr>
  </w:style>
  <w:style w:type="paragraph" w:styleId="67">
    <w:name w:val="List Continue 3"/>
    <w:basedOn w:val="1"/>
    <w:semiHidden/>
    <w:qFormat/>
    <w:uiPriority w:val="0"/>
    <w:pPr>
      <w:widowControl/>
      <w:spacing w:after="120" w:line="480" w:lineRule="exact"/>
      <w:ind w:left="1260" w:leftChars="600" w:firstLine="200" w:firstLineChars="200"/>
    </w:pPr>
    <w:rPr>
      <w:rFonts w:ascii="宋体" w:hAnsi="宋体" w:eastAsia="宋体" w:cs="宋体"/>
      <w:kern w:val="0"/>
      <w:sz w:val="24"/>
      <w:szCs w:val="24"/>
      <w14:ligatures w14:val="none"/>
    </w:rPr>
  </w:style>
  <w:style w:type="paragraph" w:styleId="68">
    <w:name w:val="Title"/>
    <w:basedOn w:val="1"/>
    <w:link w:val="139"/>
    <w:qFormat/>
    <w:uiPriority w:val="0"/>
    <w:pPr>
      <w:widowControl/>
      <w:numPr>
        <w:ilvl w:val="0"/>
        <w:numId w:val="12"/>
      </w:numPr>
      <w:spacing w:before="240" w:after="120"/>
      <w:jc w:val="center"/>
      <w:outlineLvl w:val="0"/>
    </w:pPr>
    <w:rPr>
      <w:rFonts w:ascii="Arial" w:hAnsi="Arial" w:eastAsia="隶书" w:cs="Arial"/>
      <w:b/>
      <w:bCs/>
      <w:kern w:val="0"/>
      <w:sz w:val="44"/>
      <w:szCs w:val="32"/>
      <w14:ligatures w14:val="none"/>
    </w:rPr>
  </w:style>
  <w:style w:type="paragraph" w:styleId="69">
    <w:name w:val="annotation subject"/>
    <w:basedOn w:val="23"/>
    <w:next w:val="23"/>
    <w:link w:val="140"/>
    <w:semiHidden/>
    <w:qFormat/>
    <w:uiPriority w:val="0"/>
    <w:rPr>
      <w:b/>
      <w:bCs/>
    </w:rPr>
  </w:style>
  <w:style w:type="paragraph" w:styleId="70">
    <w:name w:val="Body Text First Indent"/>
    <w:basedOn w:val="28"/>
    <w:link w:val="141"/>
    <w:semiHidden/>
    <w:qFormat/>
    <w:uiPriority w:val="0"/>
    <w:pPr>
      <w:ind w:firstLine="420" w:firstLineChars="100"/>
    </w:pPr>
  </w:style>
  <w:style w:type="paragraph" w:styleId="71">
    <w:name w:val="Body Text First Indent 2"/>
    <w:basedOn w:val="29"/>
    <w:link w:val="142"/>
    <w:semiHidden/>
    <w:qFormat/>
    <w:uiPriority w:val="0"/>
    <w:pPr>
      <w:widowControl/>
      <w:spacing w:line="480" w:lineRule="exact"/>
      <w:ind w:firstLine="420" w:firstLineChars="200"/>
    </w:pPr>
    <w:rPr>
      <w:rFonts w:ascii="Times New Roman" w:hAnsi="Times New Roman" w:eastAsia="宋体" w:cs="宋体"/>
      <w:kern w:val="0"/>
      <w:szCs w:val="24"/>
      <w14:ligatures w14:val="none"/>
    </w:rPr>
  </w:style>
  <w:style w:type="table" w:styleId="73">
    <w:name w:val="Table Grid"/>
    <w:basedOn w:val="72"/>
    <w:qFormat/>
    <w:uiPriority w:val="99"/>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tcPr>
      <w:vAlign w:val="center"/>
    </w:tcPr>
  </w:style>
  <w:style w:type="table" w:styleId="74">
    <w:name w:val="Table Theme"/>
    <w:basedOn w:val="72"/>
    <w:qFormat/>
    <w:uiPriority w:val="0"/>
    <w:pPr>
      <w:widowControl w:val="0"/>
      <w:spacing w:line="480" w:lineRule="exact"/>
      <w:ind w:firstLine="200" w:firstLineChars="20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75">
    <w:name w:val="Table Elegant"/>
    <w:basedOn w:val="72"/>
    <w:qFormat/>
    <w:uiPriority w:val="99"/>
    <w:pPr>
      <w:widowControl w:val="0"/>
      <w:spacing w:line="500" w:lineRule="exact"/>
      <w:ind w:firstLine="200" w:firstLineChars="200"/>
      <w:jc w:val="both"/>
    </w:pPr>
    <w:rPr>
      <w:rFonts w:ascii="Times New Roman" w:hAnsi="Times New Roman" w:eastAsia="宋体" w:cs="Times New Roman"/>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il"/>
          <w:tr2bl w:val="nil"/>
        </w:tcBorders>
      </w:tcPr>
    </w:tblStylePr>
  </w:style>
  <w:style w:type="character" w:styleId="77">
    <w:name w:val="Strong"/>
    <w:qFormat/>
    <w:uiPriority w:val="0"/>
    <w:rPr>
      <w:b/>
      <w:bCs/>
    </w:rPr>
  </w:style>
  <w:style w:type="character" w:styleId="78">
    <w:name w:val="page number"/>
    <w:basedOn w:val="76"/>
    <w:semiHidden/>
    <w:qFormat/>
    <w:uiPriority w:val="0"/>
  </w:style>
  <w:style w:type="character" w:styleId="79">
    <w:name w:val="FollowedHyperlink"/>
    <w:semiHidden/>
    <w:qFormat/>
    <w:uiPriority w:val="99"/>
    <w:rPr>
      <w:color w:val="800080"/>
      <w:u w:val="single"/>
    </w:rPr>
  </w:style>
  <w:style w:type="character" w:styleId="80">
    <w:name w:val="Emphasis"/>
    <w:qFormat/>
    <w:uiPriority w:val="0"/>
    <w:rPr>
      <w:i/>
      <w:iCs/>
    </w:rPr>
  </w:style>
  <w:style w:type="character" w:styleId="81">
    <w:name w:val="line number"/>
    <w:basedOn w:val="76"/>
    <w:semiHidden/>
    <w:qFormat/>
    <w:uiPriority w:val="0"/>
  </w:style>
  <w:style w:type="character" w:styleId="82">
    <w:name w:val="HTML Definition"/>
    <w:semiHidden/>
    <w:qFormat/>
    <w:uiPriority w:val="0"/>
    <w:rPr>
      <w:i/>
      <w:iCs/>
    </w:rPr>
  </w:style>
  <w:style w:type="character" w:styleId="83">
    <w:name w:val="HTML Typewriter"/>
    <w:semiHidden/>
    <w:qFormat/>
    <w:uiPriority w:val="0"/>
    <w:rPr>
      <w:rFonts w:ascii="Courier New" w:hAnsi="Courier New" w:cs="Courier New"/>
      <w:sz w:val="20"/>
      <w:szCs w:val="20"/>
    </w:rPr>
  </w:style>
  <w:style w:type="character" w:styleId="84">
    <w:name w:val="HTML Acronym"/>
    <w:basedOn w:val="76"/>
    <w:semiHidden/>
    <w:qFormat/>
    <w:uiPriority w:val="0"/>
  </w:style>
  <w:style w:type="character" w:styleId="85">
    <w:name w:val="HTML Variable"/>
    <w:semiHidden/>
    <w:qFormat/>
    <w:uiPriority w:val="0"/>
    <w:rPr>
      <w:i/>
      <w:iCs/>
    </w:rPr>
  </w:style>
  <w:style w:type="character" w:styleId="86">
    <w:name w:val="Hyperlink"/>
    <w:basedOn w:val="76"/>
    <w:unhideWhenUsed/>
    <w:qFormat/>
    <w:uiPriority w:val="99"/>
    <w:rPr>
      <w:color w:val="0563C1" w:themeColor="hyperlink"/>
      <w:u w:val="single"/>
      <w14:textFill>
        <w14:solidFill>
          <w14:schemeClr w14:val="hlink"/>
        </w14:solidFill>
      </w14:textFill>
    </w:rPr>
  </w:style>
  <w:style w:type="character" w:styleId="87">
    <w:name w:val="HTML Code"/>
    <w:semiHidden/>
    <w:qFormat/>
    <w:uiPriority w:val="0"/>
    <w:rPr>
      <w:rFonts w:ascii="Courier New" w:hAnsi="Courier New" w:cs="Courier New"/>
      <w:sz w:val="20"/>
      <w:szCs w:val="20"/>
    </w:rPr>
  </w:style>
  <w:style w:type="character" w:styleId="88">
    <w:name w:val="annotation reference"/>
    <w:qFormat/>
    <w:uiPriority w:val="0"/>
    <w:rPr>
      <w:sz w:val="21"/>
      <w:szCs w:val="21"/>
    </w:rPr>
  </w:style>
  <w:style w:type="character" w:styleId="89">
    <w:name w:val="HTML Cite"/>
    <w:semiHidden/>
    <w:qFormat/>
    <w:uiPriority w:val="0"/>
    <w:rPr>
      <w:i/>
      <w:iCs/>
    </w:rPr>
  </w:style>
  <w:style w:type="character" w:styleId="90">
    <w:name w:val="HTML Keyboard"/>
    <w:semiHidden/>
    <w:qFormat/>
    <w:uiPriority w:val="0"/>
    <w:rPr>
      <w:rFonts w:ascii="Courier New" w:hAnsi="Courier New" w:cs="Courier New"/>
      <w:sz w:val="20"/>
      <w:szCs w:val="20"/>
    </w:rPr>
  </w:style>
  <w:style w:type="character" w:styleId="91">
    <w:name w:val="HTML Sample"/>
    <w:semiHidden/>
    <w:qFormat/>
    <w:uiPriority w:val="0"/>
    <w:rPr>
      <w:rFonts w:ascii="Courier New" w:hAnsi="Courier New" w:cs="Courier New"/>
    </w:rPr>
  </w:style>
  <w:style w:type="character" w:customStyle="1" w:styleId="92">
    <w:name w:val="font01"/>
    <w:basedOn w:val="76"/>
    <w:qFormat/>
    <w:uiPriority w:val="0"/>
    <w:rPr>
      <w:rFonts w:hint="eastAsia" w:ascii="宋体" w:hAnsi="宋体" w:eastAsia="宋体"/>
      <w:b/>
      <w:bCs/>
      <w:color w:val="000000"/>
      <w:sz w:val="21"/>
      <w:szCs w:val="21"/>
      <w:u w:val="none"/>
    </w:rPr>
  </w:style>
  <w:style w:type="character" w:customStyle="1" w:styleId="93">
    <w:name w:val="font31"/>
    <w:basedOn w:val="76"/>
    <w:qFormat/>
    <w:uiPriority w:val="0"/>
    <w:rPr>
      <w:rFonts w:hint="default" w:ascii="Times New Roman" w:hAnsi="Times New Roman" w:cs="Times New Roman"/>
      <w:b/>
      <w:bCs/>
      <w:color w:val="000000"/>
      <w:sz w:val="21"/>
      <w:szCs w:val="21"/>
      <w:u w:val="none"/>
    </w:rPr>
  </w:style>
  <w:style w:type="paragraph" w:customStyle="1" w:styleId="94">
    <w:name w:val="张表格"/>
    <w:basedOn w:val="1"/>
    <w:link w:val="95"/>
    <w:qFormat/>
    <w:uiPriority w:val="0"/>
    <w:pPr>
      <w:widowControl/>
      <w:spacing w:line="240" w:lineRule="atLeast"/>
      <w:jc w:val="center"/>
    </w:pPr>
    <w:rPr>
      <w:rFonts w:ascii="宋体" w:hAnsi="宋体" w:eastAsia="宋体" w:cs="宋体"/>
      <w:bCs/>
      <w:color w:val="000000"/>
      <w:kern w:val="0"/>
      <w:szCs w:val="21"/>
      <w14:ligatures w14:val="none"/>
    </w:rPr>
  </w:style>
  <w:style w:type="character" w:customStyle="1" w:styleId="95">
    <w:name w:val="张表格 字符"/>
    <w:basedOn w:val="76"/>
    <w:link w:val="94"/>
    <w:qFormat/>
    <w:uiPriority w:val="0"/>
    <w:rPr>
      <w:rFonts w:ascii="宋体" w:hAnsi="宋体" w:eastAsia="宋体" w:cs="宋体"/>
      <w:bCs/>
      <w:color w:val="000000"/>
      <w:kern w:val="0"/>
      <w:szCs w:val="21"/>
      <w14:ligatures w14:val="none"/>
    </w:rPr>
  </w:style>
  <w:style w:type="paragraph" w:customStyle="1" w:styleId="96">
    <w:name w:val="表格正文"/>
    <w:basedOn w:val="1"/>
    <w:link w:val="97"/>
    <w:qFormat/>
    <w:uiPriority w:val="0"/>
    <w:pPr>
      <w:adjustRightInd w:val="0"/>
      <w:snapToGrid w:val="0"/>
      <w:spacing w:line="480" w:lineRule="exact"/>
      <w:ind w:firstLine="200" w:firstLineChars="200"/>
    </w:pPr>
    <w:rPr>
      <w:rFonts w:ascii="宋体" w:hAnsi="宋体" w:eastAsia="宋体"/>
      <w:kern w:val="0"/>
      <w:sz w:val="24"/>
    </w:rPr>
  </w:style>
  <w:style w:type="character" w:customStyle="1" w:styleId="97">
    <w:name w:val="表格正文 字符"/>
    <w:basedOn w:val="76"/>
    <w:link w:val="96"/>
    <w:qFormat/>
    <w:uiPriority w:val="0"/>
    <w:rPr>
      <w:rFonts w:ascii="宋体" w:hAnsi="宋体" w:eastAsia="宋体"/>
      <w:kern w:val="0"/>
      <w:sz w:val="24"/>
    </w:rPr>
  </w:style>
  <w:style w:type="character" w:customStyle="1" w:styleId="98">
    <w:name w:val="font11"/>
    <w:basedOn w:val="76"/>
    <w:qFormat/>
    <w:uiPriority w:val="0"/>
    <w:rPr>
      <w:rFonts w:hint="eastAsia" w:ascii="宋体" w:hAnsi="宋体" w:eastAsia="宋体"/>
      <w:color w:val="000000"/>
      <w:sz w:val="21"/>
      <w:szCs w:val="21"/>
      <w:u w:val="none"/>
    </w:rPr>
  </w:style>
  <w:style w:type="character" w:customStyle="1" w:styleId="99">
    <w:name w:val="font21"/>
    <w:basedOn w:val="76"/>
    <w:qFormat/>
    <w:uiPriority w:val="0"/>
    <w:rPr>
      <w:rFonts w:hint="eastAsia" w:ascii="宋体" w:hAnsi="宋体" w:eastAsia="宋体"/>
      <w:color w:val="000000"/>
      <w:sz w:val="21"/>
      <w:szCs w:val="21"/>
      <w:u w:val="none"/>
    </w:rPr>
  </w:style>
  <w:style w:type="paragraph" w:customStyle="1" w:styleId="100">
    <w:name w:val="0正文"/>
    <w:basedOn w:val="29"/>
    <w:link w:val="229"/>
    <w:qFormat/>
    <w:uiPriority w:val="0"/>
    <w:pPr>
      <w:spacing w:before="100" w:beforeAutospacing="1" w:after="0" w:line="300" w:lineRule="auto"/>
      <w:ind w:left="0" w:leftChars="0" w:firstLine="480"/>
    </w:pPr>
    <w:rPr>
      <w:rFonts w:ascii="Times New Roman" w:hAnsi="Times New Roman" w:eastAsia="宋体" w:cs="宋体"/>
      <w:kern w:val="0"/>
      <w:szCs w:val="21"/>
      <w14:ligatures w14:val="none"/>
    </w:rPr>
  </w:style>
  <w:style w:type="character" w:customStyle="1" w:styleId="101">
    <w:name w:val="正文文本缩进 字符"/>
    <w:basedOn w:val="76"/>
    <w:link w:val="29"/>
    <w:qFormat/>
    <w:uiPriority w:val="99"/>
  </w:style>
  <w:style w:type="paragraph" w:styleId="102">
    <w:name w:val="List Paragraph"/>
    <w:basedOn w:val="1"/>
    <w:qFormat/>
    <w:uiPriority w:val="34"/>
    <w:pPr>
      <w:ind w:firstLine="420" w:firstLineChars="200"/>
    </w:pPr>
  </w:style>
  <w:style w:type="character" w:customStyle="1" w:styleId="103">
    <w:name w:val="标题 1 字符"/>
    <w:basedOn w:val="76"/>
    <w:link w:val="2"/>
    <w:qFormat/>
    <w:uiPriority w:val="9"/>
    <w:rPr>
      <w:rFonts w:eastAsia="黑体"/>
      <w:b/>
      <w:bCs/>
      <w:kern w:val="44"/>
      <w:sz w:val="36"/>
      <w:szCs w:val="44"/>
    </w:rPr>
  </w:style>
  <w:style w:type="character" w:customStyle="1" w:styleId="104">
    <w:name w:val="标题 2 字符"/>
    <w:basedOn w:val="76"/>
    <w:link w:val="3"/>
    <w:qFormat/>
    <w:uiPriority w:val="99"/>
    <w:rPr>
      <w:rFonts w:eastAsia="宋体" w:asciiTheme="majorHAnsi" w:hAnsiTheme="majorHAnsi" w:cstheme="majorBidi"/>
      <w:b/>
      <w:bCs/>
      <w:sz w:val="28"/>
      <w:szCs w:val="32"/>
    </w:rPr>
  </w:style>
  <w:style w:type="character" w:customStyle="1" w:styleId="105">
    <w:name w:val="标题 3 字符"/>
    <w:basedOn w:val="76"/>
    <w:link w:val="4"/>
    <w:qFormat/>
    <w:uiPriority w:val="9"/>
    <w:rPr>
      <w:rFonts w:eastAsia="宋体"/>
      <w:b/>
      <w:bCs/>
      <w:sz w:val="24"/>
      <w:szCs w:val="32"/>
    </w:rPr>
  </w:style>
  <w:style w:type="character" w:customStyle="1" w:styleId="106">
    <w:name w:val="标题 4 字符"/>
    <w:basedOn w:val="76"/>
    <w:link w:val="5"/>
    <w:qFormat/>
    <w:uiPriority w:val="99"/>
    <w:rPr>
      <w:rFonts w:ascii="宋体" w:hAnsi="宋体" w:eastAsia="宋体" w:cstheme="majorBidi"/>
      <w:b/>
      <w:bCs/>
      <w:sz w:val="24"/>
      <w:szCs w:val="28"/>
    </w:rPr>
  </w:style>
  <w:style w:type="character" w:customStyle="1" w:styleId="107">
    <w:name w:val="标题 5 字符"/>
    <w:basedOn w:val="76"/>
    <w:link w:val="6"/>
    <w:qFormat/>
    <w:uiPriority w:val="99"/>
    <w:rPr>
      <w:b/>
      <w:bCs/>
      <w:sz w:val="28"/>
      <w:szCs w:val="28"/>
    </w:rPr>
  </w:style>
  <w:style w:type="character" w:customStyle="1" w:styleId="108">
    <w:name w:val="日期 字符"/>
    <w:basedOn w:val="76"/>
    <w:link w:val="42"/>
    <w:semiHidden/>
    <w:qFormat/>
    <w:uiPriority w:val="99"/>
  </w:style>
  <w:style w:type="paragraph" w:customStyle="1" w:styleId="109">
    <w:name w:val="表内容"/>
    <w:basedOn w:val="38"/>
    <w:link w:val="261"/>
    <w:qFormat/>
    <w:uiPriority w:val="0"/>
    <w:pPr>
      <w:adjustRightInd w:val="0"/>
      <w:jc w:val="center"/>
    </w:pPr>
    <w:rPr>
      <w:rFonts w:ascii="Times New Roman" w:hAnsi="Times New Roman" w:eastAsia="宋体" w:cs="Times New Roman"/>
      <w:szCs w:val="24"/>
      <w14:ligatures w14:val="none"/>
    </w:rPr>
  </w:style>
  <w:style w:type="character" w:customStyle="1" w:styleId="110">
    <w:name w:val="纯文本 字符"/>
    <w:basedOn w:val="76"/>
    <w:link w:val="38"/>
    <w:qFormat/>
    <w:uiPriority w:val="99"/>
    <w:rPr>
      <w:rFonts w:hAnsi="Courier New" w:cs="Courier New" w:asciiTheme="minorEastAsia"/>
    </w:rPr>
  </w:style>
  <w:style w:type="paragraph" w:customStyle="1" w:styleId="111">
    <w:name w:val="TOC 标题1"/>
    <w:basedOn w:val="2"/>
    <w:next w:val="1"/>
    <w:unhideWhenUsed/>
    <w:qFormat/>
    <w:uiPriority w:val="39"/>
    <w:pPr>
      <w:widowControl/>
      <w:numPr>
        <w:numId w:val="0"/>
      </w:numPr>
      <w:spacing w:before="240" w:line="259" w:lineRule="auto"/>
      <w:jc w:val="left"/>
      <w:outlineLvl w:val="9"/>
    </w:pPr>
    <w:rPr>
      <w:rFonts w:asciiTheme="majorHAnsi" w:hAnsiTheme="majorHAnsi" w:eastAsiaTheme="majorEastAsia" w:cstheme="majorBidi"/>
      <w:b w:val="0"/>
      <w:bCs w:val="0"/>
      <w:color w:val="2E75B6" w:themeColor="accent1" w:themeShade="BF"/>
      <w:kern w:val="0"/>
      <w:sz w:val="32"/>
      <w:szCs w:val="32"/>
      <w14:ligatures w14:val="none"/>
    </w:rPr>
  </w:style>
  <w:style w:type="character" w:customStyle="1" w:styleId="112">
    <w:name w:val="表格 Char"/>
    <w:link w:val="113"/>
    <w:qFormat/>
    <w:locked/>
    <w:uiPriority w:val="0"/>
    <w:rPr>
      <w:rFonts w:ascii="宋体" w:hAnsi="宋体" w:eastAsia="宋体"/>
    </w:rPr>
  </w:style>
  <w:style w:type="paragraph" w:customStyle="1" w:styleId="113">
    <w:name w:val="表格"/>
    <w:basedOn w:val="19"/>
    <w:next w:val="1"/>
    <w:link w:val="112"/>
    <w:qFormat/>
    <w:uiPriority w:val="0"/>
    <w:pPr>
      <w:adjustRightInd w:val="0"/>
      <w:snapToGrid w:val="0"/>
      <w:spacing w:beforeLines="10" w:afterLines="10" w:line="256" w:lineRule="auto"/>
    </w:pPr>
    <w:rPr>
      <w:rFonts w:cstheme="minorBidi"/>
      <w:b w:val="0"/>
      <w:sz w:val="21"/>
      <w:szCs w:val="22"/>
    </w:rPr>
  </w:style>
  <w:style w:type="table" w:customStyle="1" w:styleId="114">
    <w:name w:val="网格型2"/>
    <w:basedOn w:val="72"/>
    <w:qFormat/>
    <w:uiPriority w:val="0"/>
    <w:pPr>
      <w:widowControl w:val="0"/>
      <w:jc w:val="center"/>
    </w:pPr>
    <w:rPr>
      <w:rFonts w:ascii="宋体" w:hAnsi="Times New Roman" w:eastAsia="宋体" w:cs="Times New Roman"/>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tcPr>
      <w:vAlign w:val="center"/>
    </w:tcPr>
  </w:style>
  <w:style w:type="character" w:customStyle="1" w:styleId="115">
    <w:name w:val="题注 字符"/>
    <w:link w:val="19"/>
    <w:qFormat/>
    <w:uiPriority w:val="99"/>
    <w:rPr>
      <w:rFonts w:ascii="宋体" w:hAnsi="宋体" w:eastAsia="宋体" w:cstheme="majorBidi"/>
      <w:b/>
      <w:sz w:val="24"/>
      <w:szCs w:val="20"/>
    </w:rPr>
  </w:style>
  <w:style w:type="character" w:customStyle="1" w:styleId="116">
    <w:name w:val="标题 6 字符"/>
    <w:basedOn w:val="76"/>
    <w:link w:val="7"/>
    <w:semiHidden/>
    <w:qFormat/>
    <w:uiPriority w:val="0"/>
    <w:rPr>
      <w:rFonts w:ascii="宋体" w:hAnsi="Arial" w:eastAsia="宋体" w:cs="宋体"/>
      <w:b/>
      <w:bCs/>
      <w:kern w:val="0"/>
      <w:sz w:val="24"/>
      <w:szCs w:val="24"/>
      <w14:ligatures w14:val="none"/>
    </w:rPr>
  </w:style>
  <w:style w:type="character" w:customStyle="1" w:styleId="117">
    <w:name w:val="标题 7 字符"/>
    <w:basedOn w:val="76"/>
    <w:link w:val="8"/>
    <w:semiHidden/>
    <w:qFormat/>
    <w:uiPriority w:val="0"/>
    <w:rPr>
      <w:rFonts w:ascii="宋体" w:hAnsi="宋体" w:eastAsia="宋体" w:cs="宋体"/>
      <w:b/>
      <w:bCs/>
      <w:kern w:val="0"/>
      <w:sz w:val="24"/>
      <w:szCs w:val="24"/>
      <w14:ligatures w14:val="none"/>
    </w:rPr>
  </w:style>
  <w:style w:type="character" w:customStyle="1" w:styleId="118">
    <w:name w:val="标题 8 字符"/>
    <w:basedOn w:val="76"/>
    <w:link w:val="9"/>
    <w:semiHidden/>
    <w:qFormat/>
    <w:uiPriority w:val="0"/>
    <w:rPr>
      <w:rFonts w:ascii="Arial" w:hAnsi="Arial" w:eastAsia="黑体" w:cs="宋体"/>
      <w:kern w:val="0"/>
      <w:sz w:val="24"/>
      <w:szCs w:val="24"/>
      <w14:ligatures w14:val="none"/>
    </w:rPr>
  </w:style>
  <w:style w:type="character" w:customStyle="1" w:styleId="119">
    <w:name w:val="标题 9 字符"/>
    <w:basedOn w:val="76"/>
    <w:link w:val="10"/>
    <w:semiHidden/>
    <w:qFormat/>
    <w:uiPriority w:val="0"/>
    <w:rPr>
      <w:rFonts w:ascii="Arial" w:hAnsi="Arial" w:eastAsia="黑体" w:cs="宋体"/>
      <w:kern w:val="0"/>
      <w:sz w:val="24"/>
      <w:szCs w:val="21"/>
      <w14:ligatures w14:val="none"/>
    </w:rPr>
  </w:style>
  <w:style w:type="character" w:customStyle="1" w:styleId="120">
    <w:name w:val="注释标题 字符"/>
    <w:basedOn w:val="76"/>
    <w:link w:val="14"/>
    <w:semiHidden/>
    <w:qFormat/>
    <w:uiPriority w:val="0"/>
    <w:rPr>
      <w:rFonts w:ascii="宋体" w:hAnsi="宋体" w:eastAsia="宋体" w:cs="宋体"/>
      <w:kern w:val="0"/>
      <w:sz w:val="24"/>
      <w:szCs w:val="24"/>
      <w14:ligatures w14:val="none"/>
    </w:rPr>
  </w:style>
  <w:style w:type="character" w:customStyle="1" w:styleId="121">
    <w:name w:val="电子邮件签名 字符"/>
    <w:basedOn w:val="76"/>
    <w:link w:val="16"/>
    <w:semiHidden/>
    <w:qFormat/>
    <w:uiPriority w:val="0"/>
    <w:rPr>
      <w:rFonts w:ascii="宋体" w:hAnsi="宋体" w:eastAsia="宋体" w:cs="宋体"/>
      <w:kern w:val="0"/>
      <w:sz w:val="24"/>
      <w:szCs w:val="24"/>
      <w14:ligatures w14:val="none"/>
    </w:rPr>
  </w:style>
  <w:style w:type="character" w:customStyle="1" w:styleId="122">
    <w:name w:val="文档结构图 字符"/>
    <w:basedOn w:val="76"/>
    <w:link w:val="22"/>
    <w:semiHidden/>
    <w:qFormat/>
    <w:uiPriority w:val="0"/>
    <w:rPr>
      <w:rFonts w:ascii="宋体" w:hAnsi="宋体" w:eastAsia="宋体" w:cs="宋体"/>
      <w:kern w:val="0"/>
      <w:sz w:val="24"/>
      <w:szCs w:val="24"/>
      <w:shd w:val="clear" w:color="auto" w:fill="000080"/>
      <w14:ligatures w14:val="none"/>
    </w:rPr>
  </w:style>
  <w:style w:type="character" w:customStyle="1" w:styleId="123">
    <w:name w:val="批注文字 字符"/>
    <w:basedOn w:val="76"/>
    <w:link w:val="23"/>
    <w:qFormat/>
    <w:uiPriority w:val="0"/>
    <w:rPr>
      <w:rFonts w:ascii="Times New Roman" w:hAnsi="宋体" w:eastAsia="宋体" w:cs="宋体"/>
      <w:kern w:val="0"/>
      <w:sz w:val="24"/>
      <w:szCs w:val="24"/>
      <w14:ligatures w14:val="none"/>
    </w:rPr>
  </w:style>
  <w:style w:type="character" w:customStyle="1" w:styleId="124">
    <w:name w:val="称呼 字符"/>
    <w:basedOn w:val="76"/>
    <w:link w:val="24"/>
    <w:semiHidden/>
    <w:qFormat/>
    <w:uiPriority w:val="0"/>
    <w:rPr>
      <w:rFonts w:ascii="宋体" w:hAnsi="宋体" w:eastAsia="宋体" w:cs="宋体"/>
      <w:kern w:val="0"/>
      <w:sz w:val="24"/>
      <w:szCs w:val="24"/>
      <w14:ligatures w14:val="none"/>
    </w:rPr>
  </w:style>
  <w:style w:type="character" w:customStyle="1" w:styleId="125">
    <w:name w:val="正文文本 3 字符"/>
    <w:basedOn w:val="76"/>
    <w:link w:val="25"/>
    <w:semiHidden/>
    <w:qFormat/>
    <w:uiPriority w:val="0"/>
    <w:rPr>
      <w:rFonts w:ascii="宋体" w:hAnsi="宋体" w:eastAsia="宋体" w:cs="宋体"/>
      <w:kern w:val="0"/>
      <w:sz w:val="16"/>
      <w:szCs w:val="16"/>
      <w14:ligatures w14:val="none"/>
    </w:rPr>
  </w:style>
  <w:style w:type="character" w:customStyle="1" w:styleId="126">
    <w:name w:val="结束语 字符"/>
    <w:basedOn w:val="76"/>
    <w:link w:val="26"/>
    <w:semiHidden/>
    <w:qFormat/>
    <w:uiPriority w:val="0"/>
    <w:rPr>
      <w:rFonts w:ascii="宋体" w:hAnsi="宋体" w:eastAsia="宋体" w:cs="宋体"/>
      <w:kern w:val="0"/>
      <w:sz w:val="24"/>
      <w:szCs w:val="24"/>
      <w14:ligatures w14:val="none"/>
    </w:rPr>
  </w:style>
  <w:style w:type="character" w:customStyle="1" w:styleId="127">
    <w:name w:val="正文文本 字符"/>
    <w:basedOn w:val="76"/>
    <w:link w:val="28"/>
    <w:qFormat/>
    <w:uiPriority w:val="99"/>
    <w:rPr>
      <w:rFonts w:ascii="宋体" w:hAnsi="宋体" w:eastAsia="宋体" w:cs="宋体"/>
      <w:kern w:val="0"/>
      <w:sz w:val="24"/>
      <w:szCs w:val="24"/>
      <w14:ligatures w14:val="none"/>
    </w:rPr>
  </w:style>
  <w:style w:type="character" w:customStyle="1" w:styleId="128">
    <w:name w:val="HTML 地址 字符"/>
    <w:basedOn w:val="76"/>
    <w:link w:val="35"/>
    <w:semiHidden/>
    <w:qFormat/>
    <w:uiPriority w:val="0"/>
    <w:rPr>
      <w:rFonts w:ascii="宋体" w:hAnsi="宋体" w:eastAsia="宋体" w:cs="宋体"/>
      <w:i/>
      <w:iCs/>
      <w:kern w:val="0"/>
      <w:sz w:val="24"/>
      <w:szCs w:val="24"/>
      <w14:ligatures w14:val="none"/>
    </w:rPr>
  </w:style>
  <w:style w:type="character" w:customStyle="1" w:styleId="129">
    <w:name w:val="正文文本缩进 2 字符"/>
    <w:basedOn w:val="76"/>
    <w:link w:val="43"/>
    <w:semiHidden/>
    <w:qFormat/>
    <w:uiPriority w:val="0"/>
    <w:rPr>
      <w:rFonts w:ascii="宋体" w:hAnsi="宋体" w:eastAsia="宋体" w:cs="宋体"/>
      <w:kern w:val="0"/>
      <w:sz w:val="24"/>
      <w:szCs w:val="24"/>
      <w14:ligatures w14:val="none"/>
    </w:rPr>
  </w:style>
  <w:style w:type="character" w:customStyle="1" w:styleId="130">
    <w:name w:val="批注框文本 字符"/>
    <w:basedOn w:val="76"/>
    <w:link w:val="45"/>
    <w:qFormat/>
    <w:uiPriority w:val="0"/>
    <w:rPr>
      <w:rFonts w:ascii="Times New Roman" w:hAnsi="宋体" w:eastAsia="宋体" w:cs="宋体"/>
      <w:kern w:val="0"/>
      <w:sz w:val="18"/>
      <w:szCs w:val="18"/>
      <w14:ligatures w14:val="none"/>
    </w:rPr>
  </w:style>
  <w:style w:type="character" w:customStyle="1" w:styleId="131">
    <w:name w:val="页脚 字符"/>
    <w:basedOn w:val="76"/>
    <w:link w:val="46"/>
    <w:qFormat/>
    <w:uiPriority w:val="99"/>
    <w:rPr>
      <w:rFonts w:ascii="Times New Roman" w:hAnsi="宋体" w:eastAsia="宋体" w:cs="宋体"/>
      <w:kern w:val="0"/>
      <w:sz w:val="18"/>
      <w:szCs w:val="18"/>
      <w14:ligatures w14:val="none"/>
    </w:rPr>
  </w:style>
  <w:style w:type="character" w:customStyle="1" w:styleId="132">
    <w:name w:val="页眉 字符"/>
    <w:basedOn w:val="76"/>
    <w:link w:val="48"/>
    <w:semiHidden/>
    <w:qFormat/>
    <w:uiPriority w:val="0"/>
    <w:rPr>
      <w:rFonts w:ascii="Times New Roman" w:hAnsi="宋体" w:eastAsia="宋体" w:cs="宋体"/>
      <w:kern w:val="0"/>
      <w:sz w:val="18"/>
      <w:szCs w:val="18"/>
      <w14:ligatures w14:val="none"/>
    </w:rPr>
  </w:style>
  <w:style w:type="character" w:customStyle="1" w:styleId="133">
    <w:name w:val="签名 字符"/>
    <w:basedOn w:val="76"/>
    <w:link w:val="49"/>
    <w:semiHidden/>
    <w:qFormat/>
    <w:uiPriority w:val="0"/>
    <w:rPr>
      <w:rFonts w:ascii="宋体" w:hAnsi="宋体" w:eastAsia="宋体" w:cs="宋体"/>
      <w:kern w:val="0"/>
      <w:sz w:val="24"/>
      <w:szCs w:val="24"/>
      <w14:ligatures w14:val="none"/>
    </w:rPr>
  </w:style>
  <w:style w:type="character" w:customStyle="1" w:styleId="134">
    <w:name w:val="副标题 字符"/>
    <w:basedOn w:val="76"/>
    <w:link w:val="53"/>
    <w:qFormat/>
    <w:uiPriority w:val="0"/>
    <w:rPr>
      <w:rFonts w:ascii="Arial" w:hAnsi="Arial" w:eastAsia="宋体" w:cs="Arial"/>
      <w:b/>
      <w:bCs/>
      <w:kern w:val="28"/>
      <w:sz w:val="32"/>
      <w:szCs w:val="32"/>
      <w14:ligatures w14:val="none"/>
    </w:rPr>
  </w:style>
  <w:style w:type="character" w:customStyle="1" w:styleId="135">
    <w:name w:val="正文文本缩进 3 字符"/>
    <w:basedOn w:val="76"/>
    <w:link w:val="58"/>
    <w:semiHidden/>
    <w:qFormat/>
    <w:uiPriority w:val="0"/>
    <w:rPr>
      <w:rFonts w:ascii="宋体" w:hAnsi="宋体" w:eastAsia="宋体" w:cs="宋体"/>
      <w:kern w:val="0"/>
      <w:sz w:val="16"/>
      <w:szCs w:val="16"/>
      <w14:ligatures w14:val="none"/>
    </w:rPr>
  </w:style>
  <w:style w:type="character" w:customStyle="1" w:styleId="136">
    <w:name w:val="正文文本 2 字符"/>
    <w:basedOn w:val="76"/>
    <w:link w:val="61"/>
    <w:semiHidden/>
    <w:qFormat/>
    <w:uiPriority w:val="0"/>
    <w:rPr>
      <w:rFonts w:ascii="宋体" w:hAnsi="宋体" w:eastAsia="宋体" w:cs="宋体"/>
      <w:kern w:val="0"/>
      <w:sz w:val="24"/>
      <w:szCs w:val="24"/>
      <w14:ligatures w14:val="none"/>
    </w:rPr>
  </w:style>
  <w:style w:type="character" w:customStyle="1" w:styleId="137">
    <w:name w:val="信息标题 字符"/>
    <w:basedOn w:val="76"/>
    <w:link w:val="64"/>
    <w:semiHidden/>
    <w:qFormat/>
    <w:uiPriority w:val="0"/>
    <w:rPr>
      <w:rFonts w:ascii="Arial" w:hAnsi="Arial" w:eastAsia="宋体" w:cs="Arial"/>
      <w:kern w:val="0"/>
      <w:sz w:val="24"/>
      <w:szCs w:val="24"/>
      <w:shd w:val="pct20" w:color="auto" w:fill="auto"/>
      <w14:ligatures w14:val="none"/>
    </w:rPr>
  </w:style>
  <w:style w:type="character" w:customStyle="1" w:styleId="138">
    <w:name w:val="HTML 预设格式 字符"/>
    <w:basedOn w:val="76"/>
    <w:link w:val="65"/>
    <w:semiHidden/>
    <w:qFormat/>
    <w:uiPriority w:val="0"/>
    <w:rPr>
      <w:rFonts w:ascii="Courier New" w:hAnsi="Courier New" w:eastAsia="宋体" w:cs="Courier New"/>
      <w:kern w:val="0"/>
      <w:sz w:val="20"/>
      <w:szCs w:val="20"/>
      <w14:ligatures w14:val="none"/>
    </w:rPr>
  </w:style>
  <w:style w:type="character" w:customStyle="1" w:styleId="139">
    <w:name w:val="标题 字符"/>
    <w:basedOn w:val="76"/>
    <w:link w:val="68"/>
    <w:qFormat/>
    <w:uiPriority w:val="0"/>
    <w:rPr>
      <w:rFonts w:ascii="Arial" w:hAnsi="Arial" w:eastAsia="隶书" w:cs="Arial"/>
      <w:b/>
      <w:bCs/>
      <w:kern w:val="0"/>
      <w:sz w:val="44"/>
      <w:szCs w:val="32"/>
      <w14:ligatures w14:val="none"/>
    </w:rPr>
  </w:style>
  <w:style w:type="character" w:customStyle="1" w:styleId="140">
    <w:name w:val="批注主题 字符"/>
    <w:basedOn w:val="123"/>
    <w:link w:val="69"/>
    <w:semiHidden/>
    <w:uiPriority w:val="0"/>
    <w:rPr>
      <w:rFonts w:ascii="Times New Roman" w:hAnsi="宋体" w:eastAsia="宋体" w:cs="宋体"/>
      <w:b/>
      <w:bCs/>
      <w:kern w:val="0"/>
      <w:sz w:val="24"/>
      <w:szCs w:val="24"/>
      <w14:ligatures w14:val="none"/>
    </w:rPr>
  </w:style>
  <w:style w:type="character" w:customStyle="1" w:styleId="141">
    <w:name w:val="正文文本首行缩进 字符"/>
    <w:basedOn w:val="127"/>
    <w:link w:val="70"/>
    <w:semiHidden/>
    <w:qFormat/>
    <w:uiPriority w:val="0"/>
    <w:rPr>
      <w:rFonts w:ascii="宋体" w:hAnsi="宋体" w:eastAsia="宋体" w:cs="宋体"/>
      <w:kern w:val="0"/>
      <w:sz w:val="24"/>
      <w:szCs w:val="24"/>
      <w14:ligatures w14:val="none"/>
    </w:rPr>
  </w:style>
  <w:style w:type="character" w:customStyle="1" w:styleId="142">
    <w:name w:val="正文文本首行缩进 2 字符"/>
    <w:basedOn w:val="101"/>
    <w:link w:val="71"/>
    <w:semiHidden/>
    <w:qFormat/>
    <w:uiPriority w:val="0"/>
    <w:rPr>
      <w:rFonts w:ascii="Times New Roman" w:hAnsi="Times New Roman" w:eastAsia="宋体" w:cs="宋体"/>
      <w:kern w:val="0"/>
      <w:szCs w:val="24"/>
      <w14:ligatures w14:val="none"/>
    </w:rPr>
  </w:style>
  <w:style w:type="character" w:customStyle="1" w:styleId="143">
    <w:name w:val="正文缩进 字符"/>
    <w:link w:val="18"/>
    <w:qFormat/>
    <w:uiPriority w:val="0"/>
    <w:rPr>
      <w:rFonts w:ascii="宋体" w:hAnsi="宋体" w:eastAsia="宋体" w:cs="宋体"/>
      <w:kern w:val="0"/>
      <w:sz w:val="24"/>
      <w:szCs w:val="24"/>
      <w14:ligatures w14:val="none"/>
    </w:rPr>
  </w:style>
  <w:style w:type="character" w:customStyle="1" w:styleId="144">
    <w:name w:val="字紧0.4 Char"/>
    <w:link w:val="145"/>
    <w:semiHidden/>
    <w:qFormat/>
    <w:uiPriority w:val="0"/>
    <w:rPr>
      <w:rFonts w:ascii="仿宋_GB2312" w:hAnsi="宋体" w:eastAsia="仿宋_GB2312" w:cs="宋体"/>
      <w:spacing w:val="-8"/>
      <w:sz w:val="28"/>
      <w:szCs w:val="28"/>
    </w:rPr>
  </w:style>
  <w:style w:type="paragraph" w:customStyle="1" w:styleId="145">
    <w:name w:val="字紧0.4"/>
    <w:basedOn w:val="146"/>
    <w:link w:val="144"/>
    <w:semiHidden/>
    <w:qFormat/>
    <w:uiPriority w:val="0"/>
    <w:rPr>
      <w:spacing w:val="-8"/>
      <w:kern w:val="2"/>
      <w14:ligatures w14:val="standardContextual"/>
    </w:rPr>
  </w:style>
  <w:style w:type="paragraph" w:customStyle="1" w:styleId="146">
    <w:name w:val="070707正文样式"/>
    <w:basedOn w:val="58"/>
    <w:link w:val="147"/>
    <w:semiHidden/>
    <w:qFormat/>
    <w:uiPriority w:val="0"/>
    <w:pPr>
      <w:adjustRightInd w:val="0"/>
      <w:snapToGrid w:val="0"/>
      <w:spacing w:after="0" w:line="460" w:lineRule="exact"/>
      <w:ind w:left="0" w:leftChars="0" w:firstLine="560"/>
    </w:pPr>
    <w:rPr>
      <w:rFonts w:ascii="仿宋_GB2312" w:eastAsia="仿宋_GB2312"/>
      <w:sz w:val="28"/>
      <w:szCs w:val="28"/>
    </w:rPr>
  </w:style>
  <w:style w:type="character" w:customStyle="1" w:styleId="147">
    <w:name w:val="070707正文样式 Char"/>
    <w:link w:val="146"/>
    <w:semiHidden/>
    <w:qFormat/>
    <w:uiPriority w:val="0"/>
    <w:rPr>
      <w:rFonts w:ascii="仿宋_GB2312" w:hAnsi="宋体" w:eastAsia="仿宋_GB2312" w:cs="宋体"/>
      <w:kern w:val="0"/>
      <w:sz w:val="28"/>
      <w:szCs w:val="28"/>
      <w14:ligatures w14:val="none"/>
    </w:rPr>
  </w:style>
  <w:style w:type="character" w:customStyle="1" w:styleId="148">
    <w:name w:val="正文28磅 Char"/>
    <w:link w:val="149"/>
    <w:semiHidden/>
    <w:qFormat/>
    <w:uiPriority w:val="0"/>
    <w:rPr>
      <w:b/>
      <w:kern w:val="28"/>
      <w:sz w:val="24"/>
      <w:szCs w:val="28"/>
      <w:lang w:val="en-GB"/>
    </w:rPr>
  </w:style>
  <w:style w:type="paragraph" w:customStyle="1" w:styleId="149">
    <w:name w:val="正文28磅"/>
    <w:link w:val="148"/>
    <w:semiHidden/>
    <w:qFormat/>
    <w:uiPriority w:val="0"/>
    <w:pPr>
      <w:widowControl w:val="0"/>
      <w:spacing w:line="480" w:lineRule="exact"/>
      <w:ind w:left="85" w:right="136" w:firstLine="482" w:firstLineChars="200"/>
    </w:pPr>
    <w:rPr>
      <w:rFonts w:asciiTheme="minorHAnsi" w:hAnsiTheme="minorHAnsi" w:eastAsiaTheme="minorEastAsia" w:cstheme="minorBidi"/>
      <w:b/>
      <w:kern w:val="28"/>
      <w:sz w:val="24"/>
      <w:szCs w:val="28"/>
      <w:lang w:val="en-GB" w:eastAsia="zh-CN" w:bidi="ar-SA"/>
      <w14:ligatures w14:val="standardContextual"/>
    </w:rPr>
  </w:style>
  <w:style w:type="character" w:customStyle="1" w:styleId="150">
    <w:name w:val="表格文字 Char"/>
    <w:link w:val="151"/>
    <w:qFormat/>
    <w:uiPriority w:val="0"/>
    <w:rPr>
      <w:rFonts w:ascii="宋体" w:hAnsi="宋体" w:cs="宋体"/>
      <w:color w:val="000000"/>
      <w:szCs w:val="28"/>
    </w:rPr>
  </w:style>
  <w:style w:type="paragraph" w:customStyle="1" w:styleId="151">
    <w:name w:val="表格文字"/>
    <w:basedOn w:val="1"/>
    <w:next w:val="1"/>
    <w:link w:val="150"/>
    <w:qFormat/>
    <w:uiPriority w:val="0"/>
    <w:pPr>
      <w:widowControl/>
      <w:snapToGrid w:val="0"/>
      <w:spacing w:line="0" w:lineRule="atLeast"/>
      <w:jc w:val="center"/>
    </w:pPr>
    <w:rPr>
      <w:rFonts w:ascii="宋体" w:hAnsi="宋体" w:cs="宋体"/>
      <w:color w:val="000000"/>
      <w:szCs w:val="28"/>
    </w:rPr>
  </w:style>
  <w:style w:type="character" w:customStyle="1" w:styleId="152">
    <w:name w:val="纯文本 Char1 Char"/>
    <w:semiHidden/>
    <w:qFormat/>
    <w:uiPriority w:val="0"/>
    <w:rPr>
      <w:rFonts w:ascii="宋体" w:hAnsi="Courier New" w:eastAsia="宋体" w:cs="仿宋_GB2312"/>
      <w:kern w:val="2"/>
      <w:sz w:val="21"/>
      <w:szCs w:val="21"/>
      <w:lang w:val="en-US" w:eastAsia="zh-CN" w:bidi="ar-SA"/>
    </w:rPr>
  </w:style>
  <w:style w:type="character" w:customStyle="1" w:styleId="153">
    <w:name w:val="Char Char"/>
    <w:link w:val="154"/>
    <w:semiHidden/>
    <w:qFormat/>
    <w:uiPriority w:val="0"/>
    <w:rPr>
      <w:rFonts w:ascii="宋体" w:hAnsi="宋体" w:cs="宋体"/>
      <w:b/>
      <w:szCs w:val="24"/>
    </w:rPr>
  </w:style>
  <w:style w:type="paragraph" w:customStyle="1" w:styleId="154">
    <w:name w:val="Char2"/>
    <w:basedOn w:val="1"/>
    <w:link w:val="153"/>
    <w:semiHidden/>
    <w:qFormat/>
    <w:uiPriority w:val="0"/>
    <w:pPr>
      <w:widowControl/>
      <w:snapToGrid w:val="0"/>
      <w:spacing w:line="360" w:lineRule="auto"/>
      <w:ind w:firstLine="529" w:firstLineChars="200"/>
    </w:pPr>
    <w:rPr>
      <w:rFonts w:ascii="宋体" w:hAnsi="宋体" w:cs="宋体"/>
      <w:b/>
      <w:szCs w:val="24"/>
    </w:rPr>
  </w:style>
  <w:style w:type="character" w:customStyle="1" w:styleId="155">
    <w:name w:val="Char Char4"/>
    <w:semiHidden/>
    <w:qFormat/>
    <w:uiPriority w:val="0"/>
    <w:rPr>
      <w:rFonts w:ascii="宋体" w:hAnsi="宋体" w:eastAsia="宋体"/>
      <w:color w:val="000000"/>
      <w:kern w:val="21"/>
      <w:sz w:val="24"/>
      <w:lang w:val="de-DE" w:eastAsia="zh-CN" w:bidi="ar-SA"/>
    </w:rPr>
  </w:style>
  <w:style w:type="character" w:customStyle="1" w:styleId="156">
    <w:name w:val="芦子沟1"/>
    <w:semiHidden/>
    <w:qFormat/>
    <w:uiPriority w:val="0"/>
    <w:rPr>
      <w:rFonts w:ascii="宋体" w:eastAsia="宋体" w:cs="宋体"/>
      <w:b/>
      <w:bCs/>
      <w:color w:val="000000"/>
      <w:sz w:val="28"/>
      <w:szCs w:val="28"/>
      <w:lang w:val="zh-CN" w:eastAsia="zh-CN" w:bidi="ar-SA"/>
    </w:rPr>
  </w:style>
  <w:style w:type="character" w:customStyle="1" w:styleId="157">
    <w:name w:val="正文 Char"/>
    <w:semiHidden/>
    <w:qFormat/>
    <w:uiPriority w:val="0"/>
    <w:rPr>
      <w:rFonts w:eastAsia="宋体"/>
      <w:kern w:val="2"/>
      <w:sz w:val="28"/>
      <w:szCs w:val="24"/>
      <w:lang w:val="en-US" w:eastAsia="zh-CN" w:bidi="ar-SA"/>
    </w:rPr>
  </w:style>
  <w:style w:type="character" w:customStyle="1" w:styleId="158">
    <w:name w:val="Char Char Char Char Char"/>
    <w:link w:val="159"/>
    <w:semiHidden/>
    <w:qFormat/>
    <w:uiPriority w:val="0"/>
    <w:rPr>
      <w:rFonts w:ascii="宋体" w:hAnsi="宋体" w:cs="宋体"/>
      <w:b/>
      <w:szCs w:val="24"/>
    </w:rPr>
  </w:style>
  <w:style w:type="paragraph" w:customStyle="1" w:styleId="159">
    <w:name w:val="Char Char Char Char"/>
    <w:basedOn w:val="1"/>
    <w:link w:val="158"/>
    <w:semiHidden/>
    <w:qFormat/>
    <w:uiPriority w:val="0"/>
    <w:pPr>
      <w:widowControl/>
      <w:snapToGrid w:val="0"/>
      <w:spacing w:line="0" w:lineRule="atLeast"/>
      <w:jc w:val="center"/>
    </w:pPr>
    <w:rPr>
      <w:rFonts w:ascii="宋体" w:hAnsi="宋体" w:cs="宋体"/>
      <w:b/>
      <w:szCs w:val="24"/>
    </w:rPr>
  </w:style>
  <w:style w:type="character" w:customStyle="1" w:styleId="160">
    <w:name w:val="表内文字 Char"/>
    <w:semiHidden/>
    <w:qFormat/>
    <w:uiPriority w:val="0"/>
    <w:rPr>
      <w:rFonts w:ascii="宋体" w:hAnsi="Courier New" w:eastAsia="宋体"/>
      <w:kern w:val="2"/>
      <w:sz w:val="21"/>
      <w:lang w:val="en-US" w:eastAsia="zh-CN" w:bidi="ar-SA"/>
    </w:rPr>
  </w:style>
  <w:style w:type="character" w:customStyle="1" w:styleId="161">
    <w:name w:val="四级标题及正文 Char"/>
    <w:link w:val="162"/>
    <w:semiHidden/>
    <w:qFormat/>
    <w:uiPriority w:val="0"/>
    <w:rPr>
      <w:rFonts w:ascii="宋体" w:hAnsi="宋体" w:cs="宋体"/>
      <w:bCs/>
      <w:sz w:val="28"/>
      <w:szCs w:val="28"/>
    </w:rPr>
  </w:style>
  <w:style w:type="paragraph" w:customStyle="1" w:styleId="162">
    <w:name w:val="四级标题及正文"/>
    <w:basedOn w:val="1"/>
    <w:link w:val="161"/>
    <w:semiHidden/>
    <w:qFormat/>
    <w:uiPriority w:val="0"/>
    <w:pPr>
      <w:widowControl/>
      <w:spacing w:before="120" w:line="360" w:lineRule="auto"/>
      <w:ind w:firstLine="560" w:firstLineChars="200"/>
    </w:pPr>
    <w:rPr>
      <w:rFonts w:ascii="宋体" w:hAnsi="宋体" w:cs="宋体"/>
      <w:bCs/>
      <w:sz w:val="28"/>
      <w:szCs w:val="28"/>
    </w:rPr>
  </w:style>
  <w:style w:type="character" w:customStyle="1" w:styleId="163">
    <w:name w:val="芦子沟 Char"/>
    <w:semiHidden/>
    <w:qFormat/>
    <w:uiPriority w:val="0"/>
    <w:rPr>
      <w:rFonts w:ascii="宋体" w:eastAsia="宋体" w:cs="宋体"/>
      <w:b/>
      <w:bCs/>
      <w:color w:val="000000"/>
      <w:sz w:val="28"/>
      <w:szCs w:val="28"/>
      <w:lang w:val="zh-CN" w:eastAsia="zh-CN" w:bidi="ar-SA"/>
    </w:rPr>
  </w:style>
  <w:style w:type="character" w:customStyle="1" w:styleId="164">
    <w:name w:val="样式 宋体 小四 首行缩进:  0.85 厘米 段前: 7.8 磅 段后: 7.8 磅 行距: 固定值 25 磅 Char"/>
    <w:link w:val="165"/>
    <w:semiHidden/>
    <w:qFormat/>
    <w:uiPriority w:val="0"/>
    <w:rPr>
      <w:rFonts w:hAnsi="宋体" w:cs="宋体"/>
      <w:sz w:val="24"/>
    </w:rPr>
  </w:style>
  <w:style w:type="paragraph" w:customStyle="1" w:styleId="165">
    <w:name w:val="样式 宋体 小四 首行缩进:  0.85 厘米 段前: 7.8 磅 段后: 7.8 磅 行距: 固定值 25 磅"/>
    <w:basedOn w:val="1"/>
    <w:link w:val="164"/>
    <w:semiHidden/>
    <w:qFormat/>
    <w:uiPriority w:val="0"/>
    <w:pPr>
      <w:widowControl/>
      <w:spacing w:before="156" w:after="156" w:line="480" w:lineRule="exact"/>
      <w:ind w:firstLine="480" w:firstLineChars="200"/>
    </w:pPr>
    <w:rPr>
      <w:rFonts w:hAnsi="宋体" w:cs="宋体"/>
      <w:sz w:val="24"/>
    </w:rPr>
  </w:style>
  <w:style w:type="character" w:customStyle="1" w:styleId="166">
    <w:name w:val="lefter2"/>
    <w:basedOn w:val="76"/>
    <w:semiHidden/>
    <w:qFormat/>
    <w:uiPriority w:val="0"/>
  </w:style>
  <w:style w:type="paragraph" w:customStyle="1" w:styleId="167">
    <w:name w:val="1.3行"/>
    <w:basedOn w:val="1"/>
    <w:semiHidden/>
    <w:uiPriority w:val="0"/>
    <w:pPr>
      <w:widowControl/>
      <w:adjustRightInd w:val="0"/>
      <w:snapToGrid w:val="0"/>
      <w:spacing w:line="312" w:lineRule="auto"/>
      <w:ind w:firstLine="560" w:firstLineChars="200"/>
    </w:pPr>
    <w:rPr>
      <w:rFonts w:ascii="宋体" w:hAnsi="宋体" w:eastAsia="仿宋_GB2312" w:cs="宋体"/>
      <w:kern w:val="0"/>
      <w:sz w:val="28"/>
      <w:szCs w:val="28"/>
      <w14:ligatures w14:val="none"/>
    </w:rPr>
  </w:style>
  <w:style w:type="paragraph" w:customStyle="1" w:styleId="168">
    <w:name w:val="Char"/>
    <w:basedOn w:val="1"/>
    <w:semiHidden/>
    <w:qFormat/>
    <w:uiPriority w:val="0"/>
    <w:pPr>
      <w:widowControl/>
      <w:spacing w:line="560" w:lineRule="exact"/>
      <w:ind w:firstLine="200" w:firstLineChars="200"/>
    </w:pPr>
    <w:rPr>
      <w:rFonts w:ascii="宋体" w:hAnsi="宋体" w:eastAsia="宋体" w:cs="宋体"/>
      <w:kern w:val="0"/>
      <w:sz w:val="28"/>
      <w:szCs w:val="28"/>
      <w14:ligatures w14:val="none"/>
    </w:rPr>
  </w:style>
  <w:style w:type="paragraph" w:customStyle="1" w:styleId="169">
    <w:name w:val="芦子沟"/>
    <w:basedOn w:val="1"/>
    <w:semiHidden/>
    <w:qFormat/>
    <w:uiPriority w:val="0"/>
    <w:pPr>
      <w:widowControl/>
      <w:autoSpaceDE w:val="0"/>
      <w:autoSpaceDN w:val="0"/>
      <w:adjustRightInd w:val="0"/>
      <w:spacing w:line="520" w:lineRule="exact"/>
      <w:ind w:firstLine="539" w:firstLineChars="204"/>
    </w:pPr>
    <w:rPr>
      <w:rFonts w:ascii="宋体" w:hAnsi="宋体" w:eastAsia="宋体" w:cs="宋体"/>
      <w:color w:val="000000"/>
      <w:spacing w:val="-8"/>
      <w:kern w:val="0"/>
      <w:sz w:val="28"/>
      <w:szCs w:val="28"/>
      <w:lang w:val="zh-CN"/>
      <w14:ligatures w14:val="none"/>
    </w:rPr>
  </w:style>
  <w:style w:type="paragraph" w:customStyle="1" w:styleId="170">
    <w:name w:val="正文（小间距）"/>
    <w:basedOn w:val="1"/>
    <w:semiHidden/>
    <w:qFormat/>
    <w:uiPriority w:val="0"/>
    <w:pPr>
      <w:widowControl/>
      <w:spacing w:line="440" w:lineRule="exact"/>
      <w:ind w:firstLine="200" w:firstLineChars="200"/>
    </w:pPr>
    <w:rPr>
      <w:rFonts w:ascii="宋体" w:hAnsi="宋体" w:eastAsia="宋体" w:cs="宋体"/>
      <w:kern w:val="0"/>
      <w:sz w:val="24"/>
      <w:szCs w:val="24"/>
      <w14:ligatures w14:val="none"/>
    </w:rPr>
  </w:style>
  <w:style w:type="paragraph" w:customStyle="1" w:styleId="171">
    <w:name w:val="xl26"/>
    <w:basedOn w:val="1"/>
    <w:semiHidden/>
    <w:qFormat/>
    <w:uiPriority w:val="0"/>
    <w:pPr>
      <w:widowControl/>
      <w:spacing w:before="100" w:after="100" w:line="480" w:lineRule="exact"/>
      <w:ind w:firstLine="200" w:firstLineChars="200"/>
      <w:jc w:val="center"/>
    </w:pPr>
    <w:rPr>
      <w:rFonts w:ascii="宋体" w:hAnsi="宋体" w:eastAsia="宋体" w:cs="宋体"/>
      <w:kern w:val="0"/>
      <w:sz w:val="24"/>
      <w:szCs w:val="20"/>
      <w14:ligatures w14:val="none"/>
    </w:rPr>
  </w:style>
  <w:style w:type="paragraph" w:customStyle="1" w:styleId="172">
    <w:name w:val="默认段落字体 Para Char"/>
    <w:basedOn w:val="1"/>
    <w:semiHidden/>
    <w:qFormat/>
    <w:uiPriority w:val="0"/>
    <w:pPr>
      <w:widowControl/>
      <w:spacing w:line="360" w:lineRule="auto"/>
      <w:ind w:firstLine="200" w:firstLineChars="200"/>
    </w:pPr>
    <w:rPr>
      <w:rFonts w:ascii="宋体" w:hAnsi="宋体" w:eastAsia="宋体" w:cs="宋体"/>
      <w:kern w:val="0"/>
      <w:sz w:val="24"/>
      <w:szCs w:val="24"/>
      <w14:ligatures w14:val="none"/>
    </w:rPr>
  </w:style>
  <w:style w:type="paragraph" w:customStyle="1" w:styleId="173">
    <w:name w:val="xl28"/>
    <w:basedOn w:val="1"/>
    <w:semiHidden/>
    <w:qFormat/>
    <w:uiPriority w:val="0"/>
    <w:pPr>
      <w:widowControl/>
      <w:pBdr>
        <w:left w:val="single" w:color="auto" w:sz="4" w:space="0"/>
        <w:bottom w:val="single" w:color="auto" w:sz="4" w:space="0"/>
        <w:right w:val="single" w:color="auto" w:sz="4" w:space="0"/>
      </w:pBdr>
      <w:spacing w:before="100" w:beforeAutospacing="1" w:after="100" w:afterAutospacing="1" w:line="480" w:lineRule="exact"/>
      <w:ind w:firstLine="200" w:firstLineChars="200"/>
      <w:jc w:val="center"/>
    </w:pPr>
    <w:rPr>
      <w:rFonts w:ascii="Arial Unicode MS" w:hAnsi="Arial Unicode MS" w:eastAsia="Arial Unicode MS" w:cs="Arial Unicode MS"/>
      <w:b/>
      <w:bCs/>
      <w:kern w:val="0"/>
      <w:sz w:val="24"/>
      <w:szCs w:val="21"/>
      <w14:ligatures w14:val="none"/>
    </w:rPr>
  </w:style>
  <w:style w:type="paragraph" w:customStyle="1" w:styleId="174">
    <w:name w:val="表头"/>
    <w:basedOn w:val="1"/>
    <w:next w:val="1"/>
    <w:link w:val="175"/>
    <w:qFormat/>
    <w:uiPriority w:val="0"/>
    <w:pPr>
      <w:widowControl/>
      <w:autoSpaceDE w:val="0"/>
      <w:autoSpaceDN w:val="0"/>
      <w:adjustRightInd w:val="0"/>
      <w:snapToGrid w:val="0"/>
      <w:spacing w:beforeLines="50" w:line="360" w:lineRule="auto"/>
      <w:jc w:val="center"/>
    </w:pPr>
    <w:rPr>
      <w:rFonts w:ascii="Times New Roman" w:hAnsi="宋体" w:eastAsia="黑体" w:cs="宋体"/>
      <w:color w:val="000000"/>
      <w:kern w:val="32"/>
      <w:sz w:val="24"/>
      <w:szCs w:val="20"/>
      <w14:ligatures w14:val="none"/>
    </w:rPr>
  </w:style>
  <w:style w:type="character" w:customStyle="1" w:styleId="175">
    <w:name w:val="表头 Char"/>
    <w:link w:val="174"/>
    <w:qFormat/>
    <w:uiPriority w:val="0"/>
    <w:rPr>
      <w:rFonts w:ascii="Times New Roman" w:hAnsi="宋体" w:eastAsia="黑体" w:cs="宋体"/>
      <w:color w:val="000000"/>
      <w:kern w:val="32"/>
      <w:sz w:val="24"/>
      <w:szCs w:val="20"/>
      <w14:ligatures w14:val="none"/>
    </w:rPr>
  </w:style>
  <w:style w:type="paragraph" w:customStyle="1" w:styleId="176">
    <w:name w:val="默认段落字体 Para Char Char Char Char"/>
    <w:basedOn w:val="1"/>
    <w:semiHidden/>
    <w:qFormat/>
    <w:uiPriority w:val="0"/>
    <w:pPr>
      <w:widowControl/>
      <w:spacing w:line="480" w:lineRule="exact"/>
      <w:ind w:firstLine="200" w:firstLineChars="200"/>
    </w:pPr>
    <w:rPr>
      <w:rFonts w:ascii="宋体" w:hAnsi="宋体" w:eastAsia="宋体" w:cs="宋体"/>
      <w:kern w:val="0"/>
      <w:sz w:val="24"/>
      <w:szCs w:val="24"/>
      <w14:ligatures w14:val="none"/>
    </w:rPr>
  </w:style>
  <w:style w:type="paragraph" w:customStyle="1" w:styleId="177">
    <w:name w:val="xl48"/>
    <w:basedOn w:val="1"/>
    <w:semiHidden/>
    <w:qFormat/>
    <w:uiPriority w:val="0"/>
    <w:pPr>
      <w:widowControl/>
      <w:pBdr>
        <w:bottom w:val="single" w:color="auto" w:sz="4" w:space="0"/>
        <w:right w:val="single" w:color="auto" w:sz="4" w:space="0"/>
      </w:pBdr>
      <w:spacing w:before="100" w:beforeAutospacing="1" w:after="100" w:afterAutospacing="1" w:line="480" w:lineRule="exact"/>
      <w:ind w:firstLine="200" w:firstLineChars="200"/>
      <w:jc w:val="center"/>
    </w:pPr>
    <w:rPr>
      <w:rFonts w:ascii="宋体" w:hAnsi="宋体" w:eastAsia="宋体" w:cs="宋体"/>
      <w:kern w:val="0"/>
      <w:sz w:val="24"/>
      <w:szCs w:val="21"/>
      <w14:ligatures w14:val="none"/>
    </w:rPr>
  </w:style>
  <w:style w:type="paragraph" w:customStyle="1" w:styleId="178">
    <w:name w:val="xl24"/>
    <w:basedOn w:val="1"/>
    <w:semiHidden/>
    <w:qFormat/>
    <w:uiPriority w:val="0"/>
    <w:pPr>
      <w:widowControl/>
      <w:spacing w:before="100" w:beforeAutospacing="1" w:after="100" w:afterAutospacing="1" w:line="480" w:lineRule="exact"/>
      <w:ind w:firstLine="200" w:firstLineChars="200"/>
      <w:jc w:val="center"/>
    </w:pPr>
    <w:rPr>
      <w:rFonts w:ascii="宋体" w:hAnsi="宋体" w:eastAsia="宋体" w:cs="宋体"/>
      <w:kern w:val="0"/>
      <w:sz w:val="24"/>
      <w:szCs w:val="24"/>
      <w14:ligatures w14:val="none"/>
    </w:rPr>
  </w:style>
  <w:style w:type="paragraph" w:customStyle="1" w:styleId="179">
    <w:name w:val="样式8"/>
    <w:basedOn w:val="1"/>
    <w:semiHidden/>
    <w:qFormat/>
    <w:uiPriority w:val="0"/>
    <w:pPr>
      <w:widowControl/>
      <w:spacing w:beforeLines="50" w:afterLines="50" w:line="480" w:lineRule="exact"/>
      <w:ind w:firstLine="200" w:firstLineChars="200"/>
      <w:outlineLvl w:val="2"/>
    </w:pPr>
    <w:rPr>
      <w:rFonts w:ascii="宋体" w:hAnsi="宋体" w:eastAsia="宋体" w:cs="宋体"/>
      <w:b/>
      <w:kern w:val="0"/>
      <w:sz w:val="24"/>
      <w:szCs w:val="24"/>
      <w14:ligatures w14:val="none"/>
    </w:rPr>
  </w:style>
  <w:style w:type="paragraph" w:customStyle="1" w:styleId="180">
    <w:name w:val="样式 宋体 四号 行距: 固定值 25 磅"/>
    <w:basedOn w:val="1"/>
    <w:semiHidden/>
    <w:qFormat/>
    <w:uiPriority w:val="0"/>
    <w:pPr>
      <w:widowControl/>
      <w:spacing w:line="480" w:lineRule="exact"/>
      <w:ind w:firstLine="560" w:firstLineChars="200"/>
    </w:pPr>
    <w:rPr>
      <w:rFonts w:ascii="宋体" w:hAnsi="宋体" w:eastAsia="宋体" w:cs="宋体"/>
      <w:kern w:val="0"/>
      <w:sz w:val="24"/>
      <w:szCs w:val="24"/>
      <w14:ligatures w14:val="none"/>
    </w:rPr>
  </w:style>
  <w:style w:type="paragraph" w:customStyle="1" w:styleId="181">
    <w:name w:val="Char Char Char Char Char Char Char Char Char Char Char Char Char"/>
    <w:basedOn w:val="1"/>
    <w:semiHidden/>
    <w:qFormat/>
    <w:uiPriority w:val="0"/>
    <w:pPr>
      <w:widowControl/>
      <w:adjustRightInd w:val="0"/>
      <w:snapToGrid w:val="0"/>
      <w:spacing w:line="360" w:lineRule="auto"/>
      <w:ind w:firstLine="200" w:firstLineChars="200"/>
    </w:pPr>
    <w:rPr>
      <w:rFonts w:ascii="宋体" w:hAnsi="宋体" w:eastAsia="宋体" w:cs="宋体"/>
      <w:kern w:val="0"/>
      <w:sz w:val="24"/>
      <w:szCs w:val="26"/>
      <w14:ligatures w14:val="none"/>
    </w:rPr>
  </w:style>
  <w:style w:type="paragraph" w:customStyle="1" w:styleId="182">
    <w:name w:val="表格文字1"/>
    <w:basedOn w:val="1"/>
    <w:semiHidden/>
    <w:qFormat/>
    <w:uiPriority w:val="0"/>
    <w:pPr>
      <w:widowControl/>
      <w:snapToGrid w:val="0"/>
      <w:spacing w:line="300" w:lineRule="exact"/>
      <w:ind w:firstLine="200" w:firstLineChars="200"/>
    </w:pPr>
    <w:rPr>
      <w:rFonts w:ascii="宋体" w:hAnsi="宋体" w:eastAsia="宋体" w:cs="宋体"/>
      <w:kern w:val="32"/>
      <w:sz w:val="24"/>
      <w:szCs w:val="24"/>
      <w:lang w:val="de-DE"/>
      <w14:ligatures w14:val="none"/>
    </w:rPr>
  </w:style>
  <w:style w:type="paragraph" w:customStyle="1" w:styleId="183">
    <w:name w:val="Char Char Char Char Char Char Char Char Char Char"/>
    <w:basedOn w:val="1"/>
    <w:semiHidden/>
    <w:qFormat/>
    <w:uiPriority w:val="0"/>
    <w:pPr>
      <w:widowControl/>
      <w:snapToGrid w:val="0"/>
      <w:spacing w:line="360" w:lineRule="auto"/>
      <w:ind w:firstLine="200" w:firstLineChars="200"/>
    </w:pPr>
    <w:rPr>
      <w:rFonts w:ascii="宋体" w:hAnsi="宋体" w:eastAsia="仿宋_GB2312" w:cs="宋体"/>
      <w:kern w:val="0"/>
      <w:sz w:val="24"/>
      <w:szCs w:val="24"/>
      <w14:ligatures w14:val="none"/>
    </w:rPr>
  </w:style>
  <w:style w:type="character" w:customStyle="1" w:styleId="184">
    <w:name w:val="普通(网站) 字符"/>
    <w:link w:val="66"/>
    <w:qFormat/>
    <w:uiPriority w:val="0"/>
    <w:rPr>
      <w:rFonts w:ascii="ˎ̥" w:hAnsi="ˎ̥" w:eastAsia="宋体" w:cs="宋体"/>
      <w:kern w:val="0"/>
      <w:sz w:val="18"/>
      <w:szCs w:val="18"/>
      <w14:ligatures w14:val="none"/>
    </w:rPr>
  </w:style>
  <w:style w:type="paragraph" w:customStyle="1" w:styleId="185">
    <w:name w:val="正文文本缩进1"/>
    <w:basedOn w:val="1"/>
    <w:semiHidden/>
    <w:qFormat/>
    <w:uiPriority w:val="0"/>
    <w:pPr>
      <w:widowControl/>
      <w:spacing w:line="480" w:lineRule="exact"/>
      <w:ind w:firstLine="420" w:firstLineChars="175"/>
    </w:pPr>
    <w:rPr>
      <w:rFonts w:ascii="宋体" w:hAnsi="宋体" w:eastAsia="宋体" w:cs="宋体"/>
      <w:kern w:val="0"/>
      <w:sz w:val="24"/>
      <w:szCs w:val="24"/>
      <w14:ligatures w14:val="none"/>
    </w:rPr>
  </w:style>
  <w:style w:type="paragraph" w:customStyle="1" w:styleId="186">
    <w:name w:val="表头样式"/>
    <w:basedOn w:val="146"/>
    <w:semiHidden/>
    <w:qFormat/>
    <w:uiPriority w:val="0"/>
    <w:pPr>
      <w:spacing w:line="240" w:lineRule="auto"/>
      <w:ind w:firstLine="0" w:firstLineChars="0"/>
      <w:jc w:val="center"/>
    </w:pPr>
    <w:rPr>
      <w:sz w:val="24"/>
      <w:szCs w:val="24"/>
    </w:rPr>
  </w:style>
  <w:style w:type="paragraph" w:customStyle="1" w:styleId="187">
    <w:name w:val="2"/>
    <w:basedOn w:val="1"/>
    <w:next w:val="29"/>
    <w:semiHidden/>
    <w:qFormat/>
    <w:uiPriority w:val="0"/>
    <w:pPr>
      <w:widowControl/>
      <w:spacing w:line="440" w:lineRule="exact"/>
      <w:ind w:firstLine="574" w:firstLineChars="200"/>
    </w:pPr>
    <w:rPr>
      <w:rFonts w:ascii="宋体" w:hAnsi="宋体" w:eastAsia="宋体" w:cs="宋体"/>
      <w:kern w:val="0"/>
      <w:sz w:val="28"/>
      <w:szCs w:val="20"/>
      <w14:ligatures w14:val="none"/>
    </w:rPr>
  </w:style>
  <w:style w:type="paragraph" w:customStyle="1" w:styleId="188">
    <w:name w:val="Char Char Char2 Char"/>
    <w:basedOn w:val="1"/>
    <w:semiHidden/>
    <w:qFormat/>
    <w:uiPriority w:val="0"/>
    <w:pPr>
      <w:widowControl/>
      <w:spacing w:line="360" w:lineRule="auto"/>
      <w:ind w:firstLine="200" w:firstLineChars="200"/>
    </w:pPr>
    <w:rPr>
      <w:rFonts w:ascii="宋体" w:hAnsi="宋体" w:eastAsia="宋体" w:cs="宋体"/>
      <w:kern w:val="0"/>
      <w:sz w:val="24"/>
      <w:szCs w:val="24"/>
      <w14:ligatures w14:val="none"/>
    </w:rPr>
  </w:style>
  <w:style w:type="paragraph" w:customStyle="1" w:styleId="189">
    <w:name w:val="s三级正文"/>
    <w:basedOn w:val="1"/>
    <w:semiHidden/>
    <w:qFormat/>
    <w:uiPriority w:val="0"/>
    <w:pPr>
      <w:widowControl/>
      <w:spacing w:line="560" w:lineRule="exact"/>
      <w:ind w:firstLine="560" w:firstLineChars="200"/>
    </w:pPr>
    <w:rPr>
      <w:rFonts w:ascii="宋体" w:hAnsi="宋体" w:eastAsia="宋体" w:cs="宋体"/>
      <w:kern w:val="0"/>
      <w:sz w:val="28"/>
      <w:szCs w:val="24"/>
      <w14:ligatures w14:val="none"/>
    </w:rPr>
  </w:style>
  <w:style w:type="paragraph" w:customStyle="1" w:styleId="190">
    <w:name w:val="Char Char Char Char Char Char Char Char Char Char Char Char Char1"/>
    <w:basedOn w:val="1"/>
    <w:next w:val="1"/>
    <w:semiHidden/>
    <w:qFormat/>
    <w:uiPriority w:val="0"/>
    <w:pPr>
      <w:widowControl/>
      <w:spacing w:line="360" w:lineRule="auto"/>
      <w:ind w:firstLine="200" w:firstLineChars="200"/>
    </w:pPr>
    <w:rPr>
      <w:rFonts w:ascii="宋体" w:hAnsi="宋体" w:eastAsia="宋体" w:cs="宋体"/>
      <w:kern w:val="0"/>
      <w:sz w:val="24"/>
      <w:szCs w:val="24"/>
      <w14:ligatures w14:val="none"/>
    </w:rPr>
  </w:style>
  <w:style w:type="paragraph" w:customStyle="1" w:styleId="191">
    <w:name w:val="样式 表格 + 两端对齐 首行缩进:  0.74 厘米"/>
    <w:basedOn w:val="113"/>
    <w:semiHidden/>
    <w:qFormat/>
    <w:uiPriority w:val="0"/>
    <w:pPr>
      <w:widowControl/>
      <w:adjustRightInd/>
      <w:spacing w:beforeLines="0" w:afterLines="0" w:line="0" w:lineRule="atLeast"/>
      <w:jc w:val="both"/>
    </w:pPr>
    <w:rPr>
      <w:rFonts w:cs="宋体"/>
      <w:kern w:val="0"/>
      <w:szCs w:val="20"/>
      <w14:ligatures w14:val="none"/>
    </w:rPr>
  </w:style>
  <w:style w:type="paragraph" w:customStyle="1" w:styleId="192">
    <w:name w:val="样式 首行缩进:  2 字符"/>
    <w:basedOn w:val="1"/>
    <w:semiHidden/>
    <w:qFormat/>
    <w:uiPriority w:val="0"/>
    <w:pPr>
      <w:widowControl/>
      <w:spacing w:line="480" w:lineRule="exact"/>
      <w:ind w:firstLine="200" w:firstLineChars="200"/>
    </w:pPr>
    <w:rPr>
      <w:rFonts w:ascii="宋体" w:hAnsi="宋体" w:eastAsia="仿宋_GB2312" w:cs="宋体"/>
      <w:kern w:val="0"/>
      <w:sz w:val="28"/>
      <w:szCs w:val="20"/>
      <w14:ligatures w14:val="none"/>
    </w:rPr>
  </w:style>
  <w:style w:type="paragraph" w:customStyle="1" w:styleId="193">
    <w:name w:val="样式 纯文本 + 首行缩进:  2 字符 行距: 1.5 倍行距"/>
    <w:basedOn w:val="38"/>
    <w:semiHidden/>
    <w:qFormat/>
    <w:uiPriority w:val="0"/>
    <w:pPr>
      <w:widowControl/>
      <w:spacing w:line="360" w:lineRule="auto"/>
      <w:ind w:firstLine="560" w:firstLineChars="200"/>
    </w:pPr>
    <w:rPr>
      <w:rFonts w:ascii="Times New Roman" w:hAnsi="Times New Roman" w:eastAsia="仿宋_GB2312" w:cs="宋体"/>
      <w:kern w:val="0"/>
      <w:sz w:val="28"/>
      <w:szCs w:val="20"/>
      <w14:ligatures w14:val="none"/>
    </w:rPr>
  </w:style>
  <w:style w:type="paragraph" w:customStyle="1" w:styleId="194">
    <w:name w:val="li 表头文字"/>
    <w:link w:val="195"/>
    <w:semiHidden/>
    <w:qFormat/>
    <w:uiPriority w:val="0"/>
    <w:pPr>
      <w:spacing w:line="460" w:lineRule="exact"/>
      <w:jc w:val="center"/>
    </w:pPr>
    <w:rPr>
      <w:rFonts w:ascii="Times New Roman" w:hAnsi="Times New Roman" w:eastAsia="宋体" w:cs="Times New Roman"/>
      <w:b/>
      <w:spacing w:val="4"/>
      <w:kern w:val="2"/>
      <w:sz w:val="24"/>
      <w:szCs w:val="24"/>
      <w:lang w:val="en-US" w:eastAsia="zh-CN" w:bidi="ar-SA"/>
    </w:rPr>
  </w:style>
  <w:style w:type="character" w:customStyle="1" w:styleId="195">
    <w:name w:val="li 表头文字 Char"/>
    <w:link w:val="194"/>
    <w:semiHidden/>
    <w:qFormat/>
    <w:uiPriority w:val="0"/>
    <w:rPr>
      <w:rFonts w:ascii="Times New Roman" w:hAnsi="Times New Roman" w:eastAsia="宋体" w:cs="Times New Roman"/>
      <w:b/>
      <w:spacing w:val="4"/>
      <w:sz w:val="24"/>
      <w:szCs w:val="24"/>
      <w14:ligatures w14:val="none"/>
    </w:rPr>
  </w:style>
  <w:style w:type="paragraph" w:customStyle="1" w:styleId="196">
    <w:name w:val="2 Char Char Char Char"/>
    <w:basedOn w:val="1"/>
    <w:semiHidden/>
    <w:qFormat/>
    <w:uiPriority w:val="0"/>
    <w:pPr>
      <w:widowControl/>
      <w:snapToGrid w:val="0"/>
      <w:spacing w:line="360" w:lineRule="auto"/>
      <w:ind w:firstLine="529" w:firstLineChars="200"/>
    </w:pPr>
    <w:rPr>
      <w:rFonts w:ascii="宋体" w:hAnsi="宋体" w:eastAsia="宋体" w:cs="宋体"/>
      <w:b/>
      <w:kern w:val="0"/>
      <w:szCs w:val="24"/>
      <w14:ligatures w14:val="none"/>
    </w:rPr>
  </w:style>
  <w:style w:type="paragraph" w:customStyle="1" w:styleId="197">
    <w:name w:val="xl73"/>
    <w:basedOn w:val="1"/>
    <w:qFormat/>
    <w:uiPriority w:val="0"/>
    <w:pPr>
      <w:widowControl/>
      <w:pBdr>
        <w:left w:val="single" w:color="auto" w:sz="8" w:space="0"/>
        <w:right w:val="single" w:color="auto" w:sz="8" w:space="0"/>
      </w:pBdr>
      <w:spacing w:before="100" w:beforeAutospacing="1" w:after="100" w:afterAutospacing="1"/>
      <w:jc w:val="center"/>
    </w:pPr>
    <w:rPr>
      <w:rFonts w:ascii="宋体" w:hAnsi="宋体" w:eastAsia="宋体" w:cs="宋体"/>
      <w:kern w:val="0"/>
      <w:sz w:val="24"/>
      <w:szCs w:val="24"/>
      <w14:ligatures w14:val="none"/>
    </w:rPr>
  </w:style>
  <w:style w:type="paragraph" w:customStyle="1" w:styleId="198">
    <w:name w:val="样式 标题 3 + 首行缩进:  2 字符"/>
    <w:basedOn w:val="4"/>
    <w:semiHidden/>
    <w:qFormat/>
    <w:uiPriority w:val="0"/>
    <w:pPr>
      <w:widowControl/>
      <w:spacing w:before="120" w:after="120" w:line="480" w:lineRule="atLeast"/>
    </w:pPr>
    <w:rPr>
      <w:rFonts w:ascii="宋体" w:hAnsi="宋体" w:eastAsia="仿宋_GB2312" w:cs="宋体"/>
      <w:b w:val="0"/>
      <w:kern w:val="0"/>
      <w:sz w:val="32"/>
      <w:szCs w:val="20"/>
      <w14:ligatures w14:val="none"/>
    </w:rPr>
  </w:style>
  <w:style w:type="paragraph" w:customStyle="1" w:styleId="199">
    <w:name w:val="样式 标题 2 + 首行缩进:  2 字符"/>
    <w:basedOn w:val="3"/>
    <w:semiHidden/>
    <w:qFormat/>
    <w:uiPriority w:val="0"/>
    <w:pPr>
      <w:widowControl/>
      <w:spacing w:before="260" w:after="260"/>
      <w:ind w:left="575"/>
    </w:pPr>
    <w:rPr>
      <w:rFonts w:ascii="黑体" w:hAnsi="黑体" w:cs="宋体"/>
      <w:bCs w:val="0"/>
      <w:kern w:val="0"/>
      <w:sz w:val="30"/>
      <w:szCs w:val="20"/>
      <w14:ligatures w14:val="none"/>
    </w:rPr>
  </w:style>
  <w:style w:type="character" w:customStyle="1" w:styleId="200">
    <w:name w:val="样式 表中文字 + Char"/>
    <w:link w:val="201"/>
    <w:semiHidden/>
    <w:qFormat/>
    <w:uiPriority w:val="0"/>
    <w:rPr>
      <w:rFonts w:ascii="Arial" w:hAnsi="Arial" w:cs="宋体"/>
      <w:sz w:val="22"/>
    </w:rPr>
  </w:style>
  <w:style w:type="paragraph" w:customStyle="1" w:styleId="201">
    <w:name w:val="样式 表中文字 +"/>
    <w:basedOn w:val="1"/>
    <w:link w:val="200"/>
    <w:semiHidden/>
    <w:qFormat/>
    <w:uiPriority w:val="0"/>
    <w:pPr>
      <w:widowControl/>
      <w:snapToGrid w:val="0"/>
      <w:jc w:val="center"/>
    </w:pPr>
    <w:rPr>
      <w:rFonts w:ascii="Arial" w:hAnsi="Arial" w:cs="宋体"/>
      <w:sz w:val="22"/>
    </w:rPr>
  </w:style>
  <w:style w:type="character" w:customStyle="1" w:styleId="202">
    <w:name w:val="ca-1"/>
    <w:basedOn w:val="76"/>
    <w:semiHidden/>
    <w:qFormat/>
    <w:uiPriority w:val="0"/>
  </w:style>
  <w:style w:type="paragraph" w:customStyle="1" w:styleId="203">
    <w:name w:val="样式1"/>
    <w:basedOn w:val="5"/>
    <w:semiHidden/>
    <w:qFormat/>
    <w:uiPriority w:val="0"/>
    <w:pPr>
      <w:widowControl/>
      <w:ind w:firstLine="560"/>
    </w:pPr>
    <w:rPr>
      <w:rFonts w:ascii="黑体" w:hAnsi="Arial" w:cs="宋体"/>
      <w:kern w:val="0"/>
      <w14:ligatures w14:val="none"/>
    </w:rPr>
  </w:style>
  <w:style w:type="paragraph" w:customStyle="1" w:styleId="204">
    <w:name w:val="标题4"/>
    <w:basedOn w:val="1"/>
    <w:semiHidden/>
    <w:qFormat/>
    <w:uiPriority w:val="0"/>
    <w:pPr>
      <w:widowControl/>
      <w:spacing w:line="480" w:lineRule="exact"/>
      <w:ind w:firstLine="562" w:firstLineChars="200"/>
    </w:pPr>
    <w:rPr>
      <w:rFonts w:ascii="仿宋_GB2312" w:hAnsi="仿宋_GB2312" w:eastAsia="仿宋_GB2312" w:cs="宋体"/>
      <w:b/>
      <w:kern w:val="0"/>
      <w:sz w:val="28"/>
      <w:szCs w:val="28"/>
      <w14:ligatures w14:val="none"/>
    </w:rPr>
  </w:style>
  <w:style w:type="paragraph" w:customStyle="1" w:styleId="205">
    <w:name w:val="schenck-表格文字"/>
    <w:basedOn w:val="1"/>
    <w:semiHidden/>
    <w:qFormat/>
    <w:uiPriority w:val="0"/>
    <w:pPr>
      <w:widowControl/>
      <w:jc w:val="center"/>
    </w:pPr>
    <w:rPr>
      <w:rFonts w:ascii="宋体" w:hAnsi="宋体" w:eastAsia="宋体" w:cs="宋体"/>
      <w:kern w:val="0"/>
      <w:szCs w:val="21"/>
      <w14:ligatures w14:val="none"/>
    </w:rPr>
  </w:style>
  <w:style w:type="paragraph" w:customStyle="1" w:styleId="206">
    <w:name w:val="Char Char Char1 Char Char Char Char Char Char Char Char Char Char"/>
    <w:basedOn w:val="1"/>
    <w:semiHidden/>
    <w:qFormat/>
    <w:uiPriority w:val="0"/>
    <w:pPr>
      <w:widowControl/>
      <w:spacing w:line="360" w:lineRule="auto"/>
      <w:ind w:firstLine="200" w:firstLineChars="200"/>
    </w:pPr>
    <w:rPr>
      <w:rFonts w:ascii="宋体" w:hAnsi="宋体" w:eastAsia="宋体" w:cs="宋体"/>
      <w:kern w:val="0"/>
      <w:szCs w:val="20"/>
      <w14:ligatures w14:val="none"/>
    </w:rPr>
  </w:style>
  <w:style w:type="paragraph" w:customStyle="1" w:styleId="207">
    <w:name w:val="样式2"/>
    <w:basedOn w:val="3"/>
    <w:next w:val="1"/>
    <w:semiHidden/>
    <w:qFormat/>
    <w:uiPriority w:val="0"/>
    <w:pPr>
      <w:widowControl/>
      <w:adjustRightInd w:val="0"/>
      <w:spacing w:before="60" w:after="60"/>
      <w:ind w:left="575" w:firstLine="422" w:firstLineChars="150"/>
    </w:pPr>
    <w:rPr>
      <w:rFonts w:ascii="Cambria" w:hAnsi="Cambria" w:cs="宋体"/>
      <w:b w:val="0"/>
      <w:bCs w:val="0"/>
      <w:kern w:val="44"/>
      <w:szCs w:val="44"/>
      <w14:ligatures w14:val="none"/>
    </w:rPr>
  </w:style>
  <w:style w:type="paragraph" w:customStyle="1" w:styleId="208">
    <w:name w:val="样式4"/>
    <w:semiHidden/>
    <w:qFormat/>
    <w:uiPriority w:val="0"/>
    <w:pPr>
      <w:framePr w:hSpace="180" w:wrap="around" w:vAnchor="text" w:hAnchor="margin" w:y="26"/>
      <w:spacing w:line="240" w:lineRule="exact"/>
      <w:jc w:val="center"/>
    </w:pPr>
    <w:rPr>
      <w:rFonts w:ascii="Times New Roman" w:hAnsi="Times New Roman" w:eastAsia="宋体" w:cs="Times New Roman"/>
      <w:kern w:val="2"/>
      <w:sz w:val="21"/>
      <w:szCs w:val="22"/>
      <w:lang w:val="en-US" w:eastAsia="zh-CN" w:bidi="ar-SA"/>
    </w:rPr>
  </w:style>
  <w:style w:type="character" w:customStyle="1" w:styleId="209">
    <w:name w:val="表中 Char"/>
    <w:link w:val="210"/>
    <w:qFormat/>
    <w:uiPriority w:val="0"/>
    <w:rPr>
      <w:rFonts w:ascii="Arial" w:hAnsi="Arial" w:eastAsia="黑体" w:cs="宋体"/>
      <w:b/>
      <w:color w:val="000000"/>
      <w:spacing w:val="4"/>
      <w:sz w:val="22"/>
    </w:rPr>
  </w:style>
  <w:style w:type="paragraph" w:customStyle="1" w:styleId="210">
    <w:name w:val="表中"/>
    <w:basedOn w:val="174"/>
    <w:link w:val="209"/>
    <w:qFormat/>
    <w:uiPriority w:val="0"/>
    <w:pPr>
      <w:autoSpaceDE/>
      <w:autoSpaceDN/>
      <w:snapToGrid/>
      <w:spacing w:line="240" w:lineRule="auto"/>
    </w:pPr>
    <w:rPr>
      <w:rFonts w:ascii="Arial" w:hAnsi="Arial"/>
      <w:b/>
      <w:spacing w:val="4"/>
      <w:kern w:val="2"/>
      <w:sz w:val="22"/>
      <w:szCs w:val="22"/>
      <w14:ligatures w14:val="standardContextual"/>
    </w:rPr>
  </w:style>
  <w:style w:type="paragraph" w:customStyle="1" w:styleId="211">
    <w:name w:val="p23"/>
    <w:basedOn w:val="1"/>
    <w:semiHidden/>
    <w:qFormat/>
    <w:uiPriority w:val="0"/>
    <w:pPr>
      <w:widowControl/>
      <w:spacing w:line="480" w:lineRule="atLeast"/>
      <w:ind w:firstLine="420"/>
    </w:pPr>
    <w:rPr>
      <w:rFonts w:ascii="宋体" w:hAnsi="宋体" w:eastAsia="宋体" w:cs="宋体"/>
      <w:kern w:val="0"/>
      <w:sz w:val="24"/>
      <w:szCs w:val="24"/>
      <w14:ligatures w14:val="none"/>
    </w:rPr>
  </w:style>
  <w:style w:type="paragraph" w:customStyle="1" w:styleId="212">
    <w:name w:val="p19"/>
    <w:basedOn w:val="1"/>
    <w:semiHidden/>
    <w:qFormat/>
    <w:uiPriority w:val="0"/>
    <w:pPr>
      <w:widowControl/>
      <w:snapToGrid w:val="0"/>
      <w:jc w:val="center"/>
    </w:pPr>
    <w:rPr>
      <w:rFonts w:ascii="Arial" w:hAnsi="Arial" w:eastAsia="宋体" w:cs="Arial"/>
      <w:b/>
      <w:bCs/>
      <w:spacing w:val="4"/>
      <w:kern w:val="0"/>
      <w:sz w:val="22"/>
      <w14:ligatures w14:val="none"/>
    </w:rPr>
  </w:style>
  <w:style w:type="paragraph" w:customStyle="1" w:styleId="213">
    <w:name w:val="p0"/>
    <w:basedOn w:val="1"/>
    <w:semiHidden/>
    <w:qFormat/>
    <w:uiPriority w:val="0"/>
    <w:pPr>
      <w:widowControl/>
      <w:spacing w:line="365" w:lineRule="atLeast"/>
      <w:ind w:left="1"/>
      <w:textAlignment w:val="bottom"/>
    </w:pPr>
    <w:rPr>
      <w:rFonts w:ascii="宋体" w:hAnsi="宋体" w:eastAsia="宋体" w:cs="宋体"/>
      <w:kern w:val="0"/>
      <w:sz w:val="20"/>
      <w:szCs w:val="20"/>
      <w14:ligatures w14:val="none"/>
    </w:rPr>
  </w:style>
  <w:style w:type="paragraph" w:customStyle="1" w:styleId="214">
    <w:name w:val="西山"/>
    <w:basedOn w:val="1"/>
    <w:semiHidden/>
    <w:qFormat/>
    <w:uiPriority w:val="0"/>
    <w:pPr>
      <w:widowControl/>
      <w:spacing w:line="480" w:lineRule="exact"/>
      <w:ind w:firstLine="480" w:firstLineChars="200"/>
    </w:pPr>
    <w:rPr>
      <w:rFonts w:ascii="宋体" w:hAnsi="宋体" w:eastAsia="宋体" w:cs="宋体"/>
      <w:kern w:val="0"/>
      <w:sz w:val="24"/>
      <w:szCs w:val="26"/>
      <w14:ligatures w14:val="none"/>
    </w:rPr>
  </w:style>
  <w:style w:type="paragraph" w:customStyle="1" w:styleId="215">
    <w:name w:val="样式 标题 4 + 首行缩进:  0.85 厘米"/>
    <w:basedOn w:val="1"/>
    <w:semiHidden/>
    <w:qFormat/>
    <w:uiPriority w:val="0"/>
    <w:pPr>
      <w:widowControl/>
      <w:spacing w:line="480" w:lineRule="exact"/>
      <w:ind w:firstLine="480" w:firstLineChars="200"/>
    </w:pPr>
    <w:rPr>
      <w:rFonts w:ascii="宋体" w:hAnsi="宋体" w:eastAsia="宋体" w:cs="宋体"/>
      <w:kern w:val="0"/>
      <w:sz w:val="24"/>
      <w:szCs w:val="20"/>
      <w14:ligatures w14:val="none"/>
    </w:rPr>
  </w:style>
  <w:style w:type="paragraph" w:customStyle="1" w:styleId="216">
    <w:name w:val="正文001"/>
    <w:basedOn w:val="1"/>
    <w:semiHidden/>
    <w:qFormat/>
    <w:uiPriority w:val="0"/>
    <w:pPr>
      <w:widowControl/>
      <w:spacing w:before="60" w:line="420" w:lineRule="exact"/>
      <w:ind w:firstLine="482"/>
    </w:pPr>
    <w:rPr>
      <w:rFonts w:ascii="宋体" w:hAnsi="宋体" w:eastAsia="宋体" w:cs="宋体"/>
      <w:kern w:val="0"/>
      <w:sz w:val="24"/>
      <w:szCs w:val="20"/>
      <w14:ligatures w14:val="none"/>
    </w:rPr>
  </w:style>
  <w:style w:type="character" w:customStyle="1" w:styleId="217">
    <w:name w:val="a16"/>
    <w:basedOn w:val="76"/>
    <w:semiHidden/>
    <w:qFormat/>
    <w:uiPriority w:val="0"/>
  </w:style>
  <w:style w:type="paragraph" w:customStyle="1" w:styleId="218">
    <w:name w:val="样式3"/>
    <w:next w:val="1"/>
    <w:semiHidden/>
    <w:qFormat/>
    <w:uiPriority w:val="0"/>
    <w:pPr>
      <w:spacing w:line="300" w:lineRule="exact"/>
      <w:jc w:val="center"/>
    </w:pPr>
    <w:rPr>
      <w:rFonts w:ascii="Times New Roman" w:hAnsi="Times New Roman" w:eastAsia="宋体" w:cs="Times New Roman"/>
      <w:b/>
      <w:bCs/>
      <w:kern w:val="44"/>
      <w:sz w:val="24"/>
      <w:szCs w:val="44"/>
      <w:lang w:val="en-US" w:eastAsia="zh-CN" w:bidi="ar-SA"/>
    </w:rPr>
  </w:style>
  <w:style w:type="character" w:customStyle="1" w:styleId="219">
    <w:name w:val="图中文字 Char Char"/>
    <w:link w:val="220"/>
    <w:semiHidden/>
    <w:qFormat/>
    <w:uiPriority w:val="0"/>
    <w:rPr>
      <w:rFonts w:ascii="Arial" w:hAnsi="Arial" w:cs="宋体"/>
      <w:sz w:val="22"/>
    </w:rPr>
  </w:style>
  <w:style w:type="paragraph" w:customStyle="1" w:styleId="220">
    <w:name w:val="图中文字"/>
    <w:basedOn w:val="1"/>
    <w:link w:val="219"/>
    <w:semiHidden/>
    <w:qFormat/>
    <w:uiPriority w:val="0"/>
    <w:pPr>
      <w:widowControl/>
      <w:snapToGrid w:val="0"/>
      <w:jc w:val="center"/>
    </w:pPr>
    <w:rPr>
      <w:rFonts w:ascii="Arial" w:hAnsi="Arial" w:cs="宋体"/>
      <w:sz w:val="22"/>
    </w:rPr>
  </w:style>
  <w:style w:type="paragraph" w:styleId="221">
    <w:name w:val="No Spacing"/>
    <w:link w:val="283"/>
    <w:qFormat/>
    <w:uiPriority w:val="0"/>
    <w:pPr>
      <w:widowControl w:val="0"/>
      <w:contextualSpacing/>
      <w:jc w:val="center"/>
    </w:pPr>
    <w:rPr>
      <w:rFonts w:ascii="Times New Roman" w:hAnsi="Times New Roman" w:eastAsia="宋体" w:cs="Times New Roman"/>
      <w:bCs/>
      <w:kern w:val="2"/>
      <w:sz w:val="21"/>
      <w:szCs w:val="18"/>
      <w:lang w:val="en-US" w:eastAsia="zh-CN" w:bidi="ar-SA"/>
    </w:rPr>
  </w:style>
  <w:style w:type="paragraph" w:customStyle="1" w:styleId="222">
    <w:name w:val="老区正文"/>
    <w:basedOn w:val="1"/>
    <w:semiHidden/>
    <w:qFormat/>
    <w:uiPriority w:val="0"/>
    <w:pPr>
      <w:widowControl/>
      <w:spacing w:line="480" w:lineRule="exact"/>
      <w:ind w:firstLine="496" w:firstLineChars="200"/>
    </w:pPr>
    <w:rPr>
      <w:rFonts w:ascii="宋体" w:hAnsi="宋体" w:eastAsia="宋体" w:cs="宋体"/>
      <w:spacing w:val="4"/>
      <w:kern w:val="0"/>
      <w:sz w:val="24"/>
      <w:szCs w:val="20"/>
      <w14:ligatures w14:val="none"/>
    </w:rPr>
  </w:style>
  <w:style w:type="paragraph" w:customStyle="1" w:styleId="223">
    <w:name w:val="正文本"/>
    <w:basedOn w:val="1"/>
    <w:link w:val="224"/>
    <w:semiHidden/>
    <w:qFormat/>
    <w:uiPriority w:val="0"/>
    <w:pPr>
      <w:widowControl/>
      <w:spacing w:line="480" w:lineRule="exact"/>
      <w:ind w:firstLine="200" w:firstLineChars="200"/>
    </w:pPr>
    <w:rPr>
      <w:rFonts w:ascii="Times New Roman" w:hAnsi="宋体" w:eastAsia="宋体" w:cs="宋体"/>
      <w:spacing w:val="4"/>
      <w:kern w:val="0"/>
      <w:sz w:val="24"/>
      <w:szCs w:val="20"/>
      <w14:ligatures w14:val="none"/>
    </w:rPr>
  </w:style>
  <w:style w:type="character" w:customStyle="1" w:styleId="224">
    <w:name w:val="正文本 Char"/>
    <w:link w:val="223"/>
    <w:semiHidden/>
    <w:qFormat/>
    <w:uiPriority w:val="0"/>
    <w:rPr>
      <w:rFonts w:ascii="Times New Roman" w:hAnsi="宋体" w:eastAsia="宋体" w:cs="宋体"/>
      <w:spacing w:val="4"/>
      <w:kern w:val="0"/>
      <w:sz w:val="24"/>
      <w:szCs w:val="20"/>
      <w14:ligatures w14:val="none"/>
    </w:rPr>
  </w:style>
  <w:style w:type="paragraph" w:customStyle="1" w:styleId="225">
    <w:name w:val="我的正文"/>
    <w:basedOn w:val="1"/>
    <w:link w:val="226"/>
    <w:semiHidden/>
    <w:qFormat/>
    <w:uiPriority w:val="0"/>
    <w:pPr>
      <w:widowControl/>
      <w:spacing w:line="460" w:lineRule="exact"/>
      <w:ind w:firstLine="482"/>
    </w:pPr>
    <w:rPr>
      <w:rFonts w:ascii="Times New Roman" w:hAnsi="宋体" w:eastAsia="宋体" w:cs="宋体"/>
      <w:kern w:val="0"/>
      <w:sz w:val="24"/>
      <w:szCs w:val="24"/>
      <w14:ligatures w14:val="none"/>
    </w:rPr>
  </w:style>
  <w:style w:type="character" w:customStyle="1" w:styleId="226">
    <w:name w:val="我的正文 Char"/>
    <w:link w:val="225"/>
    <w:semiHidden/>
    <w:qFormat/>
    <w:locked/>
    <w:uiPriority w:val="0"/>
    <w:rPr>
      <w:rFonts w:ascii="Times New Roman" w:hAnsi="宋体" w:eastAsia="宋体" w:cs="宋体"/>
      <w:kern w:val="0"/>
      <w:sz w:val="24"/>
      <w:szCs w:val="24"/>
      <w14:ligatures w14:val="none"/>
    </w:rPr>
  </w:style>
  <w:style w:type="paragraph" w:customStyle="1" w:styleId="227">
    <w:name w:val="正文1"/>
    <w:basedOn w:val="1"/>
    <w:link w:val="228"/>
    <w:semiHidden/>
    <w:qFormat/>
    <w:uiPriority w:val="0"/>
    <w:pPr>
      <w:widowControl/>
      <w:spacing w:line="460" w:lineRule="exact"/>
      <w:ind w:firstLine="200" w:firstLineChars="200"/>
    </w:pPr>
    <w:rPr>
      <w:rFonts w:ascii="Times New Roman" w:hAnsi="宋体" w:eastAsia="宋体" w:cs="宋体"/>
      <w:b/>
      <w:color w:val="000000"/>
      <w:kern w:val="0"/>
      <w:sz w:val="24"/>
      <w:szCs w:val="20"/>
      <w14:ligatures w14:val="none"/>
    </w:rPr>
  </w:style>
  <w:style w:type="character" w:customStyle="1" w:styleId="228">
    <w:name w:val="正文1 Char"/>
    <w:link w:val="227"/>
    <w:semiHidden/>
    <w:qFormat/>
    <w:uiPriority w:val="0"/>
    <w:rPr>
      <w:rFonts w:ascii="Times New Roman" w:hAnsi="宋体" w:eastAsia="宋体" w:cs="宋体"/>
      <w:b/>
      <w:color w:val="000000"/>
      <w:kern w:val="0"/>
      <w:sz w:val="24"/>
      <w:szCs w:val="20"/>
      <w14:ligatures w14:val="none"/>
    </w:rPr>
  </w:style>
  <w:style w:type="character" w:customStyle="1" w:styleId="229">
    <w:name w:val="0正文 Char"/>
    <w:link w:val="100"/>
    <w:qFormat/>
    <w:uiPriority w:val="0"/>
    <w:rPr>
      <w:rFonts w:ascii="Times New Roman" w:hAnsi="Times New Roman" w:eastAsia="宋体" w:cs="宋体"/>
      <w:kern w:val="0"/>
      <w:szCs w:val="21"/>
      <w14:ligatures w14:val="none"/>
    </w:rPr>
  </w:style>
  <w:style w:type="paragraph" w:customStyle="1" w:styleId="230">
    <w:name w:val="kkkkkkkkkkkkkkkk"/>
    <w:basedOn w:val="1"/>
    <w:link w:val="231"/>
    <w:semiHidden/>
    <w:qFormat/>
    <w:uiPriority w:val="0"/>
    <w:pPr>
      <w:widowControl/>
      <w:spacing w:line="360" w:lineRule="auto"/>
      <w:ind w:firstLine="480" w:firstLineChars="200"/>
    </w:pPr>
    <w:rPr>
      <w:rFonts w:ascii="宋体" w:hAnsi="宋体" w:eastAsia="宋体" w:cs="宋体"/>
      <w:color w:val="000000"/>
      <w:kern w:val="0"/>
      <w:sz w:val="24"/>
      <w:szCs w:val="24"/>
      <w:lang w:val="zh-CN"/>
      <w14:ligatures w14:val="none"/>
    </w:rPr>
  </w:style>
  <w:style w:type="character" w:customStyle="1" w:styleId="231">
    <w:name w:val="kkkkkkkkkkkkkkkk Char"/>
    <w:link w:val="230"/>
    <w:semiHidden/>
    <w:qFormat/>
    <w:uiPriority w:val="0"/>
    <w:rPr>
      <w:rFonts w:ascii="宋体" w:hAnsi="宋体" w:eastAsia="宋体" w:cs="宋体"/>
      <w:color w:val="000000"/>
      <w:kern w:val="0"/>
      <w:sz w:val="24"/>
      <w:szCs w:val="24"/>
      <w:lang w:val="zh-CN"/>
      <w14:ligatures w14:val="none"/>
    </w:rPr>
  </w:style>
  <w:style w:type="paragraph" w:customStyle="1" w:styleId="232">
    <w:name w:val="啊啊啊"/>
    <w:basedOn w:val="1"/>
    <w:semiHidden/>
    <w:qFormat/>
    <w:uiPriority w:val="0"/>
    <w:pPr>
      <w:widowControl/>
      <w:spacing w:line="300" w:lineRule="exact"/>
    </w:pPr>
    <w:rPr>
      <w:rFonts w:ascii="宋体" w:hAnsi="宋体" w:eastAsia="华文中宋" w:cs="宋体"/>
      <w:kern w:val="0"/>
      <w:szCs w:val="20"/>
      <w14:ligatures w14:val="none"/>
    </w:rPr>
  </w:style>
  <w:style w:type="paragraph" w:customStyle="1" w:styleId="233">
    <w:name w:val="p22"/>
    <w:basedOn w:val="1"/>
    <w:semiHidden/>
    <w:qFormat/>
    <w:uiPriority w:val="0"/>
    <w:pPr>
      <w:widowControl/>
      <w:spacing w:before="120" w:after="120" w:line="460" w:lineRule="atLeast"/>
      <w:ind w:firstLine="420"/>
    </w:pPr>
    <w:rPr>
      <w:rFonts w:ascii="宋体" w:hAnsi="宋体" w:eastAsia="宋体" w:cs="宋体"/>
      <w:spacing w:val="4"/>
      <w:kern w:val="0"/>
      <w:sz w:val="26"/>
      <w:szCs w:val="26"/>
      <w14:ligatures w14:val="none"/>
    </w:rPr>
  </w:style>
  <w:style w:type="character" w:customStyle="1" w:styleId="234">
    <w:name w:val="正文 Char Char"/>
    <w:link w:val="235"/>
    <w:qFormat/>
    <w:uiPriority w:val="0"/>
    <w:rPr>
      <w:rFonts w:ascii="宋体" w:hAnsi="宋体" w:cs="宋体"/>
      <w:sz w:val="24"/>
      <w:szCs w:val="24"/>
    </w:rPr>
  </w:style>
  <w:style w:type="paragraph" w:customStyle="1" w:styleId="235">
    <w:name w:val="正文3"/>
    <w:basedOn w:val="1"/>
    <w:next w:val="1"/>
    <w:link w:val="234"/>
    <w:qFormat/>
    <w:uiPriority w:val="0"/>
    <w:pPr>
      <w:widowControl/>
      <w:spacing w:line="529" w:lineRule="exact"/>
      <w:ind w:firstLine="420"/>
    </w:pPr>
    <w:rPr>
      <w:rFonts w:ascii="宋体" w:hAnsi="宋体" w:cs="宋体"/>
      <w:sz w:val="24"/>
      <w:szCs w:val="24"/>
    </w:rPr>
  </w:style>
  <w:style w:type="character" w:customStyle="1" w:styleId="236">
    <w:name w:val="li 2 Char"/>
    <w:link w:val="237"/>
    <w:qFormat/>
    <w:uiPriority w:val="0"/>
    <w:rPr>
      <w:rFonts w:ascii="宋体" w:hAnsi="宋体" w:eastAsia="黑体" w:cs="宋体"/>
      <w:b/>
      <w:bCs/>
      <w:kern w:val="44"/>
      <w:sz w:val="30"/>
      <w:szCs w:val="30"/>
    </w:rPr>
  </w:style>
  <w:style w:type="paragraph" w:customStyle="1" w:styleId="237">
    <w:name w:val="li 2"/>
    <w:basedOn w:val="2"/>
    <w:next w:val="2"/>
    <w:link w:val="236"/>
    <w:qFormat/>
    <w:uiPriority w:val="0"/>
    <w:pPr>
      <w:widowControl/>
      <w:spacing w:before="60" w:after="60"/>
      <w:ind w:left="432" w:firstLine="0"/>
      <w:jc w:val="both"/>
      <w:outlineLvl w:val="1"/>
    </w:pPr>
    <w:rPr>
      <w:rFonts w:ascii="宋体" w:hAnsi="宋体" w:cs="宋体"/>
      <w:sz w:val="30"/>
      <w:szCs w:val="30"/>
    </w:rPr>
  </w:style>
  <w:style w:type="paragraph" w:customStyle="1" w:styleId="238">
    <w:name w:val="li表格"/>
    <w:basedOn w:val="151"/>
    <w:next w:val="151"/>
    <w:semiHidden/>
    <w:qFormat/>
    <w:uiPriority w:val="0"/>
    <w:pPr>
      <w:spacing w:line="360" w:lineRule="exact"/>
      <w:ind w:left="-99" w:leftChars="-47" w:right="-69" w:rightChars="-33"/>
    </w:pPr>
    <w:rPr>
      <w:b/>
      <w:color w:val="0000FF"/>
      <w:spacing w:val="4"/>
      <w:sz w:val="24"/>
      <w:szCs w:val="21"/>
    </w:rPr>
  </w:style>
  <w:style w:type="paragraph" w:customStyle="1" w:styleId="239">
    <w:name w:val="标题2"/>
    <w:basedOn w:val="2"/>
    <w:next w:val="2"/>
    <w:semiHidden/>
    <w:qFormat/>
    <w:uiPriority w:val="0"/>
    <w:pPr>
      <w:widowControl/>
      <w:spacing w:before="60" w:after="60"/>
      <w:ind w:left="432" w:firstLine="0"/>
      <w:jc w:val="both"/>
      <w:outlineLvl w:val="1"/>
    </w:pPr>
    <w:rPr>
      <w:rFonts w:ascii="宋体" w:hAnsi="宋体" w:cs="宋体"/>
      <w:szCs w:val="30"/>
      <w14:ligatures w14:val="none"/>
    </w:rPr>
  </w:style>
  <w:style w:type="paragraph" w:customStyle="1" w:styleId="240">
    <w:name w:val="5-正文"/>
    <w:basedOn w:val="1"/>
    <w:link w:val="301"/>
    <w:semiHidden/>
    <w:qFormat/>
    <w:uiPriority w:val="0"/>
    <w:pPr>
      <w:widowControl/>
      <w:snapToGrid w:val="0"/>
      <w:spacing w:line="480" w:lineRule="exact"/>
      <w:ind w:firstLine="200" w:firstLineChars="200"/>
    </w:pPr>
    <w:rPr>
      <w:rFonts w:ascii="宋体" w:hAnsi="宋体" w:eastAsia="宋体" w:cs="宋体"/>
      <w:kern w:val="0"/>
      <w:sz w:val="24"/>
      <w:szCs w:val="20"/>
      <w14:ligatures w14:val="none"/>
    </w:rPr>
  </w:style>
  <w:style w:type="paragraph" w:customStyle="1" w:styleId="241">
    <w:name w:val="标准正文"/>
    <w:basedOn w:val="1"/>
    <w:link w:val="308"/>
    <w:semiHidden/>
    <w:qFormat/>
    <w:uiPriority w:val="0"/>
    <w:pPr>
      <w:widowControl/>
      <w:ind w:firstLine="480" w:firstLineChars="200"/>
    </w:pPr>
    <w:rPr>
      <w:rFonts w:ascii="宋体" w:hAnsi="宋体" w:eastAsia="宋体" w:cs="宋体"/>
      <w:kern w:val="0"/>
      <w:szCs w:val="24"/>
      <w14:ligatures w14:val="none"/>
    </w:rPr>
  </w:style>
  <w:style w:type="character" w:customStyle="1" w:styleId="242">
    <w:name w:val="正文缩进 字符1"/>
    <w:qFormat/>
    <w:uiPriority w:val="0"/>
    <w:rPr>
      <w:rFonts w:eastAsia="宋体"/>
      <w:kern w:val="2"/>
      <w:sz w:val="21"/>
      <w:szCs w:val="24"/>
      <w:lang w:val="en-US" w:eastAsia="zh-CN" w:bidi="ar-SA"/>
    </w:rPr>
  </w:style>
  <w:style w:type="paragraph" w:customStyle="1" w:styleId="243">
    <w:name w:val="内容"/>
    <w:basedOn w:val="1"/>
    <w:link w:val="244"/>
    <w:semiHidden/>
    <w:qFormat/>
    <w:uiPriority w:val="0"/>
    <w:pPr>
      <w:widowControl/>
      <w:spacing w:line="360" w:lineRule="auto"/>
      <w:ind w:firstLine="480" w:firstLineChars="200"/>
    </w:pPr>
    <w:rPr>
      <w:rFonts w:ascii="Times New Roman" w:hAnsi="宋体" w:eastAsia="宋体" w:cs="宋体"/>
      <w:kern w:val="0"/>
      <w:sz w:val="24"/>
      <w:szCs w:val="20"/>
      <w14:ligatures w14:val="none"/>
    </w:rPr>
  </w:style>
  <w:style w:type="character" w:customStyle="1" w:styleId="244">
    <w:name w:val="内容 Char"/>
    <w:link w:val="243"/>
    <w:semiHidden/>
    <w:qFormat/>
    <w:uiPriority w:val="0"/>
    <w:rPr>
      <w:rFonts w:ascii="Times New Roman" w:hAnsi="宋体" w:eastAsia="宋体" w:cs="宋体"/>
      <w:kern w:val="0"/>
      <w:sz w:val="24"/>
      <w:szCs w:val="20"/>
      <w14:ligatures w14:val="none"/>
    </w:rPr>
  </w:style>
  <w:style w:type="character" w:customStyle="1" w:styleId="245">
    <w:name w:val="纯文本 字符1"/>
    <w:semiHidden/>
    <w:qFormat/>
    <w:uiPriority w:val="0"/>
    <w:rPr>
      <w:rFonts w:ascii="宋体" w:hAnsi="Courier New" w:eastAsia="宋体"/>
      <w:kern w:val="2"/>
      <w:sz w:val="21"/>
      <w:lang w:val="en-US" w:eastAsia="zh-CN" w:bidi="ar-SA"/>
    </w:rPr>
  </w:style>
  <w:style w:type="character" w:customStyle="1" w:styleId="246">
    <w:name w:val="zw"/>
    <w:basedOn w:val="76"/>
    <w:semiHidden/>
    <w:qFormat/>
    <w:uiPriority w:val="0"/>
  </w:style>
  <w:style w:type="paragraph" w:customStyle="1" w:styleId="247">
    <w:name w:val="Default"/>
    <w:link w:val="299"/>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248">
    <w:name w:val="标准"/>
    <w:basedOn w:val="1"/>
    <w:link w:val="249"/>
    <w:semiHidden/>
    <w:qFormat/>
    <w:uiPriority w:val="0"/>
    <w:pPr>
      <w:widowControl/>
      <w:snapToGrid w:val="0"/>
      <w:spacing w:line="240" w:lineRule="atLeast"/>
      <w:jc w:val="left"/>
    </w:pPr>
    <w:rPr>
      <w:rFonts w:ascii="Times New Roman" w:hAnsi="宋体" w:eastAsia="宋体" w:cs="宋体"/>
      <w:kern w:val="22"/>
      <w:szCs w:val="20"/>
      <w14:ligatures w14:val="none"/>
    </w:rPr>
  </w:style>
  <w:style w:type="character" w:customStyle="1" w:styleId="249">
    <w:name w:val="标准 Char"/>
    <w:link w:val="248"/>
    <w:semiHidden/>
    <w:qFormat/>
    <w:uiPriority w:val="0"/>
    <w:rPr>
      <w:rFonts w:ascii="Times New Roman" w:hAnsi="宋体" w:eastAsia="宋体" w:cs="宋体"/>
      <w:kern w:val="22"/>
      <w:szCs w:val="20"/>
      <w14:ligatures w14:val="none"/>
    </w:rPr>
  </w:style>
  <w:style w:type="paragraph" w:customStyle="1" w:styleId="250">
    <w:name w:val="Table Paragraph"/>
    <w:basedOn w:val="1"/>
    <w:qFormat/>
    <w:uiPriority w:val="1"/>
    <w:pPr>
      <w:widowControl/>
      <w:autoSpaceDE w:val="0"/>
      <w:autoSpaceDN w:val="0"/>
      <w:adjustRightInd w:val="0"/>
      <w:jc w:val="left"/>
    </w:pPr>
    <w:rPr>
      <w:rFonts w:ascii="宋体" w:hAnsi="宋体" w:eastAsia="等线" w:cs="宋体"/>
      <w:kern w:val="0"/>
      <w:sz w:val="24"/>
      <w:szCs w:val="24"/>
      <w14:ligatures w14:val="none"/>
    </w:rPr>
  </w:style>
  <w:style w:type="character" w:customStyle="1" w:styleId="251">
    <w:name w:val="环评正文 Char"/>
    <w:link w:val="252"/>
    <w:semiHidden/>
    <w:qFormat/>
    <w:uiPriority w:val="0"/>
    <w:rPr>
      <w:rFonts w:ascii="宋体" w:hAnsi="宋体" w:cs="宋体"/>
      <w:snapToGrid w:val="0"/>
      <w:sz w:val="26"/>
      <w:szCs w:val="26"/>
    </w:rPr>
  </w:style>
  <w:style w:type="paragraph" w:customStyle="1" w:styleId="252">
    <w:name w:val="环评正文"/>
    <w:basedOn w:val="1"/>
    <w:link w:val="251"/>
    <w:semiHidden/>
    <w:qFormat/>
    <w:uiPriority w:val="0"/>
    <w:pPr>
      <w:widowControl/>
      <w:spacing w:line="480" w:lineRule="exact"/>
      <w:ind w:firstLine="520" w:firstLineChars="200"/>
    </w:pPr>
    <w:rPr>
      <w:rFonts w:ascii="宋体" w:hAnsi="宋体" w:cs="宋体"/>
      <w:snapToGrid w:val="0"/>
      <w:sz w:val="26"/>
      <w:szCs w:val="26"/>
    </w:rPr>
  </w:style>
  <w:style w:type="paragraph" w:customStyle="1" w:styleId="253">
    <w:name w:val="正文小四首缩1.3行距"/>
    <w:basedOn w:val="1"/>
    <w:link w:val="254"/>
    <w:semiHidden/>
    <w:qFormat/>
    <w:uiPriority w:val="0"/>
    <w:pPr>
      <w:widowControl/>
      <w:spacing w:line="312" w:lineRule="auto"/>
      <w:ind w:firstLine="420" w:firstLineChars="200"/>
    </w:pPr>
    <w:rPr>
      <w:rFonts w:ascii="Times New Roman" w:hAnsi="宋体" w:eastAsia="宋体" w:cs="宋体"/>
      <w:kern w:val="0"/>
      <w:sz w:val="24"/>
      <w:szCs w:val="24"/>
      <w14:ligatures w14:val="none"/>
    </w:rPr>
  </w:style>
  <w:style w:type="character" w:customStyle="1" w:styleId="254">
    <w:name w:val="正文小四首缩1.3行距 Char"/>
    <w:link w:val="253"/>
    <w:semiHidden/>
    <w:qFormat/>
    <w:uiPriority w:val="0"/>
    <w:rPr>
      <w:rFonts w:ascii="Times New Roman" w:hAnsi="宋体" w:eastAsia="宋体" w:cs="宋体"/>
      <w:kern w:val="0"/>
      <w:sz w:val="24"/>
      <w:szCs w:val="24"/>
      <w14:ligatures w14:val="none"/>
    </w:rPr>
  </w:style>
  <w:style w:type="character" w:customStyle="1" w:styleId="255">
    <w:name w:val="正文缩进 Char"/>
    <w:qFormat/>
    <w:uiPriority w:val="0"/>
    <w:rPr>
      <w:kern w:val="2"/>
      <w:sz w:val="28"/>
      <w:szCs w:val="28"/>
    </w:rPr>
  </w:style>
  <w:style w:type="paragraph" w:customStyle="1" w:styleId="256">
    <w:name w:val="表格标题"/>
    <w:basedOn w:val="19"/>
    <w:link w:val="297"/>
    <w:semiHidden/>
    <w:qFormat/>
    <w:uiPriority w:val="0"/>
    <w:pPr>
      <w:widowControl/>
      <w:adjustRightInd w:val="0"/>
      <w:snapToGrid w:val="0"/>
      <w:spacing w:before="120" w:after="40" w:line="320" w:lineRule="exact"/>
    </w:pPr>
    <w:rPr>
      <w:rFonts w:ascii="Times New Roman" w:hAnsi="Times New Roman" w:cs="宋体"/>
      <w:bCs/>
      <w:spacing w:val="4"/>
      <w:kern w:val="0"/>
      <w14:ligatures w14:val="none"/>
    </w:rPr>
  </w:style>
  <w:style w:type="paragraph" w:customStyle="1" w:styleId="257">
    <w:name w:val="正文内容"/>
    <w:basedOn w:val="1"/>
    <w:link w:val="284"/>
    <w:semiHidden/>
    <w:qFormat/>
    <w:uiPriority w:val="0"/>
    <w:pPr>
      <w:widowControl/>
      <w:spacing w:line="440" w:lineRule="exact"/>
      <w:ind w:firstLine="480" w:firstLineChars="200"/>
    </w:pPr>
    <w:rPr>
      <w:rFonts w:ascii="宋体" w:hAnsi="宋体" w:eastAsia="宋体" w:cs="宋体"/>
      <w:color w:val="000000"/>
      <w:kern w:val="0"/>
      <w:sz w:val="24"/>
      <w:szCs w:val="24"/>
      <w14:ligatures w14:val="none"/>
    </w:rPr>
  </w:style>
  <w:style w:type="paragraph" w:customStyle="1" w:styleId="258">
    <w:name w:val="1.1标题"/>
    <w:basedOn w:val="3"/>
    <w:semiHidden/>
    <w:qFormat/>
    <w:uiPriority w:val="0"/>
    <w:pPr>
      <w:widowControl/>
      <w:numPr>
        <w:ilvl w:val="0"/>
        <w:numId w:val="0"/>
      </w:numPr>
      <w:spacing w:line="440" w:lineRule="exact"/>
    </w:pPr>
    <w:rPr>
      <w:rFonts w:ascii="Times New Roman" w:hAnsi="宋体" w:cs="宋体"/>
      <w:b w:val="0"/>
      <w:spacing w:val="4"/>
      <w:kern w:val="0"/>
      <w:sz w:val="30"/>
      <w:szCs w:val="30"/>
      <w14:ligatures w14:val="none"/>
    </w:rPr>
  </w:style>
  <w:style w:type="paragraph" w:customStyle="1" w:styleId="259">
    <w:name w:val="TOC 标题11"/>
    <w:basedOn w:val="2"/>
    <w:next w:val="1"/>
    <w:semiHidden/>
    <w:qFormat/>
    <w:uiPriority w:val="39"/>
    <w:pPr>
      <w:widowControl/>
      <w:spacing w:before="480" w:line="276" w:lineRule="auto"/>
      <w:ind w:left="432" w:firstLine="0"/>
      <w:jc w:val="left"/>
      <w:outlineLvl w:val="9"/>
    </w:pPr>
    <w:rPr>
      <w:rFonts w:ascii="Cambria" w:hAnsi="Cambria" w:eastAsia="宋体" w:cs="宋体"/>
      <w:color w:val="365F91"/>
      <w:kern w:val="0"/>
      <w:sz w:val="28"/>
      <w:szCs w:val="28"/>
      <w14:ligatures w14:val="none"/>
    </w:rPr>
  </w:style>
  <w:style w:type="character" w:customStyle="1" w:styleId="260">
    <w:name w:val="不明显强调1"/>
    <w:semiHidden/>
    <w:qFormat/>
    <w:uiPriority w:val="19"/>
    <w:rPr>
      <w:i/>
      <w:iCs/>
      <w:color w:val="808080"/>
    </w:rPr>
  </w:style>
  <w:style w:type="character" w:customStyle="1" w:styleId="261">
    <w:name w:val="表内容 Char"/>
    <w:link w:val="109"/>
    <w:qFormat/>
    <w:uiPriority w:val="0"/>
    <w:rPr>
      <w:rFonts w:ascii="Times New Roman" w:hAnsi="Times New Roman" w:eastAsia="宋体" w:cs="Times New Roman"/>
      <w:szCs w:val="24"/>
      <w14:ligatures w14:val="none"/>
    </w:rPr>
  </w:style>
  <w:style w:type="paragraph" w:customStyle="1" w:styleId="262">
    <w:name w:val="表格内容小四号"/>
    <w:semiHidden/>
    <w:qFormat/>
    <w:uiPriority w:val="0"/>
    <w:pPr>
      <w:snapToGrid w:val="0"/>
      <w:spacing w:line="240" w:lineRule="atLeast"/>
      <w:jc w:val="center"/>
    </w:pPr>
    <w:rPr>
      <w:rFonts w:ascii="Calibri" w:hAnsi="Calibri" w:eastAsia="宋体" w:cs="Times New Roman"/>
      <w:kern w:val="2"/>
      <w:sz w:val="24"/>
      <w:szCs w:val="24"/>
      <w:lang w:val="en-US" w:eastAsia="zh-CN" w:bidi="ar-SA"/>
    </w:rPr>
  </w:style>
  <w:style w:type="paragraph" w:customStyle="1" w:styleId="263">
    <w:name w:val="表格内容"/>
    <w:basedOn w:val="1"/>
    <w:qFormat/>
    <w:uiPriority w:val="0"/>
    <w:pPr>
      <w:widowControl/>
      <w:jc w:val="center"/>
    </w:pPr>
    <w:rPr>
      <w:rFonts w:ascii="Times New Roman" w:hAnsi="宋体" w:eastAsia="宋体" w:cs="宋体"/>
      <w:kern w:val="0"/>
      <w:szCs w:val="24"/>
      <w14:ligatures w14:val="none"/>
    </w:rPr>
  </w:style>
  <w:style w:type="paragraph" w:customStyle="1" w:styleId="264">
    <w:name w:val="1.1.1标题"/>
    <w:basedOn w:val="4"/>
    <w:semiHidden/>
    <w:qFormat/>
    <w:uiPriority w:val="0"/>
    <w:pPr>
      <w:widowControl/>
      <w:spacing w:before="240" w:after="120" w:line="360" w:lineRule="exact"/>
    </w:pPr>
    <w:rPr>
      <w:rFonts w:ascii="Times New Roman" w:hAnsi="宋体" w:cs="宋体"/>
      <w:b w:val="0"/>
      <w:spacing w:val="10"/>
      <w:kern w:val="24"/>
      <w:szCs w:val="28"/>
      <w14:ligatures w14:val="none"/>
    </w:rPr>
  </w:style>
  <w:style w:type="character" w:customStyle="1" w:styleId="265">
    <w:name w:val="页眉 Char"/>
    <w:semiHidden/>
    <w:qFormat/>
    <w:uiPriority w:val="0"/>
    <w:rPr>
      <w:rFonts w:eastAsia="宋体"/>
      <w:kern w:val="2"/>
      <w:sz w:val="18"/>
      <w:szCs w:val="18"/>
      <w:lang w:val="en-US" w:eastAsia="zh-CN" w:bidi="ar-SA"/>
    </w:rPr>
  </w:style>
  <w:style w:type="character" w:customStyle="1" w:styleId="266">
    <w:name w:val="页脚 Char"/>
    <w:semiHidden/>
    <w:qFormat/>
    <w:uiPriority w:val="0"/>
    <w:rPr>
      <w:rFonts w:eastAsia="宋体"/>
      <w:kern w:val="2"/>
      <w:sz w:val="18"/>
      <w:szCs w:val="18"/>
      <w:lang w:val="en-US" w:eastAsia="zh-CN" w:bidi="ar-SA"/>
    </w:rPr>
  </w:style>
  <w:style w:type="character" w:customStyle="1" w:styleId="267">
    <w:name w:val="正文文本 Char3"/>
    <w:semiHidden/>
    <w:qFormat/>
    <w:uiPriority w:val="0"/>
    <w:rPr>
      <w:rFonts w:eastAsia="宋体"/>
      <w:kern w:val="2"/>
      <w:sz w:val="24"/>
      <w:szCs w:val="24"/>
      <w:lang w:val="en-US" w:eastAsia="zh-CN" w:bidi="ar-SA"/>
    </w:rPr>
  </w:style>
  <w:style w:type="paragraph" w:customStyle="1" w:styleId="268">
    <w:name w:val="z正文"/>
    <w:basedOn w:val="1"/>
    <w:semiHidden/>
    <w:qFormat/>
    <w:uiPriority w:val="0"/>
    <w:pPr>
      <w:widowControl/>
      <w:spacing w:line="500" w:lineRule="exact"/>
      <w:ind w:firstLine="200" w:firstLineChars="200"/>
    </w:pPr>
    <w:rPr>
      <w:rFonts w:ascii="Times New Roman" w:hAnsi="宋体" w:eastAsia="宋体" w:cs="宋体"/>
      <w:kern w:val="0"/>
      <w:sz w:val="24"/>
      <w:szCs w:val="24"/>
      <w14:ligatures w14:val="none"/>
    </w:rPr>
  </w:style>
  <w:style w:type="paragraph" w:customStyle="1" w:styleId="269">
    <w:name w:val="新正文11"/>
    <w:basedOn w:val="1"/>
    <w:link w:val="270"/>
    <w:semiHidden/>
    <w:qFormat/>
    <w:uiPriority w:val="0"/>
    <w:pPr>
      <w:widowControl/>
      <w:autoSpaceDE w:val="0"/>
      <w:autoSpaceDN w:val="0"/>
      <w:adjustRightInd w:val="0"/>
      <w:spacing w:line="480" w:lineRule="exact"/>
      <w:ind w:firstLine="200" w:firstLineChars="200"/>
      <w:jc w:val="left"/>
    </w:pPr>
    <w:rPr>
      <w:rFonts w:ascii="Times New Roman" w:hAnsi="宋体" w:eastAsia="宋体" w:cs="宋体"/>
      <w:kern w:val="0"/>
      <w:sz w:val="24"/>
      <w:szCs w:val="24"/>
      <w14:ligatures w14:val="none"/>
    </w:rPr>
  </w:style>
  <w:style w:type="character" w:customStyle="1" w:styleId="270">
    <w:name w:val="新正文11 字符"/>
    <w:link w:val="269"/>
    <w:semiHidden/>
    <w:qFormat/>
    <w:uiPriority w:val="0"/>
    <w:rPr>
      <w:rFonts w:ascii="Times New Roman" w:hAnsi="宋体" w:eastAsia="宋体" w:cs="宋体"/>
      <w:kern w:val="0"/>
      <w:sz w:val="24"/>
      <w:szCs w:val="24"/>
      <w14:ligatures w14:val="none"/>
    </w:rPr>
  </w:style>
  <w:style w:type="character" w:customStyle="1" w:styleId="271">
    <w:name w:val="题注 字符1"/>
    <w:semiHidden/>
    <w:qFormat/>
    <w:uiPriority w:val="0"/>
    <w:rPr>
      <w:b/>
      <w:kern w:val="2"/>
      <w:sz w:val="21"/>
    </w:rPr>
  </w:style>
  <w:style w:type="paragraph" w:customStyle="1" w:styleId="272">
    <w:name w:val="报告正文"/>
    <w:basedOn w:val="1"/>
    <w:semiHidden/>
    <w:qFormat/>
    <w:uiPriority w:val="99"/>
    <w:pPr>
      <w:widowControl/>
      <w:autoSpaceDE w:val="0"/>
      <w:autoSpaceDN w:val="0"/>
      <w:adjustRightInd w:val="0"/>
      <w:spacing w:line="560" w:lineRule="atLeast"/>
      <w:ind w:firstLine="200" w:firstLineChars="200"/>
      <w:textAlignment w:val="baseline"/>
    </w:pPr>
    <w:rPr>
      <w:rFonts w:ascii="宋体" w:hAnsi="宋体" w:eastAsia="宋体" w:cs="宋体"/>
      <w:kern w:val="0"/>
      <w:sz w:val="24"/>
      <w:szCs w:val="20"/>
      <w14:ligatures w14:val="none"/>
    </w:rPr>
  </w:style>
  <w:style w:type="character" w:customStyle="1" w:styleId="273">
    <w:name w:val="纯文本 字符2"/>
    <w:semiHidden/>
    <w:qFormat/>
    <w:uiPriority w:val="0"/>
    <w:rPr>
      <w:rFonts w:ascii="宋体" w:hAnsi="宋体" w:eastAsia="宋体" w:cs="宋体"/>
      <w:color w:val="000000"/>
      <w:kern w:val="2"/>
      <w:sz w:val="28"/>
      <w:szCs w:val="21"/>
      <w:lang w:val="en-US" w:eastAsia="zh-CN" w:bidi="ar-SA"/>
    </w:rPr>
  </w:style>
  <w:style w:type="character" w:customStyle="1" w:styleId="274">
    <w:name w:val="样式 四号"/>
    <w:qFormat/>
    <w:uiPriority w:val="0"/>
    <w:rPr>
      <w:rFonts w:ascii="仿宋_GB2312" w:eastAsia="仿宋_GB2312"/>
      <w:b/>
      <w:kern w:val="2"/>
      <w:sz w:val="32"/>
      <w:szCs w:val="32"/>
      <w:lang w:val="en-US" w:eastAsia="zh-CN" w:bidi="ar-SA"/>
    </w:rPr>
  </w:style>
  <w:style w:type="paragraph" w:customStyle="1" w:styleId="275">
    <w:name w:val="表格（5号）"/>
    <w:basedOn w:val="1"/>
    <w:semiHidden/>
    <w:qFormat/>
    <w:uiPriority w:val="0"/>
    <w:pPr>
      <w:widowControl/>
      <w:adjustRightInd w:val="0"/>
      <w:snapToGrid w:val="0"/>
      <w:spacing w:line="360" w:lineRule="exact"/>
      <w:ind w:left="-113" w:right="-113"/>
      <w:jc w:val="center"/>
    </w:pPr>
    <w:rPr>
      <w:rFonts w:ascii="宋体" w:hAnsi="宋体" w:eastAsia="宋体" w:cs="Courier New"/>
      <w:color w:val="000000"/>
      <w:kern w:val="0"/>
      <w:sz w:val="18"/>
      <w:szCs w:val="20"/>
      <w14:ligatures w14:val="none"/>
    </w:rPr>
  </w:style>
  <w:style w:type="character" w:customStyle="1" w:styleId="276">
    <w:name w:val="fontstyle01"/>
    <w:semiHidden/>
    <w:qFormat/>
    <w:uiPriority w:val="0"/>
    <w:rPr>
      <w:rFonts w:hint="eastAsia" w:ascii="宋体" w:hAnsi="宋体" w:eastAsia="宋体"/>
      <w:color w:val="000000"/>
      <w:sz w:val="24"/>
      <w:szCs w:val="24"/>
    </w:rPr>
  </w:style>
  <w:style w:type="paragraph" w:customStyle="1" w:styleId="277">
    <w:name w:val="Char4"/>
    <w:basedOn w:val="1"/>
    <w:semiHidden/>
    <w:qFormat/>
    <w:uiPriority w:val="0"/>
    <w:pPr>
      <w:widowControl/>
      <w:spacing w:line="440" w:lineRule="exact"/>
      <w:ind w:firstLine="480" w:firstLineChars="200"/>
    </w:pPr>
    <w:rPr>
      <w:rFonts w:ascii="Times New Roman" w:hAnsi="宋体" w:eastAsia="宋体" w:cs="宋体"/>
      <w:kern w:val="0"/>
      <w:sz w:val="24"/>
      <w14:ligatures w14:val="none"/>
    </w:rPr>
  </w:style>
  <w:style w:type="paragraph" w:customStyle="1" w:styleId="278">
    <w:name w:val="[1]正文"/>
    <w:basedOn w:val="1"/>
    <w:qFormat/>
    <w:uiPriority w:val="0"/>
    <w:pPr>
      <w:widowControl/>
      <w:autoSpaceDE w:val="0"/>
      <w:autoSpaceDN w:val="0"/>
      <w:ind w:firstLine="200" w:firstLineChars="200"/>
    </w:pPr>
    <w:rPr>
      <w:rFonts w:ascii="Times New Roman" w:hAnsi="宋体" w:eastAsia="仿宋_GB2312" w:cs="宋体"/>
      <w:color w:val="000000"/>
      <w:kern w:val="0"/>
      <w:sz w:val="28"/>
      <w:szCs w:val="24"/>
      <w:lang w:val="zh-CN"/>
      <w14:ligatures w14:val="none"/>
    </w:rPr>
  </w:style>
  <w:style w:type="character" w:customStyle="1" w:styleId="279">
    <w:name w:val="font61"/>
    <w:qFormat/>
    <w:uiPriority w:val="0"/>
    <w:rPr>
      <w:rFonts w:hint="default" w:ascii="Times New Roman" w:hAnsi="Times New Roman" w:cs="Times New Roman"/>
      <w:color w:val="000000"/>
      <w:sz w:val="21"/>
      <w:szCs w:val="21"/>
      <w:u w:val="none"/>
      <w:vertAlign w:val="superscript"/>
    </w:rPr>
  </w:style>
  <w:style w:type="character" w:customStyle="1" w:styleId="280">
    <w:name w:val="font51"/>
    <w:semiHidden/>
    <w:qFormat/>
    <w:uiPriority w:val="0"/>
    <w:rPr>
      <w:rFonts w:hint="default" w:ascii="Times New Roman" w:hAnsi="Times New Roman" w:cs="Times New Roman"/>
      <w:color w:val="000000"/>
      <w:sz w:val="21"/>
      <w:szCs w:val="21"/>
      <w:u w:val="none"/>
      <w:vertAlign w:val="subscript"/>
    </w:rPr>
  </w:style>
  <w:style w:type="paragraph" w:customStyle="1" w:styleId="281">
    <w:name w:val="图片标题"/>
    <w:basedOn w:val="1"/>
    <w:semiHidden/>
    <w:qFormat/>
    <w:uiPriority w:val="0"/>
    <w:pPr>
      <w:widowControl/>
      <w:spacing w:line="360" w:lineRule="auto"/>
      <w:jc w:val="center"/>
    </w:pPr>
    <w:rPr>
      <w:rFonts w:ascii="Times New Roman" w:hAnsi="宋体" w:eastAsia="宋体" w:cs="宋体"/>
      <w:b/>
      <w:kern w:val="0"/>
      <w14:ligatures w14:val="none"/>
    </w:rPr>
  </w:style>
  <w:style w:type="paragraph" w:customStyle="1" w:styleId="282">
    <w:name w:val="深泽正文"/>
    <w:basedOn w:val="38"/>
    <w:semiHidden/>
    <w:qFormat/>
    <w:uiPriority w:val="0"/>
    <w:pPr>
      <w:widowControl/>
      <w:overflowPunct w:val="0"/>
      <w:autoSpaceDE w:val="0"/>
      <w:autoSpaceDN w:val="0"/>
      <w:adjustRightInd w:val="0"/>
      <w:spacing w:line="440" w:lineRule="exact"/>
      <w:ind w:firstLine="488" w:firstLineChars="200"/>
      <w:jc w:val="left"/>
      <w:textAlignment w:val="baseline"/>
    </w:pPr>
    <w:rPr>
      <w:rFonts w:ascii="Times New Roman" w:hAnsi="Times New Roman" w:eastAsia="等线" w:cs="宋体"/>
      <w:spacing w:val="4"/>
      <w:kern w:val="0"/>
      <w:sz w:val="24"/>
      <w:szCs w:val="24"/>
      <w:lang w:val="zh-CN"/>
      <w14:ligatures w14:val="none"/>
    </w:rPr>
  </w:style>
  <w:style w:type="character" w:customStyle="1" w:styleId="283">
    <w:name w:val="无间隔 字符"/>
    <w:link w:val="221"/>
    <w:qFormat/>
    <w:uiPriority w:val="0"/>
    <w:rPr>
      <w:rFonts w:ascii="Times New Roman" w:hAnsi="Times New Roman" w:eastAsia="宋体" w:cs="Times New Roman"/>
      <w:bCs/>
      <w:szCs w:val="18"/>
      <w14:ligatures w14:val="none"/>
    </w:rPr>
  </w:style>
  <w:style w:type="character" w:customStyle="1" w:styleId="284">
    <w:name w:val="正文内容 Char"/>
    <w:link w:val="257"/>
    <w:semiHidden/>
    <w:qFormat/>
    <w:uiPriority w:val="0"/>
    <w:rPr>
      <w:rFonts w:ascii="宋体" w:hAnsi="宋体" w:eastAsia="宋体" w:cs="宋体"/>
      <w:color w:val="000000"/>
      <w:kern w:val="0"/>
      <w:sz w:val="24"/>
      <w:szCs w:val="24"/>
      <w14:ligatures w14:val="none"/>
    </w:rPr>
  </w:style>
  <w:style w:type="character" w:customStyle="1" w:styleId="285">
    <w:name w:val="正文文本136 字符"/>
    <w:link w:val="286"/>
    <w:semiHidden/>
    <w:qFormat/>
    <w:uiPriority w:val="0"/>
    <w:rPr>
      <w:rFonts w:hAnsi="宋体" w:cs="宋体"/>
      <w:color w:val="000000"/>
      <w:spacing w:val="4"/>
      <w:sz w:val="24"/>
      <w:szCs w:val="24"/>
    </w:rPr>
  </w:style>
  <w:style w:type="paragraph" w:customStyle="1" w:styleId="286">
    <w:name w:val="正文文本136"/>
    <w:basedOn w:val="28"/>
    <w:link w:val="285"/>
    <w:semiHidden/>
    <w:qFormat/>
    <w:uiPriority w:val="0"/>
    <w:pPr>
      <w:spacing w:after="0"/>
      <w:ind w:firstLine="496"/>
    </w:pPr>
    <w:rPr>
      <w:rFonts w:asciiTheme="minorHAnsi" w:eastAsiaTheme="minorEastAsia"/>
      <w:color w:val="000000"/>
      <w:spacing w:val="4"/>
      <w:kern w:val="2"/>
      <w14:ligatures w14:val="standardContextual"/>
    </w:rPr>
  </w:style>
  <w:style w:type="paragraph" w:customStyle="1" w:styleId="287">
    <w:name w:val="Char Char1 Char Char Char Char"/>
    <w:basedOn w:val="1"/>
    <w:semiHidden/>
    <w:qFormat/>
    <w:uiPriority w:val="0"/>
    <w:pPr>
      <w:widowControl/>
      <w:spacing w:line="560" w:lineRule="exact"/>
      <w:ind w:firstLine="200" w:firstLineChars="200"/>
    </w:pPr>
    <w:rPr>
      <w:rFonts w:ascii="宋体" w:hAnsi="宋体" w:eastAsia="宋体" w:cs="宋体"/>
      <w:kern w:val="0"/>
      <w:sz w:val="28"/>
      <w:szCs w:val="28"/>
      <w14:ligatures w14:val="none"/>
    </w:rPr>
  </w:style>
  <w:style w:type="character" w:customStyle="1" w:styleId="288">
    <w:name w:val="正文 New New Char1"/>
    <w:link w:val="289"/>
    <w:semiHidden/>
    <w:qFormat/>
    <w:uiPriority w:val="99"/>
    <w:rPr>
      <w:sz w:val="24"/>
      <w:szCs w:val="24"/>
    </w:rPr>
  </w:style>
  <w:style w:type="paragraph" w:customStyle="1" w:styleId="289">
    <w:name w:val="正文 New New"/>
    <w:link w:val="288"/>
    <w:semiHidden/>
    <w:qFormat/>
    <w:uiPriority w:val="99"/>
    <w:pPr>
      <w:widowControl w:val="0"/>
      <w:spacing w:line="480" w:lineRule="exact"/>
      <w:ind w:firstLine="1044" w:firstLineChars="200"/>
      <w:jc w:val="both"/>
    </w:pPr>
    <w:rPr>
      <w:rFonts w:asciiTheme="minorHAnsi" w:hAnsiTheme="minorHAnsi" w:eastAsiaTheme="minorEastAsia" w:cstheme="minorBidi"/>
      <w:kern w:val="2"/>
      <w:sz w:val="24"/>
      <w:szCs w:val="24"/>
      <w:lang w:val="en-US" w:eastAsia="zh-CN" w:bidi="ar-SA"/>
      <w14:ligatures w14:val="standardContextual"/>
    </w:rPr>
  </w:style>
  <w:style w:type="paragraph" w:customStyle="1" w:styleId="290">
    <w:name w:val="标题1"/>
    <w:basedOn w:val="2"/>
    <w:next w:val="3"/>
    <w:semiHidden/>
    <w:qFormat/>
    <w:uiPriority w:val="0"/>
    <w:pPr>
      <w:widowControl/>
      <w:spacing w:before="60" w:after="60" w:line="480" w:lineRule="exact"/>
      <w:ind w:left="432" w:firstLine="0"/>
      <w:jc w:val="both"/>
      <w:outlineLvl w:val="1"/>
    </w:pPr>
    <w:rPr>
      <w:rFonts w:ascii="Calibri" w:hAnsi="宋体" w:eastAsia="宋体" w:cs="宋体"/>
      <w:bCs w:val="0"/>
      <w:szCs w:val="24"/>
      <w14:ligatures w14:val="none"/>
    </w:rPr>
  </w:style>
  <w:style w:type="character" w:customStyle="1" w:styleId="291">
    <w:name w:val="批注文字 Char"/>
    <w:qFormat/>
    <w:uiPriority w:val="0"/>
    <w:rPr>
      <w:kern w:val="2"/>
      <w:sz w:val="24"/>
      <w:szCs w:val="24"/>
    </w:rPr>
  </w:style>
  <w:style w:type="paragraph" w:customStyle="1" w:styleId="292">
    <w:name w:val="标题 3条"/>
    <w:basedOn w:val="4"/>
    <w:semiHidden/>
    <w:qFormat/>
    <w:uiPriority w:val="0"/>
    <w:pPr>
      <w:widowControl/>
      <w:spacing w:before="120" w:after="20" w:line="360" w:lineRule="auto"/>
      <w:ind w:firstLine="562" w:firstLineChars="200"/>
    </w:pPr>
    <w:rPr>
      <w:rFonts w:ascii="Times New Roman" w:hAnsi="宋体" w:cs="宋体"/>
      <w:b w:val="0"/>
      <w:kern w:val="0"/>
      <w:sz w:val="28"/>
      <w:szCs w:val="20"/>
      <w14:ligatures w14:val="none"/>
    </w:rPr>
  </w:style>
  <w:style w:type="character" w:customStyle="1" w:styleId="293">
    <w:name w:val="标题3 Char"/>
    <w:link w:val="294"/>
    <w:semiHidden/>
    <w:qFormat/>
    <w:uiPriority w:val="0"/>
    <w:rPr>
      <w:rFonts w:ascii="Calibri" w:hAnsi="Calibri" w:cs="宋体"/>
      <w:b/>
      <w:sz w:val="24"/>
    </w:rPr>
  </w:style>
  <w:style w:type="paragraph" w:customStyle="1" w:styleId="294">
    <w:name w:val="标题3"/>
    <w:basedOn w:val="1"/>
    <w:next w:val="5"/>
    <w:link w:val="293"/>
    <w:semiHidden/>
    <w:qFormat/>
    <w:uiPriority w:val="0"/>
    <w:pPr>
      <w:widowControl/>
      <w:spacing w:line="480" w:lineRule="exact"/>
      <w:outlineLvl w:val="3"/>
    </w:pPr>
    <w:rPr>
      <w:rFonts w:ascii="Calibri" w:hAnsi="Calibri" w:cs="宋体"/>
      <w:b/>
      <w:sz w:val="24"/>
    </w:rPr>
  </w:style>
  <w:style w:type="character" w:customStyle="1" w:styleId="295">
    <w:name w:val="纯文本 字符4"/>
    <w:semiHidden/>
    <w:qFormat/>
    <w:uiPriority w:val="0"/>
    <w:rPr>
      <w:rFonts w:ascii="宋体" w:hAnsi="Courier New" w:eastAsia="宋体" w:cs="Courier New"/>
      <w:kern w:val="2"/>
      <w:sz w:val="21"/>
      <w:szCs w:val="21"/>
      <w:lang w:val="en-US" w:eastAsia="zh-CN" w:bidi="ar-SA"/>
    </w:rPr>
  </w:style>
  <w:style w:type="paragraph" w:customStyle="1" w:styleId="296">
    <w:name w:val="样式 标题 3条标题1.1.1h33rd levelH3l3CTW3标题 3 Char1行标题ReHead..."/>
    <w:basedOn w:val="4"/>
    <w:semiHidden/>
    <w:qFormat/>
    <w:uiPriority w:val="0"/>
    <w:pPr>
      <w:widowControl/>
      <w:spacing w:before="120" w:after="40" w:line="360" w:lineRule="auto"/>
      <w:ind w:firstLine="170" w:firstLineChars="170"/>
    </w:pPr>
    <w:rPr>
      <w:rFonts w:ascii="Times New Roman" w:hAnsi="宋体" w:cs="宋体"/>
      <w:b w:val="0"/>
      <w:kern w:val="0"/>
      <w:sz w:val="28"/>
      <w:szCs w:val="20"/>
      <w14:ligatures w14:val="none"/>
    </w:rPr>
  </w:style>
  <w:style w:type="character" w:customStyle="1" w:styleId="297">
    <w:name w:val="表格标题 Char"/>
    <w:link w:val="256"/>
    <w:semiHidden/>
    <w:qFormat/>
    <w:uiPriority w:val="0"/>
    <w:rPr>
      <w:rFonts w:ascii="Times New Roman" w:hAnsi="Times New Roman" w:eastAsia="宋体" w:cs="宋体"/>
      <w:b/>
      <w:bCs/>
      <w:spacing w:val="4"/>
      <w:kern w:val="0"/>
      <w:sz w:val="24"/>
      <w:szCs w:val="20"/>
      <w14:ligatures w14:val="none"/>
    </w:rPr>
  </w:style>
  <w:style w:type="paragraph" w:customStyle="1" w:styleId="298">
    <w:name w:val="表文字"/>
    <w:basedOn w:val="1"/>
    <w:link w:val="376"/>
    <w:qFormat/>
    <w:uiPriority w:val="0"/>
    <w:pPr>
      <w:widowControl/>
      <w:jc w:val="center"/>
    </w:pPr>
    <w:rPr>
      <w:rFonts w:ascii="Times New Roman" w:hAnsi="宋体" w:eastAsia="汉鼎简书宋" w:cs="宋体"/>
      <w:kern w:val="0"/>
      <w:szCs w:val="24"/>
      <w14:ligatures w14:val="none"/>
    </w:rPr>
  </w:style>
  <w:style w:type="character" w:customStyle="1" w:styleId="299">
    <w:name w:val="Default Char"/>
    <w:link w:val="247"/>
    <w:qFormat/>
    <w:uiPriority w:val="0"/>
    <w:rPr>
      <w:rFonts w:ascii="宋体" w:hAnsi="Times New Roman" w:eastAsia="宋体" w:cs="宋体"/>
      <w:color w:val="000000"/>
      <w:kern w:val="0"/>
      <w:sz w:val="24"/>
      <w:szCs w:val="24"/>
      <w14:ligatures w14:val="none"/>
    </w:rPr>
  </w:style>
  <w:style w:type="paragraph" w:customStyle="1" w:styleId="300">
    <w:name w:val="Char Char1 Char Char Char Char3"/>
    <w:basedOn w:val="1"/>
    <w:semiHidden/>
    <w:qFormat/>
    <w:uiPriority w:val="0"/>
    <w:pPr>
      <w:widowControl/>
      <w:spacing w:line="560" w:lineRule="exact"/>
      <w:ind w:firstLine="200" w:firstLineChars="200"/>
    </w:pPr>
    <w:rPr>
      <w:rFonts w:ascii="宋体" w:hAnsi="宋体" w:eastAsia="宋体" w:cs="宋体"/>
      <w:kern w:val="0"/>
      <w:sz w:val="28"/>
      <w:szCs w:val="28"/>
      <w14:ligatures w14:val="none"/>
    </w:rPr>
  </w:style>
  <w:style w:type="character" w:customStyle="1" w:styleId="301">
    <w:name w:val="5-正文 Char"/>
    <w:link w:val="240"/>
    <w:semiHidden/>
    <w:qFormat/>
    <w:uiPriority w:val="0"/>
    <w:rPr>
      <w:rFonts w:ascii="宋体" w:hAnsi="宋体" w:eastAsia="宋体" w:cs="宋体"/>
      <w:kern w:val="0"/>
      <w:sz w:val="24"/>
      <w:szCs w:val="20"/>
      <w14:ligatures w14:val="none"/>
    </w:rPr>
  </w:style>
  <w:style w:type="paragraph" w:customStyle="1" w:styleId="302">
    <w:name w:val="Char Char Char Char1 Char Char1 Char Char Char Char Char Char Char Char Char Char Char Char Char Char Char Char Char Char Char Char Char Char Char Char Char Char Char Char Char Char Char Char Char Char Char Char Char"/>
    <w:basedOn w:val="1"/>
    <w:semiHidden/>
    <w:qFormat/>
    <w:uiPriority w:val="0"/>
    <w:pPr>
      <w:widowControl/>
      <w:jc w:val="center"/>
    </w:pPr>
    <w:rPr>
      <w:rFonts w:ascii="Times New Roman" w:hAnsi="宋体" w:eastAsia="宋体" w:cs="宋体"/>
      <w:kern w:val="0"/>
      <w:sz w:val="32"/>
      <w:szCs w:val="24"/>
      <w14:ligatures w14:val="none"/>
    </w:rPr>
  </w:style>
  <w:style w:type="paragraph" w:customStyle="1" w:styleId="303">
    <w:name w:val="Char Char1 Char Char Char Char2"/>
    <w:basedOn w:val="1"/>
    <w:semiHidden/>
    <w:qFormat/>
    <w:uiPriority w:val="0"/>
    <w:pPr>
      <w:widowControl/>
      <w:spacing w:line="560" w:lineRule="exact"/>
      <w:ind w:firstLine="200" w:firstLineChars="200"/>
    </w:pPr>
    <w:rPr>
      <w:rFonts w:ascii="宋体" w:hAnsi="宋体" w:eastAsia="宋体" w:cs="宋体"/>
      <w:kern w:val="0"/>
      <w:sz w:val="28"/>
      <w:szCs w:val="28"/>
      <w14:ligatures w14:val="none"/>
    </w:rPr>
  </w:style>
  <w:style w:type="paragraph" w:customStyle="1" w:styleId="304">
    <w:name w:val="Char Char1 Char Char Char Char1"/>
    <w:basedOn w:val="1"/>
    <w:semiHidden/>
    <w:qFormat/>
    <w:uiPriority w:val="0"/>
    <w:pPr>
      <w:widowControl/>
      <w:spacing w:line="560" w:lineRule="exact"/>
      <w:ind w:firstLine="200" w:firstLineChars="200"/>
    </w:pPr>
    <w:rPr>
      <w:rFonts w:ascii="宋体" w:hAnsi="宋体" w:eastAsia="宋体" w:cs="宋体"/>
      <w:kern w:val="0"/>
      <w:sz w:val="28"/>
      <w:szCs w:val="28"/>
      <w14:ligatures w14:val="none"/>
    </w:rPr>
  </w:style>
  <w:style w:type="paragraph" w:customStyle="1" w:styleId="305">
    <w:name w:val="镇里正文"/>
    <w:basedOn w:val="1"/>
    <w:semiHidden/>
    <w:qFormat/>
    <w:uiPriority w:val="0"/>
    <w:pPr>
      <w:widowControl/>
      <w:spacing w:line="360" w:lineRule="auto"/>
      <w:ind w:firstLine="540" w:firstLineChars="225"/>
    </w:pPr>
    <w:rPr>
      <w:rFonts w:ascii="Times New Roman" w:hAnsi="宋体" w:eastAsia="宋体" w:cs="宋体"/>
      <w:kern w:val="0"/>
      <w:sz w:val="24"/>
      <w:szCs w:val="24"/>
      <w14:ligatures w14:val="none"/>
    </w:rPr>
  </w:style>
  <w:style w:type="character" w:customStyle="1" w:styleId="306">
    <w:name w:val="内蒙官矿正文 Char"/>
    <w:basedOn w:val="76"/>
    <w:link w:val="307"/>
    <w:semiHidden/>
    <w:qFormat/>
    <w:uiPriority w:val="0"/>
    <w:rPr>
      <w:rFonts w:hAnsi="宋体" w:cs="宋体"/>
      <w:sz w:val="24"/>
      <w:szCs w:val="24"/>
    </w:rPr>
  </w:style>
  <w:style w:type="paragraph" w:customStyle="1" w:styleId="307">
    <w:name w:val="内蒙官矿正文"/>
    <w:basedOn w:val="1"/>
    <w:link w:val="306"/>
    <w:semiHidden/>
    <w:qFormat/>
    <w:uiPriority w:val="0"/>
    <w:pPr>
      <w:widowControl/>
      <w:spacing w:line="480" w:lineRule="exact"/>
      <w:ind w:firstLine="480" w:firstLineChars="200"/>
    </w:pPr>
    <w:rPr>
      <w:rFonts w:hAnsi="宋体" w:cs="宋体"/>
      <w:sz w:val="24"/>
      <w:szCs w:val="24"/>
    </w:rPr>
  </w:style>
  <w:style w:type="character" w:customStyle="1" w:styleId="308">
    <w:name w:val="标准正文 Char"/>
    <w:basedOn w:val="76"/>
    <w:link w:val="241"/>
    <w:semiHidden/>
    <w:qFormat/>
    <w:uiPriority w:val="0"/>
    <w:rPr>
      <w:rFonts w:ascii="宋体" w:hAnsi="宋体" w:eastAsia="宋体" w:cs="宋体"/>
      <w:kern w:val="0"/>
      <w:szCs w:val="24"/>
      <w14:ligatures w14:val="none"/>
    </w:rPr>
  </w:style>
  <w:style w:type="paragraph" w:customStyle="1" w:styleId="309">
    <w:name w:val="正文 + 宋体"/>
    <w:basedOn w:val="1"/>
    <w:semiHidden/>
    <w:qFormat/>
    <w:uiPriority w:val="0"/>
    <w:pPr>
      <w:widowControl/>
      <w:adjustRightInd w:val="0"/>
      <w:spacing w:line="520" w:lineRule="exact"/>
      <w:ind w:firstLine="200" w:firstLineChars="200"/>
      <w:jc w:val="left"/>
      <w:textAlignment w:val="baseline"/>
    </w:pPr>
    <w:rPr>
      <w:rFonts w:ascii="宋体" w:hAnsi="宋体" w:eastAsia="宋体" w:cs="宋体"/>
      <w:kern w:val="0"/>
      <w:sz w:val="24"/>
      <w:szCs w:val="24"/>
      <w14:ligatures w14:val="none"/>
    </w:rPr>
  </w:style>
  <w:style w:type="paragraph" w:customStyle="1" w:styleId="310">
    <w:name w:val="表题目"/>
    <w:basedOn w:val="1"/>
    <w:semiHidden/>
    <w:qFormat/>
    <w:uiPriority w:val="0"/>
    <w:pPr>
      <w:widowControl/>
      <w:spacing w:line="360" w:lineRule="auto"/>
      <w:jc w:val="center"/>
    </w:pPr>
    <w:rPr>
      <w:rFonts w:ascii="Times New Roman" w:hAnsi="宋体" w:eastAsia="宋体" w:cs="宋体"/>
      <w:b/>
      <w:bCs/>
      <w:kern w:val="0"/>
      <w:sz w:val="28"/>
      <w:szCs w:val="28"/>
      <w14:ligatures w14:val="none"/>
    </w:rPr>
  </w:style>
  <w:style w:type="paragraph" w:customStyle="1" w:styleId="311">
    <w:name w:val="0环评表格"/>
    <w:basedOn w:val="1"/>
    <w:semiHidden/>
    <w:qFormat/>
    <w:uiPriority w:val="0"/>
    <w:pPr>
      <w:widowControl/>
      <w:tabs>
        <w:tab w:val="center" w:pos="4153"/>
        <w:tab w:val="right" w:pos="8306"/>
      </w:tabs>
      <w:snapToGrid w:val="0"/>
      <w:jc w:val="center"/>
    </w:pPr>
    <w:rPr>
      <w:rFonts w:ascii="宋体" w:hAnsi="宋体" w:eastAsia="宋体" w:cs="宋体"/>
      <w:kern w:val="0"/>
      <w:sz w:val="22"/>
      <w14:ligatures w14:val="none"/>
    </w:rPr>
  </w:style>
  <w:style w:type="paragraph" w:customStyle="1" w:styleId="312">
    <w:name w:val="0环评正文"/>
    <w:basedOn w:val="1"/>
    <w:semiHidden/>
    <w:qFormat/>
    <w:uiPriority w:val="0"/>
    <w:pPr>
      <w:widowControl/>
      <w:spacing w:line="480" w:lineRule="exact"/>
      <w:ind w:firstLine="200" w:firstLineChars="200"/>
    </w:pPr>
    <w:rPr>
      <w:rFonts w:ascii="Calibri" w:hAnsi="宋体" w:eastAsia="宋体" w:cs="宋体"/>
      <w:kern w:val="0"/>
      <w:sz w:val="26"/>
      <w14:ligatures w14:val="none"/>
    </w:rPr>
  </w:style>
  <w:style w:type="paragraph" w:customStyle="1" w:styleId="313">
    <w:name w:val="样式 行距: 1.5 倍行距"/>
    <w:basedOn w:val="1"/>
    <w:semiHidden/>
    <w:qFormat/>
    <w:uiPriority w:val="0"/>
    <w:pPr>
      <w:widowControl/>
      <w:adjustRightInd w:val="0"/>
      <w:spacing w:line="400" w:lineRule="exact"/>
      <w:ind w:firstLine="480" w:firstLineChars="200"/>
      <w:textAlignment w:val="baseline"/>
    </w:pPr>
    <w:rPr>
      <w:rFonts w:ascii="Times New Roman" w:hAnsi="宋体" w:eastAsia="宋体" w:cs="宋体"/>
      <w:kern w:val="0"/>
      <w:sz w:val="24"/>
      <w:szCs w:val="24"/>
      <w14:ligatures w14:val="none"/>
    </w:rPr>
  </w:style>
  <w:style w:type="paragraph" w:customStyle="1" w:styleId="314">
    <w:name w:val="hdy"/>
    <w:basedOn w:val="1"/>
    <w:link w:val="315"/>
    <w:qFormat/>
    <w:uiPriority w:val="0"/>
    <w:pPr>
      <w:widowControl/>
      <w:adjustRightInd w:val="0"/>
      <w:snapToGrid w:val="0"/>
      <w:spacing w:line="500" w:lineRule="exact"/>
      <w:ind w:firstLine="200" w:firstLineChars="200"/>
    </w:pPr>
    <w:rPr>
      <w:rFonts w:ascii="MS Serif" w:hAnsi="MS Serif" w:eastAsia="宋体" w:cs="MS Serif"/>
      <w:bCs/>
      <w:color w:val="0000FF"/>
      <w:kern w:val="0"/>
      <w:sz w:val="24"/>
      <w:szCs w:val="24"/>
      <w:lang w:val="zh-CN"/>
      <w14:ligatures w14:val="none"/>
    </w:rPr>
  </w:style>
  <w:style w:type="character" w:customStyle="1" w:styleId="315">
    <w:name w:val="hdy Char"/>
    <w:link w:val="314"/>
    <w:qFormat/>
    <w:uiPriority w:val="0"/>
    <w:rPr>
      <w:rFonts w:ascii="MS Serif" w:hAnsi="MS Serif" w:eastAsia="宋体" w:cs="MS Serif"/>
      <w:bCs/>
      <w:color w:val="0000FF"/>
      <w:kern w:val="0"/>
      <w:sz w:val="24"/>
      <w:szCs w:val="24"/>
      <w:lang w:val="zh-CN"/>
      <w14:ligatures w14:val="none"/>
    </w:rPr>
  </w:style>
  <w:style w:type="paragraph" w:customStyle="1" w:styleId="316">
    <w:name w:val="HH正文"/>
    <w:basedOn w:val="58"/>
    <w:semiHidden/>
    <w:qFormat/>
    <w:uiPriority w:val="0"/>
    <w:pPr>
      <w:spacing w:after="0" w:line="500" w:lineRule="exact"/>
      <w:ind w:left="0" w:leftChars="0"/>
    </w:pPr>
    <w:rPr>
      <w:sz w:val="24"/>
      <w:szCs w:val="20"/>
    </w:rPr>
  </w:style>
  <w:style w:type="paragraph" w:customStyle="1" w:styleId="317">
    <w:name w:val="3级"/>
    <w:basedOn w:val="1"/>
    <w:link w:val="318"/>
    <w:semiHidden/>
    <w:qFormat/>
    <w:uiPriority w:val="0"/>
    <w:pPr>
      <w:widowControl/>
      <w:spacing w:beforeLines="50" w:line="500" w:lineRule="exact"/>
      <w:ind w:firstLine="200" w:firstLineChars="200"/>
      <w:outlineLvl w:val="2"/>
    </w:pPr>
    <w:rPr>
      <w:rFonts w:ascii="Times New Roman" w:hAnsi="宋体" w:eastAsia="黑体" w:cs="宋体"/>
      <w:b/>
      <w:bCs/>
      <w:kern w:val="0"/>
      <w:sz w:val="24"/>
      <w:szCs w:val="24"/>
      <w:lang w:val="zh-CN"/>
      <w14:ligatures w14:val="none"/>
    </w:rPr>
  </w:style>
  <w:style w:type="character" w:customStyle="1" w:styleId="318">
    <w:name w:val="3级 Char"/>
    <w:link w:val="317"/>
    <w:semiHidden/>
    <w:qFormat/>
    <w:uiPriority w:val="0"/>
    <w:rPr>
      <w:rFonts w:ascii="Times New Roman" w:hAnsi="宋体" w:eastAsia="黑体" w:cs="宋体"/>
      <w:b/>
      <w:bCs/>
      <w:kern w:val="0"/>
      <w:sz w:val="24"/>
      <w:szCs w:val="24"/>
      <w:lang w:val="zh-CN"/>
      <w14:ligatures w14:val="none"/>
    </w:rPr>
  </w:style>
  <w:style w:type="paragraph" w:customStyle="1" w:styleId="319">
    <w:name w:val="正文zsh"/>
    <w:basedOn w:val="38"/>
    <w:link w:val="320"/>
    <w:semiHidden/>
    <w:qFormat/>
    <w:uiPriority w:val="0"/>
    <w:pPr>
      <w:widowControl/>
      <w:spacing w:line="500" w:lineRule="exact"/>
      <w:ind w:firstLine="480" w:firstLineChars="200"/>
    </w:pPr>
    <w:rPr>
      <w:rFonts w:ascii="Times New Roman" w:hAnsi="Times New Roman" w:eastAsia="宋体" w:cs="宋体"/>
      <w:color w:val="0000FF"/>
      <w:kern w:val="0"/>
      <w:sz w:val="24"/>
      <w:szCs w:val="30"/>
      <w:lang w:val="zh-CN"/>
      <w14:ligatures w14:val="none"/>
    </w:rPr>
  </w:style>
  <w:style w:type="character" w:customStyle="1" w:styleId="320">
    <w:name w:val="正文zsh Char"/>
    <w:link w:val="319"/>
    <w:semiHidden/>
    <w:qFormat/>
    <w:uiPriority w:val="0"/>
    <w:rPr>
      <w:rFonts w:ascii="Times New Roman" w:hAnsi="Times New Roman" w:eastAsia="宋体" w:cs="宋体"/>
      <w:color w:val="0000FF"/>
      <w:kern w:val="0"/>
      <w:sz w:val="24"/>
      <w:szCs w:val="30"/>
      <w:lang w:val="zh-CN"/>
      <w14:ligatures w14:val="none"/>
    </w:rPr>
  </w:style>
  <w:style w:type="paragraph" w:customStyle="1" w:styleId="321">
    <w:name w:val="123正文"/>
    <w:basedOn w:val="1"/>
    <w:link w:val="322"/>
    <w:semiHidden/>
    <w:qFormat/>
    <w:uiPriority w:val="0"/>
    <w:pPr>
      <w:widowControl/>
      <w:spacing w:line="500" w:lineRule="exact"/>
      <w:ind w:firstLine="480" w:firstLineChars="200"/>
    </w:pPr>
    <w:rPr>
      <w:rFonts w:ascii="Times New Roman" w:hAnsi="宋体" w:eastAsia="宋体" w:cs="宋体"/>
      <w:bCs/>
      <w:color w:val="0000FF"/>
      <w:kern w:val="0"/>
      <w:sz w:val="24"/>
      <w:szCs w:val="24"/>
      <w:lang w:val="zh-CN"/>
      <w14:ligatures w14:val="none"/>
    </w:rPr>
  </w:style>
  <w:style w:type="character" w:customStyle="1" w:styleId="322">
    <w:name w:val="123正文 Char"/>
    <w:link w:val="321"/>
    <w:semiHidden/>
    <w:qFormat/>
    <w:uiPriority w:val="0"/>
    <w:rPr>
      <w:rFonts w:ascii="Times New Roman" w:hAnsi="宋体" w:eastAsia="宋体" w:cs="宋体"/>
      <w:bCs/>
      <w:color w:val="0000FF"/>
      <w:kern w:val="0"/>
      <w:sz w:val="24"/>
      <w:szCs w:val="24"/>
      <w:lang w:val="zh-CN"/>
      <w14:ligatures w14:val="none"/>
    </w:rPr>
  </w:style>
  <w:style w:type="paragraph" w:customStyle="1" w:styleId="323">
    <w:name w:val="Char Char Char Char Char Char Char Char Char Char1"/>
    <w:basedOn w:val="1"/>
    <w:semiHidden/>
    <w:qFormat/>
    <w:uiPriority w:val="0"/>
    <w:pPr>
      <w:widowControl/>
      <w:spacing w:line="560" w:lineRule="exact"/>
      <w:ind w:firstLine="200" w:firstLineChars="200"/>
    </w:pPr>
    <w:rPr>
      <w:rFonts w:ascii="Times New Roman" w:hAnsi="宋体" w:eastAsia="宋体" w:cs="宋体"/>
      <w:kern w:val="0"/>
      <w:szCs w:val="20"/>
      <w14:ligatures w14:val="none"/>
    </w:rPr>
  </w:style>
  <w:style w:type="paragraph" w:customStyle="1" w:styleId="324">
    <w:name w:val="山焦报告正文"/>
    <w:basedOn w:val="1"/>
    <w:qFormat/>
    <w:uiPriority w:val="0"/>
    <w:pPr>
      <w:widowControl/>
      <w:adjustRightInd w:val="0"/>
      <w:snapToGrid w:val="0"/>
      <w:spacing w:before="25" w:beforeLines="25" w:line="440" w:lineRule="exact"/>
      <w:ind w:firstLine="200" w:firstLineChars="200"/>
    </w:pPr>
    <w:rPr>
      <w:rFonts w:ascii="Times New Roman" w:hAnsi="宋体" w:eastAsia="宋体" w:cs="宋体"/>
      <w:color w:val="000000"/>
      <w:kern w:val="0"/>
      <w:sz w:val="24"/>
      <w:szCs w:val="24"/>
      <w14:ligatures w14:val="none"/>
    </w:rPr>
  </w:style>
  <w:style w:type="paragraph" w:customStyle="1" w:styleId="325">
    <w:name w:val="xxxxx正文"/>
    <w:basedOn w:val="1"/>
    <w:link w:val="369"/>
    <w:qFormat/>
    <w:uiPriority w:val="0"/>
    <w:pPr>
      <w:widowControl/>
      <w:topLinePunct/>
      <w:spacing w:line="360" w:lineRule="auto"/>
      <w:ind w:firstLine="200" w:firstLineChars="200"/>
    </w:pPr>
    <w:rPr>
      <w:rFonts w:ascii="Times New Roman" w:hAnsi="Times New Roman" w:eastAsia="宋体" w:cs="宋体"/>
      <w:kern w:val="0"/>
      <w:sz w:val="24"/>
      <w:szCs w:val="24"/>
      <w:lang w:val="zh-CN"/>
      <w14:ligatures w14:val="none"/>
    </w:rPr>
  </w:style>
  <w:style w:type="character" w:customStyle="1" w:styleId="326">
    <w:name w:val="样式 正文文本缩进特点标题 + 黑色 Char"/>
    <w:link w:val="327"/>
    <w:qFormat/>
    <w:uiPriority w:val="0"/>
    <w:rPr>
      <w:rFonts w:ascii="宋体" w:hAnsi="宋体"/>
      <w:color w:val="000000"/>
      <w:sz w:val="24"/>
      <w:szCs w:val="24"/>
    </w:rPr>
  </w:style>
  <w:style w:type="paragraph" w:customStyle="1" w:styleId="327">
    <w:name w:val="样式 正文文本缩进特点标题 + 黑色"/>
    <w:basedOn w:val="29"/>
    <w:link w:val="326"/>
    <w:qFormat/>
    <w:uiPriority w:val="0"/>
    <w:pPr>
      <w:widowControl/>
      <w:tabs>
        <w:tab w:val="left" w:pos="5250"/>
      </w:tabs>
      <w:spacing w:after="0" w:line="360" w:lineRule="auto"/>
      <w:ind w:left="0" w:leftChars="0" w:firstLine="480" w:firstLineChars="200"/>
    </w:pPr>
    <w:rPr>
      <w:rFonts w:ascii="宋体" w:hAnsi="宋体"/>
      <w:color w:val="000000"/>
      <w:sz w:val="24"/>
      <w:szCs w:val="24"/>
    </w:rPr>
  </w:style>
  <w:style w:type="paragraph" w:customStyle="1" w:styleId="328">
    <w:name w:val="msonormal"/>
    <w:basedOn w:val="1"/>
    <w:qFormat/>
    <w:uiPriority w:val="0"/>
    <w:pPr>
      <w:widowControl/>
      <w:spacing w:before="100" w:beforeAutospacing="1" w:after="100" w:afterAutospacing="1"/>
      <w:jc w:val="left"/>
    </w:pPr>
    <w:rPr>
      <w:rFonts w:ascii="宋体" w:hAnsi="宋体" w:eastAsia="宋体" w:cs="宋体"/>
      <w:kern w:val="0"/>
      <w:sz w:val="24"/>
      <w:szCs w:val="24"/>
      <w14:ligatures w14:val="none"/>
    </w:rPr>
  </w:style>
  <w:style w:type="paragraph" w:customStyle="1" w:styleId="329">
    <w:name w:val="font5"/>
    <w:basedOn w:val="1"/>
    <w:qFormat/>
    <w:uiPriority w:val="0"/>
    <w:pPr>
      <w:widowControl/>
      <w:spacing w:before="100" w:beforeAutospacing="1" w:after="100" w:afterAutospacing="1"/>
      <w:jc w:val="left"/>
    </w:pPr>
    <w:rPr>
      <w:rFonts w:ascii="宋体" w:hAnsi="宋体" w:eastAsia="宋体" w:cs="宋体"/>
      <w:kern w:val="0"/>
      <w:sz w:val="18"/>
      <w:szCs w:val="18"/>
      <w14:ligatures w14:val="none"/>
    </w:rPr>
  </w:style>
  <w:style w:type="paragraph" w:customStyle="1" w:styleId="330">
    <w:name w:val="xl65"/>
    <w:basedOn w:val="1"/>
    <w:qFormat/>
    <w:uiPriority w:val="0"/>
    <w:pPr>
      <w:widowControl/>
      <w:pBdr>
        <w:top w:val="double" w:color="auto" w:sz="6" w:space="0"/>
      </w:pBdr>
      <w:spacing w:before="100" w:beforeAutospacing="1" w:after="100" w:afterAutospacing="1"/>
      <w:jc w:val="center"/>
    </w:pPr>
    <w:rPr>
      <w:rFonts w:ascii="宋体" w:hAnsi="宋体" w:eastAsia="宋体" w:cs="宋体"/>
      <w:b/>
      <w:bCs/>
      <w:kern w:val="0"/>
      <w:sz w:val="15"/>
      <w:szCs w:val="15"/>
      <w14:ligatures w14:val="none"/>
    </w:rPr>
  </w:style>
  <w:style w:type="paragraph" w:customStyle="1" w:styleId="331">
    <w:name w:val="xl66"/>
    <w:basedOn w:val="1"/>
    <w:qFormat/>
    <w:uiPriority w:val="0"/>
    <w:pPr>
      <w:widowControl/>
      <w:pBdr>
        <w:top w:val="double" w:color="auto" w:sz="6" w:space="0"/>
        <w:right w:val="single" w:color="auto" w:sz="8" w:space="0"/>
      </w:pBdr>
      <w:spacing w:before="100" w:beforeAutospacing="1" w:after="100" w:afterAutospacing="1"/>
      <w:jc w:val="center"/>
    </w:pPr>
    <w:rPr>
      <w:rFonts w:ascii="宋体" w:hAnsi="宋体" w:eastAsia="宋体" w:cs="宋体"/>
      <w:b/>
      <w:bCs/>
      <w:kern w:val="0"/>
      <w:sz w:val="15"/>
      <w:szCs w:val="15"/>
      <w14:ligatures w14:val="none"/>
    </w:rPr>
  </w:style>
  <w:style w:type="paragraph" w:customStyle="1" w:styleId="332">
    <w:name w:val="xl67"/>
    <w:basedOn w:val="1"/>
    <w:qFormat/>
    <w:uiPriority w:val="0"/>
    <w:pPr>
      <w:widowControl/>
      <w:pBdr>
        <w:top w:val="double" w:color="auto" w:sz="6" w:space="0"/>
        <w:left w:val="single" w:color="auto" w:sz="8" w:space="0"/>
        <w:right w:val="single" w:color="auto" w:sz="8" w:space="0"/>
      </w:pBdr>
      <w:spacing w:before="100" w:beforeAutospacing="1" w:after="100" w:afterAutospacing="1"/>
      <w:jc w:val="left"/>
    </w:pPr>
    <w:rPr>
      <w:rFonts w:ascii="Times New Roman" w:hAnsi="Times New Roman" w:eastAsia="宋体" w:cs="宋体"/>
      <w:b/>
      <w:bCs/>
      <w:kern w:val="0"/>
      <w:sz w:val="15"/>
      <w:szCs w:val="15"/>
      <w14:ligatures w14:val="none"/>
    </w:rPr>
  </w:style>
  <w:style w:type="paragraph" w:customStyle="1" w:styleId="333">
    <w:name w:val="xl68"/>
    <w:basedOn w:val="1"/>
    <w:qFormat/>
    <w:uiPriority w:val="0"/>
    <w:pPr>
      <w:widowControl/>
      <w:pBdr>
        <w:top w:val="double" w:color="auto" w:sz="6" w:space="0"/>
        <w:left w:val="single" w:color="auto" w:sz="8" w:space="0"/>
        <w:right w:val="single" w:color="auto" w:sz="8" w:space="0"/>
      </w:pBdr>
      <w:spacing w:before="100" w:beforeAutospacing="1" w:after="100" w:afterAutospacing="1"/>
      <w:jc w:val="left"/>
    </w:pPr>
    <w:rPr>
      <w:rFonts w:ascii="宋体" w:hAnsi="宋体" w:eastAsia="宋体" w:cs="宋体"/>
      <w:b/>
      <w:bCs/>
      <w:kern w:val="0"/>
      <w:sz w:val="15"/>
      <w:szCs w:val="15"/>
      <w14:ligatures w14:val="none"/>
    </w:rPr>
  </w:style>
  <w:style w:type="paragraph" w:customStyle="1" w:styleId="334">
    <w:name w:val="xl69"/>
    <w:basedOn w:val="1"/>
    <w:qFormat/>
    <w:uiPriority w:val="0"/>
    <w:pPr>
      <w:widowControl/>
      <w:pBdr>
        <w:bottom w:val="single" w:color="auto" w:sz="8" w:space="0"/>
      </w:pBdr>
      <w:spacing w:before="100" w:beforeAutospacing="1" w:after="100" w:afterAutospacing="1"/>
      <w:jc w:val="center"/>
    </w:pPr>
    <w:rPr>
      <w:rFonts w:ascii="宋体" w:hAnsi="宋体" w:eastAsia="宋体" w:cs="宋体"/>
      <w:b/>
      <w:bCs/>
      <w:kern w:val="0"/>
      <w:sz w:val="15"/>
      <w:szCs w:val="15"/>
      <w14:ligatures w14:val="none"/>
    </w:rPr>
  </w:style>
  <w:style w:type="paragraph" w:customStyle="1" w:styleId="335">
    <w:name w:val="xl70"/>
    <w:basedOn w:val="1"/>
    <w:qFormat/>
    <w:uiPriority w:val="0"/>
    <w:pPr>
      <w:widowControl/>
      <w:pBdr>
        <w:bottom w:val="single" w:color="auto" w:sz="8" w:space="0"/>
        <w:right w:val="single" w:color="auto" w:sz="8" w:space="0"/>
      </w:pBdr>
      <w:spacing w:before="100" w:beforeAutospacing="1" w:after="100" w:afterAutospacing="1"/>
      <w:jc w:val="center"/>
    </w:pPr>
    <w:rPr>
      <w:rFonts w:ascii="宋体" w:hAnsi="宋体" w:eastAsia="宋体" w:cs="宋体"/>
      <w:b/>
      <w:bCs/>
      <w:kern w:val="0"/>
      <w:sz w:val="15"/>
      <w:szCs w:val="15"/>
      <w14:ligatures w14:val="none"/>
    </w:rPr>
  </w:style>
  <w:style w:type="paragraph" w:customStyle="1" w:styleId="336">
    <w:name w:val="xl71"/>
    <w:basedOn w:val="1"/>
    <w:qFormat/>
    <w:uiPriority w:val="0"/>
    <w:pPr>
      <w:widowControl/>
      <w:pBdr>
        <w:left w:val="single" w:color="auto" w:sz="8" w:space="0"/>
        <w:bottom w:val="single" w:color="auto" w:sz="8" w:space="0"/>
        <w:right w:val="single" w:color="auto" w:sz="8" w:space="0"/>
      </w:pBdr>
      <w:spacing w:before="100" w:beforeAutospacing="1" w:after="100" w:afterAutospacing="1"/>
      <w:jc w:val="left"/>
    </w:pPr>
    <w:rPr>
      <w:rFonts w:ascii="Times New Roman" w:hAnsi="Times New Roman" w:eastAsia="宋体" w:cs="宋体"/>
      <w:b/>
      <w:bCs/>
      <w:kern w:val="0"/>
      <w:sz w:val="15"/>
      <w:szCs w:val="15"/>
      <w14:ligatures w14:val="none"/>
    </w:rPr>
  </w:style>
  <w:style w:type="paragraph" w:customStyle="1" w:styleId="337">
    <w:name w:val="xl72"/>
    <w:basedOn w:val="1"/>
    <w:qFormat/>
    <w:uiPriority w:val="0"/>
    <w:pPr>
      <w:widowControl/>
      <w:pBdr>
        <w:bottom w:val="single" w:color="auto" w:sz="8" w:space="0"/>
        <w:right w:val="single" w:color="auto" w:sz="8" w:space="0"/>
      </w:pBdr>
      <w:spacing w:before="100" w:beforeAutospacing="1" w:after="100" w:afterAutospacing="1"/>
      <w:jc w:val="center"/>
    </w:pPr>
    <w:rPr>
      <w:rFonts w:ascii="Times New Roman" w:hAnsi="Times New Roman" w:eastAsia="宋体" w:cs="宋体"/>
      <w:b/>
      <w:bCs/>
      <w:kern w:val="0"/>
      <w:sz w:val="15"/>
      <w:szCs w:val="15"/>
      <w14:ligatures w14:val="none"/>
    </w:rPr>
  </w:style>
  <w:style w:type="paragraph" w:customStyle="1" w:styleId="338">
    <w:name w:val="xl74"/>
    <w:basedOn w:val="1"/>
    <w:qFormat/>
    <w:uiPriority w:val="0"/>
    <w:pPr>
      <w:widowControl/>
      <w:pBdr>
        <w:bottom w:val="single" w:color="auto" w:sz="8" w:space="0"/>
      </w:pBdr>
      <w:spacing w:before="100" w:beforeAutospacing="1" w:after="100" w:afterAutospacing="1"/>
      <w:jc w:val="center"/>
    </w:pPr>
    <w:rPr>
      <w:rFonts w:ascii="Times New Roman" w:hAnsi="Times New Roman" w:eastAsia="宋体" w:cs="宋体"/>
      <w:b/>
      <w:bCs/>
      <w:kern w:val="0"/>
      <w:sz w:val="15"/>
      <w:szCs w:val="15"/>
      <w14:ligatures w14:val="none"/>
    </w:rPr>
  </w:style>
  <w:style w:type="paragraph" w:customStyle="1" w:styleId="339">
    <w:name w:val="xl75"/>
    <w:basedOn w:val="1"/>
    <w:qFormat/>
    <w:uiPriority w:val="0"/>
    <w:pPr>
      <w:widowControl/>
      <w:pBdr>
        <w:top w:val="single" w:color="auto" w:sz="8" w:space="0"/>
      </w:pBdr>
      <w:spacing w:before="100" w:beforeAutospacing="1" w:after="100" w:afterAutospacing="1"/>
      <w:jc w:val="center"/>
    </w:pPr>
    <w:rPr>
      <w:rFonts w:ascii="Times New Roman" w:hAnsi="Times New Roman" w:eastAsia="宋体" w:cs="宋体"/>
      <w:kern w:val="0"/>
      <w:sz w:val="18"/>
      <w:szCs w:val="18"/>
      <w14:ligatures w14:val="none"/>
    </w:rPr>
  </w:style>
  <w:style w:type="paragraph" w:customStyle="1" w:styleId="340">
    <w:name w:val="xl76"/>
    <w:basedOn w:val="1"/>
    <w:qFormat/>
    <w:uiPriority w:val="0"/>
    <w:pPr>
      <w:widowControl/>
      <w:pBdr>
        <w:top w:val="single" w:color="auto" w:sz="8" w:space="0"/>
      </w:pBdr>
      <w:spacing w:before="100" w:beforeAutospacing="1" w:after="100" w:afterAutospacing="1"/>
      <w:jc w:val="center"/>
    </w:pPr>
    <w:rPr>
      <w:rFonts w:ascii="宋体" w:hAnsi="宋体" w:eastAsia="宋体" w:cs="宋体"/>
      <w:kern w:val="0"/>
      <w:sz w:val="18"/>
      <w:szCs w:val="18"/>
      <w14:ligatures w14:val="none"/>
    </w:rPr>
  </w:style>
  <w:style w:type="paragraph" w:customStyle="1" w:styleId="341">
    <w:name w:val="xl77"/>
    <w:basedOn w:val="1"/>
    <w:qFormat/>
    <w:uiPriority w:val="0"/>
    <w:pPr>
      <w:widowControl/>
      <w:pBdr>
        <w:bottom w:val="single" w:color="auto" w:sz="8" w:space="0"/>
        <w:right w:val="single" w:color="auto" w:sz="8" w:space="0"/>
      </w:pBdr>
      <w:spacing w:before="100" w:beforeAutospacing="1" w:after="100" w:afterAutospacing="1"/>
      <w:jc w:val="center"/>
    </w:pPr>
    <w:rPr>
      <w:rFonts w:ascii="宋体" w:hAnsi="宋体" w:eastAsia="宋体" w:cs="宋体"/>
      <w:kern w:val="0"/>
      <w:sz w:val="20"/>
      <w:szCs w:val="20"/>
      <w14:ligatures w14:val="none"/>
    </w:rPr>
  </w:style>
  <w:style w:type="paragraph" w:customStyle="1" w:styleId="342">
    <w:name w:val="xl78"/>
    <w:basedOn w:val="1"/>
    <w:qFormat/>
    <w:uiPriority w:val="0"/>
    <w:pPr>
      <w:widowControl/>
      <w:pBdr>
        <w:bottom w:val="single" w:color="auto" w:sz="8" w:space="0"/>
        <w:right w:val="single" w:color="auto" w:sz="8" w:space="0"/>
      </w:pBdr>
      <w:spacing w:before="100" w:beforeAutospacing="1" w:after="100" w:afterAutospacing="1"/>
      <w:jc w:val="center"/>
    </w:pPr>
    <w:rPr>
      <w:rFonts w:ascii="Times New Roman" w:hAnsi="Times New Roman" w:eastAsia="宋体" w:cs="宋体"/>
      <w:kern w:val="0"/>
      <w:sz w:val="20"/>
      <w:szCs w:val="20"/>
      <w14:ligatures w14:val="none"/>
    </w:rPr>
  </w:style>
  <w:style w:type="paragraph" w:customStyle="1" w:styleId="343">
    <w:name w:val="xl79"/>
    <w:basedOn w:val="1"/>
    <w:qFormat/>
    <w:uiPriority w:val="0"/>
    <w:pPr>
      <w:widowControl/>
      <w:spacing w:before="100" w:beforeAutospacing="1" w:after="100" w:afterAutospacing="1"/>
      <w:jc w:val="center"/>
    </w:pPr>
    <w:rPr>
      <w:rFonts w:ascii="Times New Roman" w:hAnsi="Times New Roman" w:eastAsia="宋体" w:cs="宋体"/>
      <w:kern w:val="0"/>
      <w:sz w:val="18"/>
      <w:szCs w:val="18"/>
      <w14:ligatures w14:val="none"/>
    </w:rPr>
  </w:style>
  <w:style w:type="paragraph" w:customStyle="1" w:styleId="344">
    <w:name w:val="xl80"/>
    <w:basedOn w:val="1"/>
    <w:qFormat/>
    <w:uiPriority w:val="0"/>
    <w:pPr>
      <w:widowControl/>
      <w:spacing w:before="100" w:beforeAutospacing="1" w:after="100" w:afterAutospacing="1"/>
      <w:jc w:val="center"/>
    </w:pPr>
    <w:rPr>
      <w:rFonts w:ascii="宋体" w:hAnsi="宋体" w:eastAsia="宋体" w:cs="宋体"/>
      <w:kern w:val="0"/>
      <w:sz w:val="18"/>
      <w:szCs w:val="18"/>
      <w14:ligatures w14:val="none"/>
    </w:rPr>
  </w:style>
  <w:style w:type="paragraph" w:customStyle="1" w:styleId="345">
    <w:name w:val="xl81"/>
    <w:basedOn w:val="1"/>
    <w:qFormat/>
    <w:uiPriority w:val="0"/>
    <w:pPr>
      <w:widowControl/>
      <w:pBdr>
        <w:bottom w:val="single" w:color="auto" w:sz="8" w:space="0"/>
        <w:right w:val="single" w:color="auto" w:sz="8" w:space="0"/>
      </w:pBdr>
      <w:spacing w:before="100" w:beforeAutospacing="1" w:after="100" w:afterAutospacing="1"/>
      <w:jc w:val="center"/>
    </w:pPr>
    <w:rPr>
      <w:rFonts w:ascii="宋体" w:hAnsi="宋体" w:eastAsia="宋体" w:cs="宋体"/>
      <w:color w:val="000000"/>
      <w:kern w:val="0"/>
      <w:sz w:val="20"/>
      <w:szCs w:val="20"/>
      <w14:ligatures w14:val="none"/>
    </w:rPr>
  </w:style>
  <w:style w:type="paragraph" w:customStyle="1" w:styleId="346">
    <w:name w:val="xl82"/>
    <w:basedOn w:val="1"/>
    <w:qFormat/>
    <w:uiPriority w:val="0"/>
    <w:pPr>
      <w:widowControl/>
      <w:pBdr>
        <w:bottom w:val="single" w:color="auto" w:sz="8" w:space="0"/>
        <w:right w:val="single" w:color="auto" w:sz="12" w:space="0"/>
      </w:pBdr>
      <w:spacing w:before="100" w:beforeAutospacing="1" w:after="100" w:afterAutospacing="1"/>
      <w:jc w:val="center"/>
    </w:pPr>
    <w:rPr>
      <w:rFonts w:ascii="宋体" w:hAnsi="宋体" w:eastAsia="宋体" w:cs="宋体"/>
      <w:kern w:val="0"/>
      <w:sz w:val="20"/>
      <w:szCs w:val="20"/>
      <w14:ligatures w14:val="none"/>
    </w:rPr>
  </w:style>
  <w:style w:type="paragraph" w:customStyle="1" w:styleId="347">
    <w:name w:val="xl83"/>
    <w:basedOn w:val="1"/>
    <w:qFormat/>
    <w:uiPriority w:val="0"/>
    <w:pPr>
      <w:widowControl/>
      <w:pBdr>
        <w:bottom w:val="single" w:color="auto" w:sz="8" w:space="0"/>
        <w:right w:val="single" w:color="auto" w:sz="8" w:space="0"/>
      </w:pBdr>
      <w:spacing w:before="100" w:beforeAutospacing="1" w:after="100" w:afterAutospacing="1"/>
      <w:jc w:val="center"/>
    </w:pPr>
    <w:rPr>
      <w:rFonts w:ascii="Times New Roman" w:hAnsi="Times New Roman" w:eastAsia="宋体" w:cs="宋体"/>
      <w:kern w:val="0"/>
      <w:sz w:val="20"/>
      <w:szCs w:val="20"/>
      <w14:ligatures w14:val="none"/>
    </w:rPr>
  </w:style>
  <w:style w:type="paragraph" w:customStyle="1" w:styleId="348">
    <w:name w:val="xl84"/>
    <w:basedOn w:val="1"/>
    <w:qFormat/>
    <w:uiPriority w:val="0"/>
    <w:pPr>
      <w:widowControl/>
      <w:pBdr>
        <w:bottom w:val="single" w:color="auto" w:sz="8" w:space="0"/>
        <w:right w:val="single" w:color="auto" w:sz="8" w:space="0"/>
      </w:pBdr>
      <w:spacing w:before="100" w:beforeAutospacing="1" w:after="100" w:afterAutospacing="1"/>
      <w:jc w:val="center"/>
    </w:pPr>
    <w:rPr>
      <w:rFonts w:ascii="宋体" w:hAnsi="宋体" w:eastAsia="宋体" w:cs="宋体"/>
      <w:kern w:val="0"/>
      <w:sz w:val="20"/>
      <w:szCs w:val="20"/>
      <w14:ligatures w14:val="none"/>
    </w:rPr>
  </w:style>
  <w:style w:type="paragraph" w:customStyle="1" w:styleId="349">
    <w:name w:val="xl85"/>
    <w:basedOn w:val="1"/>
    <w:qFormat/>
    <w:uiPriority w:val="0"/>
    <w:pPr>
      <w:widowControl/>
      <w:pBdr>
        <w:bottom w:val="single" w:color="auto" w:sz="8" w:space="0"/>
        <w:right w:val="single" w:color="auto" w:sz="8" w:space="0"/>
      </w:pBdr>
      <w:spacing w:before="100" w:beforeAutospacing="1" w:after="100" w:afterAutospacing="1"/>
      <w:jc w:val="center"/>
    </w:pPr>
    <w:rPr>
      <w:rFonts w:ascii="宋体" w:hAnsi="宋体" w:eastAsia="宋体" w:cs="宋体"/>
      <w:kern w:val="0"/>
      <w:sz w:val="20"/>
      <w:szCs w:val="20"/>
      <w14:ligatures w14:val="none"/>
    </w:rPr>
  </w:style>
  <w:style w:type="paragraph" w:customStyle="1" w:styleId="350">
    <w:name w:val="xl86"/>
    <w:basedOn w:val="1"/>
    <w:qFormat/>
    <w:uiPriority w:val="0"/>
    <w:pPr>
      <w:widowControl/>
      <w:pBdr>
        <w:bottom w:val="single" w:color="auto" w:sz="8" w:space="0"/>
      </w:pBdr>
      <w:spacing w:before="100" w:beforeAutospacing="1" w:after="100" w:afterAutospacing="1"/>
      <w:jc w:val="center"/>
    </w:pPr>
    <w:rPr>
      <w:rFonts w:ascii="Times New Roman" w:hAnsi="Times New Roman" w:eastAsia="宋体" w:cs="宋体"/>
      <w:kern w:val="0"/>
      <w:sz w:val="18"/>
      <w:szCs w:val="18"/>
      <w14:ligatures w14:val="none"/>
    </w:rPr>
  </w:style>
  <w:style w:type="paragraph" w:customStyle="1" w:styleId="351">
    <w:name w:val="xl87"/>
    <w:basedOn w:val="1"/>
    <w:qFormat/>
    <w:uiPriority w:val="0"/>
    <w:pPr>
      <w:widowControl/>
      <w:pBdr>
        <w:bottom w:val="single" w:color="auto" w:sz="8" w:space="0"/>
      </w:pBdr>
      <w:spacing w:before="100" w:beforeAutospacing="1" w:after="100" w:afterAutospacing="1"/>
      <w:jc w:val="center"/>
    </w:pPr>
    <w:rPr>
      <w:rFonts w:ascii="宋体" w:hAnsi="宋体" w:eastAsia="宋体" w:cs="宋体"/>
      <w:kern w:val="0"/>
      <w:sz w:val="18"/>
      <w:szCs w:val="18"/>
      <w14:ligatures w14:val="none"/>
    </w:rPr>
  </w:style>
  <w:style w:type="paragraph" w:customStyle="1" w:styleId="352">
    <w:name w:val="xl88"/>
    <w:basedOn w:val="1"/>
    <w:qFormat/>
    <w:uiPriority w:val="0"/>
    <w:pPr>
      <w:widowControl/>
      <w:pBdr>
        <w:top w:val="single" w:color="auto" w:sz="8" w:space="0"/>
      </w:pBdr>
      <w:spacing w:before="100" w:beforeAutospacing="1" w:after="100" w:afterAutospacing="1"/>
      <w:jc w:val="center"/>
    </w:pPr>
    <w:rPr>
      <w:rFonts w:ascii="Times New Roman" w:hAnsi="Times New Roman" w:eastAsia="宋体" w:cs="宋体"/>
      <w:color w:val="FF0000"/>
      <w:kern w:val="0"/>
      <w:sz w:val="18"/>
      <w:szCs w:val="18"/>
      <w14:ligatures w14:val="none"/>
    </w:rPr>
  </w:style>
  <w:style w:type="paragraph" w:customStyle="1" w:styleId="353">
    <w:name w:val="xl89"/>
    <w:basedOn w:val="1"/>
    <w:qFormat/>
    <w:uiPriority w:val="0"/>
    <w:pPr>
      <w:widowControl/>
      <w:spacing w:before="100" w:beforeAutospacing="1" w:after="100" w:afterAutospacing="1"/>
      <w:jc w:val="center"/>
    </w:pPr>
    <w:rPr>
      <w:rFonts w:ascii="Times New Roman" w:hAnsi="Times New Roman" w:eastAsia="宋体" w:cs="宋体"/>
      <w:color w:val="FF0000"/>
      <w:kern w:val="0"/>
      <w:sz w:val="18"/>
      <w:szCs w:val="18"/>
      <w14:ligatures w14:val="none"/>
    </w:rPr>
  </w:style>
  <w:style w:type="paragraph" w:customStyle="1" w:styleId="354">
    <w:name w:val="xl90"/>
    <w:basedOn w:val="1"/>
    <w:qFormat/>
    <w:uiPriority w:val="0"/>
    <w:pPr>
      <w:widowControl/>
      <w:pBdr>
        <w:bottom w:val="single" w:color="auto" w:sz="8" w:space="0"/>
      </w:pBdr>
      <w:spacing w:before="100" w:beforeAutospacing="1" w:after="100" w:afterAutospacing="1"/>
      <w:jc w:val="center"/>
    </w:pPr>
    <w:rPr>
      <w:rFonts w:ascii="Times New Roman" w:hAnsi="Times New Roman" w:eastAsia="宋体" w:cs="宋体"/>
      <w:color w:val="FF0000"/>
      <w:kern w:val="0"/>
      <w:sz w:val="18"/>
      <w:szCs w:val="18"/>
      <w14:ligatures w14:val="none"/>
    </w:rPr>
  </w:style>
  <w:style w:type="paragraph" w:customStyle="1" w:styleId="355">
    <w:name w:val="xl91"/>
    <w:basedOn w:val="1"/>
    <w:qFormat/>
    <w:uiPriority w:val="0"/>
    <w:pPr>
      <w:widowControl/>
      <w:pBdr>
        <w:right w:val="single" w:color="auto" w:sz="8" w:space="0"/>
      </w:pBdr>
      <w:spacing w:before="100" w:beforeAutospacing="1" w:after="100" w:afterAutospacing="1"/>
      <w:jc w:val="center"/>
    </w:pPr>
    <w:rPr>
      <w:rFonts w:ascii="Times New Roman" w:hAnsi="Times New Roman" w:eastAsia="宋体" w:cs="宋体"/>
      <w:kern w:val="0"/>
      <w:sz w:val="18"/>
      <w:szCs w:val="18"/>
      <w14:ligatures w14:val="none"/>
    </w:rPr>
  </w:style>
  <w:style w:type="paragraph" w:customStyle="1" w:styleId="356">
    <w:name w:val="xl92"/>
    <w:basedOn w:val="1"/>
    <w:qFormat/>
    <w:uiPriority w:val="0"/>
    <w:pPr>
      <w:widowControl/>
      <w:pBdr>
        <w:left w:val="single" w:color="auto" w:sz="8" w:space="0"/>
        <w:right w:val="single" w:color="auto" w:sz="8" w:space="0"/>
      </w:pBdr>
      <w:spacing w:before="100" w:beforeAutospacing="1" w:after="100" w:afterAutospacing="1"/>
      <w:jc w:val="center"/>
    </w:pPr>
    <w:rPr>
      <w:rFonts w:ascii="宋体" w:hAnsi="宋体" w:eastAsia="宋体" w:cs="宋体"/>
      <w:kern w:val="0"/>
      <w:sz w:val="18"/>
      <w:szCs w:val="18"/>
      <w14:ligatures w14:val="none"/>
    </w:rPr>
  </w:style>
  <w:style w:type="paragraph" w:customStyle="1" w:styleId="357">
    <w:name w:val="xl93"/>
    <w:basedOn w:val="1"/>
    <w:qFormat/>
    <w:uiPriority w:val="0"/>
    <w:pPr>
      <w:widowControl/>
      <w:pBdr>
        <w:bottom w:val="single" w:color="auto" w:sz="8" w:space="0"/>
        <w:right w:val="single" w:color="auto" w:sz="8" w:space="0"/>
      </w:pBdr>
      <w:spacing w:before="100" w:beforeAutospacing="1" w:after="100" w:afterAutospacing="1"/>
      <w:jc w:val="center"/>
    </w:pPr>
    <w:rPr>
      <w:rFonts w:ascii="Times New Roman" w:hAnsi="Times New Roman" w:eastAsia="宋体" w:cs="宋体"/>
      <w:kern w:val="0"/>
      <w:sz w:val="18"/>
      <w:szCs w:val="18"/>
      <w14:ligatures w14:val="none"/>
    </w:rPr>
  </w:style>
  <w:style w:type="paragraph" w:customStyle="1" w:styleId="358">
    <w:name w:val="xl94"/>
    <w:basedOn w:val="1"/>
    <w:qFormat/>
    <w:uiPriority w:val="0"/>
    <w:pPr>
      <w:widowControl/>
      <w:pBdr>
        <w:bottom w:val="single" w:color="auto" w:sz="8" w:space="0"/>
        <w:right w:val="single" w:color="auto" w:sz="8" w:space="0"/>
      </w:pBdr>
      <w:shd w:val="clear" w:color="auto" w:fill="00B050"/>
      <w:spacing w:before="100" w:beforeAutospacing="1" w:after="100" w:afterAutospacing="1"/>
      <w:jc w:val="center"/>
    </w:pPr>
    <w:rPr>
      <w:rFonts w:ascii="宋体" w:hAnsi="宋体" w:eastAsia="宋体" w:cs="宋体"/>
      <w:kern w:val="0"/>
      <w:sz w:val="20"/>
      <w:szCs w:val="20"/>
      <w14:ligatures w14:val="none"/>
    </w:rPr>
  </w:style>
  <w:style w:type="paragraph" w:customStyle="1" w:styleId="359">
    <w:name w:val="xl95"/>
    <w:basedOn w:val="1"/>
    <w:qFormat/>
    <w:uiPriority w:val="0"/>
    <w:pPr>
      <w:widowControl/>
      <w:pBdr>
        <w:bottom w:val="single" w:color="auto" w:sz="8" w:space="0"/>
        <w:right w:val="single" w:color="auto" w:sz="8" w:space="0"/>
      </w:pBdr>
      <w:shd w:val="clear" w:color="auto" w:fill="00B050"/>
      <w:spacing w:before="100" w:beforeAutospacing="1" w:after="100" w:afterAutospacing="1"/>
      <w:jc w:val="center"/>
    </w:pPr>
    <w:rPr>
      <w:rFonts w:ascii="Times New Roman" w:hAnsi="Times New Roman" w:eastAsia="宋体" w:cs="宋体"/>
      <w:kern w:val="0"/>
      <w:sz w:val="20"/>
      <w:szCs w:val="20"/>
      <w14:ligatures w14:val="none"/>
    </w:rPr>
  </w:style>
  <w:style w:type="paragraph" w:customStyle="1" w:styleId="360">
    <w:name w:val="xl96"/>
    <w:basedOn w:val="1"/>
    <w:qFormat/>
    <w:uiPriority w:val="0"/>
    <w:pPr>
      <w:widowControl/>
      <w:pBdr>
        <w:bottom w:val="single" w:color="auto" w:sz="8" w:space="0"/>
        <w:right w:val="single" w:color="auto" w:sz="8" w:space="0"/>
      </w:pBdr>
      <w:shd w:val="clear" w:color="auto" w:fill="00B050"/>
      <w:spacing w:before="100" w:beforeAutospacing="1" w:after="100" w:afterAutospacing="1"/>
      <w:jc w:val="center"/>
    </w:pPr>
    <w:rPr>
      <w:rFonts w:ascii="宋体" w:hAnsi="宋体" w:eastAsia="宋体" w:cs="宋体"/>
      <w:kern w:val="0"/>
      <w:szCs w:val="21"/>
      <w14:ligatures w14:val="none"/>
    </w:rPr>
  </w:style>
  <w:style w:type="paragraph" w:customStyle="1" w:styleId="361">
    <w:name w:val="xl97"/>
    <w:basedOn w:val="1"/>
    <w:qFormat/>
    <w:uiPriority w:val="0"/>
    <w:pPr>
      <w:widowControl/>
      <w:shd w:val="clear" w:color="auto" w:fill="00B050"/>
      <w:spacing w:before="100" w:beforeAutospacing="1" w:after="100" w:afterAutospacing="1"/>
      <w:jc w:val="left"/>
    </w:pPr>
    <w:rPr>
      <w:rFonts w:ascii="宋体" w:hAnsi="宋体" w:eastAsia="宋体" w:cs="宋体"/>
      <w:kern w:val="0"/>
      <w:sz w:val="24"/>
      <w:szCs w:val="24"/>
      <w14:ligatures w14:val="none"/>
    </w:rPr>
  </w:style>
  <w:style w:type="paragraph" w:customStyle="1" w:styleId="362">
    <w:name w:val="xl98"/>
    <w:basedOn w:val="1"/>
    <w:qFormat/>
    <w:uiPriority w:val="0"/>
    <w:pPr>
      <w:widowControl/>
      <w:pBdr>
        <w:bottom w:val="single" w:color="auto" w:sz="8" w:space="0"/>
        <w:right w:val="single" w:color="auto" w:sz="8" w:space="0"/>
      </w:pBdr>
      <w:shd w:val="clear" w:color="auto" w:fill="00B050"/>
      <w:spacing w:before="100" w:beforeAutospacing="1" w:after="100" w:afterAutospacing="1"/>
      <w:jc w:val="center"/>
    </w:pPr>
    <w:rPr>
      <w:rFonts w:ascii="Times New Roman" w:hAnsi="Times New Roman" w:eastAsia="宋体" w:cs="宋体"/>
      <w:kern w:val="0"/>
      <w:sz w:val="20"/>
      <w:szCs w:val="20"/>
      <w14:ligatures w14:val="none"/>
    </w:rPr>
  </w:style>
  <w:style w:type="paragraph" w:customStyle="1" w:styleId="363">
    <w:name w:val="xl99"/>
    <w:basedOn w:val="1"/>
    <w:qFormat/>
    <w:uiPriority w:val="0"/>
    <w:pPr>
      <w:widowControl/>
      <w:pBdr>
        <w:bottom w:val="single" w:color="auto" w:sz="8" w:space="0"/>
        <w:right w:val="single" w:color="auto" w:sz="8" w:space="0"/>
      </w:pBdr>
      <w:shd w:val="clear" w:color="auto" w:fill="00B050"/>
      <w:spacing w:before="100" w:beforeAutospacing="1" w:after="100" w:afterAutospacing="1"/>
      <w:jc w:val="center"/>
    </w:pPr>
    <w:rPr>
      <w:rFonts w:ascii="Times New Roman" w:hAnsi="Times New Roman" w:eastAsia="宋体" w:cs="宋体"/>
      <w:kern w:val="0"/>
      <w:sz w:val="20"/>
      <w:szCs w:val="20"/>
      <w14:ligatures w14:val="none"/>
    </w:rPr>
  </w:style>
  <w:style w:type="character" w:customStyle="1" w:styleId="364">
    <w:name w:val="正文缩进 字符2"/>
    <w:qFormat/>
    <w:uiPriority w:val="0"/>
    <w:rPr>
      <w:rFonts w:eastAsia="宋体"/>
      <w:kern w:val="2"/>
      <w:sz w:val="21"/>
      <w:szCs w:val="24"/>
      <w:lang w:val="en-US" w:eastAsia="zh-CN" w:bidi="ar-SA"/>
    </w:rPr>
  </w:style>
  <w:style w:type="character" w:customStyle="1" w:styleId="365">
    <w:name w:val="三级标题（玉井） Char Char"/>
    <w:link w:val="366"/>
    <w:qFormat/>
    <w:uiPriority w:val="0"/>
    <w:rPr>
      <w:rFonts w:ascii="黑体"/>
      <w:b/>
      <w:bCs/>
      <w:sz w:val="24"/>
      <w:szCs w:val="24"/>
    </w:rPr>
  </w:style>
  <w:style w:type="paragraph" w:customStyle="1" w:styleId="366">
    <w:name w:val="三级标题（玉井）"/>
    <w:basedOn w:val="4"/>
    <w:link w:val="365"/>
    <w:qFormat/>
    <w:uiPriority w:val="0"/>
    <w:rPr>
      <w:rFonts w:ascii="黑体" w:eastAsiaTheme="minorEastAsia"/>
      <w:szCs w:val="24"/>
    </w:rPr>
  </w:style>
  <w:style w:type="character" w:styleId="367">
    <w:name w:val="Placeholder Text"/>
    <w:basedOn w:val="76"/>
    <w:semiHidden/>
    <w:qFormat/>
    <w:uiPriority w:val="99"/>
    <w:rPr>
      <w:color w:val="808080"/>
    </w:rPr>
  </w:style>
  <w:style w:type="character" w:customStyle="1" w:styleId="368">
    <w:name w:val="表格文字 Char Char"/>
    <w:qFormat/>
    <w:uiPriority w:val="0"/>
    <w:rPr>
      <w:rFonts w:ascii="Times New Roman" w:hAnsi="Times New Roman"/>
      <w:bCs/>
      <w:color w:val="000000"/>
      <w:szCs w:val="21"/>
    </w:rPr>
  </w:style>
  <w:style w:type="character" w:customStyle="1" w:styleId="369">
    <w:name w:val="xxxxx正文 Char Char"/>
    <w:link w:val="325"/>
    <w:qFormat/>
    <w:uiPriority w:val="0"/>
    <w:rPr>
      <w:rFonts w:ascii="Times New Roman" w:hAnsi="Times New Roman" w:eastAsia="宋体" w:cs="宋体"/>
      <w:kern w:val="0"/>
      <w:sz w:val="24"/>
      <w:szCs w:val="24"/>
      <w:lang w:val="zh-CN"/>
      <w14:ligatures w14:val="none"/>
    </w:rPr>
  </w:style>
  <w:style w:type="paragraph" w:customStyle="1" w:styleId="370">
    <w:name w:val="样式 样式 样式 纯文本普通文字 Char Char + 首行缩进:  2 字符 + 首行缩进:  2 字符 + 首行缩进:  ..."/>
    <w:basedOn w:val="1"/>
    <w:qFormat/>
    <w:uiPriority w:val="0"/>
    <w:pPr>
      <w:tabs>
        <w:tab w:val="left" w:pos="7380"/>
      </w:tabs>
      <w:spacing w:line="360" w:lineRule="auto"/>
      <w:ind w:firstLine="200" w:firstLineChars="200"/>
    </w:pPr>
    <w:rPr>
      <w:rFonts w:ascii="Times New Roman" w:hAnsi="Times New Roman" w:eastAsia="宋体" w:cs="宋体"/>
      <w:kern w:val="21"/>
      <w:sz w:val="28"/>
      <w:szCs w:val="20"/>
      <w:lang w:val="de-DE"/>
      <w14:ligatures w14:val="none"/>
    </w:rPr>
  </w:style>
  <w:style w:type="paragraph" w:customStyle="1" w:styleId="371">
    <w:name w:val="Char Char Char Char Char Char Char Char Char Char Char Char Char2"/>
    <w:basedOn w:val="1"/>
    <w:qFormat/>
    <w:uiPriority w:val="0"/>
    <w:pPr>
      <w:spacing w:line="560" w:lineRule="exact"/>
      <w:ind w:firstLine="200" w:firstLineChars="200"/>
    </w:pPr>
    <w:rPr>
      <w:rFonts w:ascii="宋体" w:hAnsi="宋体" w:eastAsia="宋体" w:cs="宋体"/>
      <w:sz w:val="28"/>
      <w:szCs w:val="28"/>
      <w14:ligatures w14:val="none"/>
    </w:rPr>
  </w:style>
  <w:style w:type="character" w:customStyle="1" w:styleId="372">
    <w:name w:val="6表 字符"/>
    <w:link w:val="373"/>
    <w:qFormat/>
    <w:locked/>
    <w:uiPriority w:val="0"/>
    <w:rPr>
      <w:rFonts w:eastAsia="黑体"/>
      <w:sz w:val="24"/>
    </w:rPr>
  </w:style>
  <w:style w:type="paragraph" w:customStyle="1" w:styleId="373">
    <w:name w:val="6表"/>
    <w:basedOn w:val="1"/>
    <w:link w:val="372"/>
    <w:qFormat/>
    <w:uiPriority w:val="0"/>
    <w:pPr>
      <w:spacing w:line="480" w:lineRule="exact"/>
      <w:ind w:firstLine="200" w:firstLineChars="200"/>
      <w:jc w:val="center"/>
    </w:pPr>
    <w:rPr>
      <w:rFonts w:eastAsia="黑体"/>
      <w:sz w:val="24"/>
    </w:rPr>
  </w:style>
  <w:style w:type="character" w:customStyle="1" w:styleId="374">
    <w:name w:val="正文样式 Char1"/>
    <w:link w:val="375"/>
    <w:qFormat/>
    <w:uiPriority w:val="0"/>
    <w:rPr>
      <w:rFonts w:ascii="宋体" w:hAnsi="宋体"/>
      <w:sz w:val="24"/>
      <w:szCs w:val="24"/>
    </w:rPr>
  </w:style>
  <w:style w:type="paragraph" w:customStyle="1" w:styleId="375">
    <w:name w:val="正文样式"/>
    <w:basedOn w:val="1"/>
    <w:link w:val="374"/>
    <w:qFormat/>
    <w:uiPriority w:val="0"/>
    <w:pPr>
      <w:spacing w:line="360" w:lineRule="auto"/>
      <w:ind w:firstLine="480" w:firstLineChars="200"/>
    </w:pPr>
    <w:rPr>
      <w:rFonts w:ascii="宋体" w:hAnsi="宋体"/>
      <w:sz w:val="24"/>
      <w:szCs w:val="24"/>
    </w:rPr>
  </w:style>
  <w:style w:type="character" w:customStyle="1" w:styleId="376">
    <w:name w:val="表文字 Char1"/>
    <w:link w:val="298"/>
    <w:qFormat/>
    <w:uiPriority w:val="0"/>
    <w:rPr>
      <w:rFonts w:ascii="Times New Roman" w:hAnsi="宋体" w:eastAsia="汉鼎简书宋" w:cs="宋体"/>
      <w:kern w:val="0"/>
      <w:szCs w:val="24"/>
      <w14:ligatures w14:val="none"/>
    </w:rPr>
  </w:style>
  <w:style w:type="paragraph" w:customStyle="1" w:styleId="377">
    <w:name w:val="font6"/>
    <w:basedOn w:val="1"/>
    <w:qFormat/>
    <w:uiPriority w:val="0"/>
    <w:pPr>
      <w:widowControl/>
      <w:spacing w:before="100" w:beforeAutospacing="1" w:after="100" w:afterAutospacing="1"/>
      <w:jc w:val="left"/>
    </w:pPr>
    <w:rPr>
      <w:rFonts w:ascii="宋体" w:hAnsi="宋体" w:eastAsia="宋体" w:cs="宋体"/>
      <w:color w:val="000000"/>
      <w:kern w:val="0"/>
      <w:szCs w:val="21"/>
      <w14:ligatures w14:val="none"/>
    </w:rPr>
  </w:style>
  <w:style w:type="paragraph" w:customStyle="1" w:styleId="378">
    <w:name w:val="font7"/>
    <w:basedOn w:val="1"/>
    <w:qFormat/>
    <w:uiPriority w:val="0"/>
    <w:pPr>
      <w:widowControl/>
      <w:spacing w:before="100" w:beforeAutospacing="1" w:after="100" w:afterAutospacing="1"/>
      <w:jc w:val="left"/>
    </w:pPr>
    <w:rPr>
      <w:rFonts w:ascii="宋体" w:hAnsi="宋体" w:eastAsia="宋体" w:cs="宋体"/>
      <w:kern w:val="0"/>
      <w:sz w:val="28"/>
      <w:szCs w:val="28"/>
      <w14:ligatures w14:val="none"/>
    </w:rPr>
  </w:style>
  <w:style w:type="paragraph" w:customStyle="1" w:styleId="379">
    <w:name w:val="font8"/>
    <w:basedOn w:val="1"/>
    <w:qFormat/>
    <w:uiPriority w:val="0"/>
    <w:pPr>
      <w:widowControl/>
      <w:spacing w:before="100" w:beforeAutospacing="1" w:after="100" w:afterAutospacing="1"/>
      <w:jc w:val="left"/>
    </w:pPr>
    <w:rPr>
      <w:rFonts w:ascii="宋体" w:hAnsi="宋体" w:eastAsia="宋体" w:cs="宋体"/>
      <w:i/>
      <w:iCs/>
      <w:color w:val="000000"/>
      <w:kern w:val="0"/>
      <w:szCs w:val="21"/>
      <w14:ligatures w14:val="none"/>
    </w:rPr>
  </w:style>
  <w:style w:type="paragraph" w:customStyle="1" w:styleId="380">
    <w:name w:val="xl63"/>
    <w:basedOn w:val="1"/>
    <w:qFormat/>
    <w:uiPriority w:val="0"/>
    <w:pPr>
      <w:widowControl/>
      <w:spacing w:before="100" w:beforeAutospacing="1" w:after="100" w:afterAutospacing="1"/>
      <w:jc w:val="left"/>
    </w:pPr>
    <w:rPr>
      <w:rFonts w:ascii="宋体" w:hAnsi="宋体" w:eastAsia="宋体" w:cs="宋体"/>
      <w:kern w:val="0"/>
      <w:sz w:val="24"/>
      <w:szCs w:val="24"/>
      <w14:ligatures w14:val="none"/>
    </w:rPr>
  </w:style>
  <w:style w:type="paragraph" w:customStyle="1" w:styleId="381">
    <w:name w:val="Char Char Char Char Char Char Char Char Char Char Char Char Char3"/>
    <w:basedOn w:val="1"/>
    <w:qFormat/>
    <w:uiPriority w:val="0"/>
    <w:pPr>
      <w:spacing w:line="560" w:lineRule="exact"/>
      <w:ind w:firstLine="200" w:firstLineChars="200"/>
    </w:pPr>
    <w:rPr>
      <w:rFonts w:ascii="宋体" w:hAnsi="宋体" w:eastAsia="宋体" w:cs="宋体"/>
      <w:sz w:val="28"/>
      <w:szCs w:val="28"/>
      <w14:ligatures w14:val="none"/>
    </w:rPr>
  </w:style>
  <w:style w:type="character" w:customStyle="1" w:styleId="382">
    <w:name w:val="正文缩进 字符3"/>
    <w:qFormat/>
    <w:uiPriority w:val="0"/>
    <w:rPr>
      <w:rFonts w:ascii="Times New Roman" w:hAnsi="Times New Roman" w:eastAsia="宋体" w:cs="Times New Roman"/>
      <w:kern w:val="2"/>
      <w:sz w:val="24"/>
      <w:szCs w:val="24"/>
      <w:lang w:val="en-US" w:eastAsia="zh-CN" w:bidi="ar-SA"/>
    </w:rPr>
  </w:style>
  <w:style w:type="paragraph" w:customStyle="1" w:styleId="383">
    <w:name w:val="Table Text"/>
    <w:basedOn w:val="1"/>
    <w:semiHidden/>
    <w:qFormat/>
    <w:uiPriority w:val="0"/>
    <w:pPr>
      <w:widowControl/>
      <w:kinsoku w:val="0"/>
      <w:autoSpaceDE w:val="0"/>
      <w:autoSpaceDN w:val="0"/>
      <w:adjustRightInd w:val="0"/>
      <w:snapToGrid w:val="0"/>
      <w:jc w:val="left"/>
      <w:textAlignment w:val="baseline"/>
    </w:pPr>
    <w:rPr>
      <w:rFonts w:ascii="宋体" w:hAnsi="宋体" w:eastAsia="宋体" w:cs="宋体"/>
      <w:color w:val="000000"/>
      <w:kern w:val="0"/>
      <w:szCs w:val="21"/>
      <w14:ligatures w14:val="none"/>
    </w:rPr>
  </w:style>
  <w:style w:type="table" w:customStyle="1" w:styleId="384">
    <w:name w:val="Table Normal"/>
    <w:basedOn w:val="72"/>
    <w:qFormat/>
    <w:uiPriority w:val="0"/>
    <w:rPr>
      <w:rFonts w:ascii="Times New Roman" w:hAnsi="Times New Roman" w:eastAsia="Times New Roman" w:cs="Times New Roman"/>
    </w:rPr>
    <w:tblPr>
      <w:tblCellMar>
        <w:left w:w="0" w:type="dxa"/>
        <w:right w:w="0" w:type="dxa"/>
      </w:tblCellMar>
    </w:tblPr>
  </w:style>
  <w:style w:type="paragraph" w:customStyle="1" w:styleId="385">
    <w:name w:val="5"/>
    <w:basedOn w:val="1"/>
    <w:next w:val="1"/>
    <w:qFormat/>
    <w:uiPriority w:val="0"/>
    <w:pPr>
      <w:widowControl/>
      <w:spacing w:line="360" w:lineRule="auto"/>
      <w:ind w:firstLine="200" w:firstLineChars="200"/>
      <w:jc w:val="left"/>
    </w:pPr>
    <w:rPr>
      <w:rFonts w:ascii="Calibri" w:hAnsi="Calibri" w:eastAsia="宋体" w:cs="Times New Roman"/>
      <w:sz w:val="24"/>
      <w:szCs w:val="24"/>
      <w14:ligatures w14:val="none"/>
    </w:rPr>
  </w:style>
  <w:style w:type="paragraph" w:customStyle="1" w:styleId="386">
    <w:name w:val="标题6"/>
    <w:basedOn w:val="1"/>
    <w:link w:val="387"/>
    <w:qFormat/>
    <w:uiPriority w:val="0"/>
    <w:pPr>
      <w:widowControl/>
      <w:spacing w:line="480" w:lineRule="exact"/>
    </w:pPr>
    <w:rPr>
      <w:rFonts w:ascii="宋体" w:hAnsi="宋体" w:eastAsia="宋体" w:cs="宋体"/>
      <w:b/>
      <w:kern w:val="0"/>
      <w:sz w:val="24"/>
      <w:szCs w:val="24"/>
      <w14:ligatures w14:val="none"/>
    </w:rPr>
  </w:style>
  <w:style w:type="character" w:customStyle="1" w:styleId="387">
    <w:name w:val="标题6 字符"/>
    <w:basedOn w:val="76"/>
    <w:link w:val="386"/>
    <w:qFormat/>
    <w:uiPriority w:val="0"/>
    <w:rPr>
      <w:rFonts w:ascii="宋体" w:hAnsi="宋体" w:eastAsia="宋体" w:cs="宋体"/>
      <w:b/>
      <w:kern w:val="0"/>
      <w:sz w:val="24"/>
      <w:szCs w:val="24"/>
      <w14:ligatures w14:val="none"/>
    </w:rPr>
  </w:style>
  <w:style w:type="paragraph" w:customStyle="1" w:styleId="388">
    <w:name w:val="样式5"/>
    <w:basedOn w:val="6"/>
    <w:link w:val="389"/>
    <w:qFormat/>
    <w:uiPriority w:val="0"/>
    <w:pPr>
      <w:widowControl/>
      <w:spacing w:before="0" w:after="0" w:line="480" w:lineRule="exact"/>
      <w:outlineLvl w:val="5"/>
    </w:pPr>
    <w:rPr>
      <w:rFonts w:ascii="宋体" w:hAnsi="宋体" w:eastAsia="宋体" w:cs="宋体"/>
      <w:kern w:val="0"/>
      <w:sz w:val="24"/>
      <w14:ligatures w14:val="none"/>
    </w:rPr>
  </w:style>
  <w:style w:type="character" w:customStyle="1" w:styleId="389">
    <w:name w:val="样式5 字符"/>
    <w:basedOn w:val="107"/>
    <w:link w:val="388"/>
    <w:qFormat/>
    <w:uiPriority w:val="0"/>
    <w:rPr>
      <w:rFonts w:ascii="宋体" w:hAnsi="宋体" w:eastAsia="宋体" w:cs="宋体"/>
      <w:kern w:val="0"/>
      <w:sz w:val="24"/>
      <w:szCs w:val="28"/>
      <w14:ligatures w14:val="none"/>
    </w:rPr>
  </w:style>
  <w:style w:type="paragraph" w:customStyle="1" w:styleId="390">
    <w:name w:val="表格文字-五号"/>
    <w:basedOn w:val="1"/>
    <w:next w:val="1"/>
    <w:qFormat/>
    <w:uiPriority w:val="0"/>
    <w:pPr>
      <w:widowControl/>
      <w:adjustRightInd w:val="0"/>
      <w:snapToGrid w:val="0"/>
      <w:jc w:val="center"/>
    </w:pPr>
    <w:rPr>
      <w:rFonts w:ascii="宋体-方正超大字符集" w:hAnsi="Times New Roman" w:eastAsia="宋体" w:cs="宋体"/>
      <w:color w:val="000000"/>
      <w:kern w:val="0"/>
      <w:sz w:val="20"/>
      <w:szCs w:val="20"/>
      <w14:ligatures w14:val="none"/>
    </w:rPr>
  </w:style>
  <w:style w:type="paragraph" w:customStyle="1" w:styleId="391">
    <w:name w:val="正文首行缩进 21"/>
    <w:basedOn w:val="29"/>
    <w:next w:val="247"/>
    <w:semiHidden/>
    <w:qFormat/>
    <w:uiPriority w:val="0"/>
    <w:pPr>
      <w:spacing w:before="100" w:beforeAutospacing="1"/>
      <w:ind w:firstLine="420" w:firstLineChars="200"/>
    </w:pPr>
    <w:rPr>
      <w:rFonts w:ascii="Times New Roman" w:hAnsi="Times New Roman" w:eastAsia="宋体" w:cs="Times New Roman"/>
      <w:szCs w:val="21"/>
      <w14:ligatures w14:val="none"/>
    </w:rPr>
  </w:style>
  <w:style w:type="paragraph" w:customStyle="1" w:styleId="392">
    <w:name w:val="无间隔1"/>
    <w:basedOn w:val="1"/>
    <w:next w:val="1"/>
    <w:qFormat/>
    <w:uiPriority w:val="0"/>
    <w:pPr>
      <w:jc w:val="center"/>
    </w:pPr>
    <w:rPr>
      <w:rFonts w:ascii="黑体" w:hAnsi="黑体" w:eastAsia="黑体" w:cs="Times New Roman"/>
      <w:szCs w:val="21"/>
      <w14:ligatures w14:val="none"/>
    </w:rPr>
  </w:style>
  <w:style w:type="table" w:customStyle="1" w:styleId="393">
    <w:name w:val="标准表格"/>
    <w:basedOn w:val="72"/>
    <w:qFormat/>
    <w:uiPriority w:val="0"/>
    <w:pPr>
      <w:spacing w:before="74"/>
      <w:jc w:val="center"/>
    </w:pPr>
    <w:rPr>
      <w:rFonts w:ascii="Times New Roman" w:hAnsi="Times New Roman" w:eastAsia="Times New Roman" w:cs="Times New Roman"/>
      <w:sz w:val="18"/>
      <w:szCs w:val="18"/>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FFFFFF"/>
      <w:vAlign w:val="center"/>
    </w:tcPr>
    <w:tblStylePr w:type="firstRow">
      <w:pPr>
        <w:spacing w:before="100" w:beforeLines="0" w:beforeAutospacing="1" w:after="100" w:afterLines="0" w:afterAutospacing="1"/>
        <w:ind w:left="0" w:leftChars="0" w:right="0" w:rightChars="0" w:firstLine="0" w:firstLineChars="0"/>
        <w:jc w:val="center"/>
      </w:pPr>
      <w:rPr>
        <w:rFonts w:hint="default" w:ascii="Times New Roman" w:hAnsi="Times New Roman" w:eastAsia="Calibri" w:cs="Times New Roman"/>
        <w:sz w:val="18"/>
        <w:szCs w:val="18"/>
      </w:rPr>
    </w:tblStylePr>
    <w:tblStylePr w:type="firstCol">
      <w:pPr>
        <w:jc w:val="center"/>
      </w:pPr>
    </w:tblStylePr>
  </w:style>
  <w:style w:type="character" w:customStyle="1" w:styleId="394">
    <w:name w:val="font41"/>
    <w:basedOn w:val="76"/>
    <w:qFormat/>
    <w:uiPriority w:val="0"/>
    <w:rPr>
      <w:rFonts w:hint="default" w:ascii="Times New Roman" w:hAnsi="Times New Roman" w:cs="Times New Roman"/>
      <w:color w:val="000000"/>
      <w:sz w:val="21"/>
      <w:szCs w:val="21"/>
      <w:u w:val="none"/>
    </w:rPr>
  </w:style>
  <w:style w:type="paragraph" w:customStyle="1" w:styleId="395">
    <w:name w:val="列表段落1"/>
    <w:basedOn w:val="1"/>
    <w:qFormat/>
    <w:uiPriority w:val="0"/>
    <w:pPr>
      <w:widowControl/>
      <w:spacing w:line="480" w:lineRule="exact"/>
      <w:ind w:firstLine="420" w:firstLineChars="200"/>
    </w:pPr>
    <w:rPr>
      <w:rFonts w:ascii="宋体" w:hAnsi="宋体" w:eastAsia="宋体" w:cs="宋体"/>
      <w:kern w:val="0"/>
      <w:sz w:val="24"/>
      <w:szCs w:val="24"/>
      <w14:ligatures w14:val="none"/>
    </w:rPr>
  </w:style>
  <w:style w:type="table" w:customStyle="1" w:styleId="396">
    <w:name w:val="无格式表格 51"/>
    <w:basedOn w:val="72"/>
    <w:qFormat/>
    <w:uiPriority w:val="45"/>
    <w:rPr>
      <w:rFonts w:ascii="Times New Roman" w:hAnsi="Times New Roman" w:eastAsia="宋体" w:cs="Times New Roman"/>
    </w:rPr>
    <w:tblStylePr w:type="firstRow">
      <w:rPr>
        <w:rFonts w:asciiTheme="majorHAnsi" w:hAnsiTheme="majorHAnsi" w:eastAsiaTheme="majorEastAsia" w:cstheme="majorBidi"/>
        <w:i/>
        <w:iCs/>
        <w:sz w:val="26"/>
      </w:rPr>
      <w:tcPr>
        <w:tcBorders>
          <w:bottom w:val="single" w:color="7E7E7E" w:themeColor="text1" w:themeTint="80" w:sz="4" w:space="0"/>
        </w:tcBorders>
        <w:shd w:val="clear" w:color="auto" w:fill="FFFFFF" w:themeFill="background1"/>
      </w:tcPr>
    </w:tblStylePr>
    <w:tblStylePr w:type="lastRow">
      <w:rPr>
        <w:rFonts w:asciiTheme="majorHAnsi" w:hAnsiTheme="majorHAnsi" w:eastAsiaTheme="majorEastAsia" w:cstheme="majorBidi"/>
        <w:i/>
        <w:iCs/>
        <w:sz w:val="26"/>
      </w:rPr>
      <w:tcPr>
        <w:tcBorders>
          <w:top w:val="single" w:color="7E7E7E" w:themeColor="text1" w:themeTint="80"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cPr>
        <w:tcBorders>
          <w:right w:val="single" w:color="7E7E7E" w:themeColor="text1" w:themeTint="80" w:sz="4" w:space="0"/>
        </w:tcBorders>
        <w:shd w:val="clear" w:color="auto" w:fill="FFFFFF" w:themeFill="background1"/>
      </w:tcPr>
    </w:tblStylePr>
    <w:tblStylePr w:type="lastCol">
      <w:rPr>
        <w:rFonts w:asciiTheme="majorHAnsi" w:hAnsiTheme="majorHAnsi" w:eastAsiaTheme="majorEastAsia" w:cstheme="majorBidi"/>
        <w:i/>
        <w:iCs/>
        <w:sz w:val="26"/>
      </w:rPr>
      <w:tcPr>
        <w:tcBorders>
          <w:left w:val="single" w:color="7E7E7E" w:themeColor="text1" w:themeTint="80" w:sz="4" w:space="0"/>
        </w:tcBorders>
        <w:shd w:val="clear" w:color="auto" w:fill="FFFFFF" w:themeFill="background1"/>
      </w:tcPr>
    </w:tblStylePr>
    <w:tblStylePr w:type="band1Vert">
      <w:tcPr>
        <w:shd w:val="clear" w:color="auto" w:fill="F1F1F1" w:themeFill="background1" w:themeFillShade="F2"/>
      </w:tcPr>
    </w:tblStylePr>
    <w:tblStylePr w:type="band1Horz">
      <w:tcPr>
        <w:shd w:val="clear" w:color="auto" w:fill="F1F1F1" w:themeFill="background1" w:themeFillShade="F2"/>
      </w:tcPr>
    </w:tblStylePr>
    <w:tblStylePr w:type="neCell">
      <w:tcPr>
        <w:tcBorders>
          <w:left w:val="nil"/>
        </w:tcBorders>
      </w:tcPr>
    </w:tblStylePr>
    <w:tblStylePr w:type="nwCell">
      <w:tcPr>
        <w:tcBorders>
          <w:right w:val="nil"/>
        </w:tcBorders>
      </w:tcPr>
    </w:tblStylePr>
    <w:tblStylePr w:type="seCell">
      <w:tcPr>
        <w:tcBorders>
          <w:left w:val="nil"/>
        </w:tcBorders>
      </w:tcPr>
    </w:tblStylePr>
    <w:tblStylePr w:type="swCell">
      <w:tcPr>
        <w:tcBorders>
          <w:right w:val="nil"/>
        </w:tcBorders>
      </w:tcPr>
    </w:tblStylePr>
  </w:style>
  <w:style w:type="paragraph" w:customStyle="1" w:styleId="397">
    <w:name w:val="正文首行缩进 22"/>
    <w:basedOn w:val="29"/>
    <w:next w:val="247"/>
    <w:qFormat/>
    <w:uiPriority w:val="0"/>
    <w:pPr>
      <w:widowControl/>
      <w:kinsoku w:val="0"/>
      <w:autoSpaceDE w:val="0"/>
      <w:autoSpaceDN w:val="0"/>
      <w:adjustRightInd w:val="0"/>
      <w:snapToGrid w:val="0"/>
      <w:spacing w:before="100" w:beforeAutospacing="1"/>
      <w:ind w:firstLine="420" w:firstLineChars="200"/>
      <w:jc w:val="left"/>
      <w:textAlignment w:val="baseline"/>
    </w:pPr>
    <w:rPr>
      <w:rFonts w:ascii="Arial" w:hAnsi="Arial" w:eastAsia="宋体" w:cs="Arial"/>
      <w:color w:val="000000"/>
      <w:kern w:val="0"/>
      <w:szCs w:val="21"/>
      <w14:ligatures w14:val="none"/>
    </w:rPr>
  </w:style>
  <w:style w:type="paragraph" w:customStyle="1" w:styleId="398">
    <w:name w:val="无间隔2"/>
    <w:basedOn w:val="1"/>
    <w:qFormat/>
    <w:uiPriority w:val="0"/>
    <w:pPr>
      <w:widowControl/>
      <w:kinsoku w:val="0"/>
      <w:autoSpaceDE w:val="0"/>
      <w:autoSpaceDN w:val="0"/>
      <w:adjustRightInd w:val="0"/>
      <w:snapToGrid w:val="0"/>
      <w:spacing w:line="240" w:lineRule="atLeast"/>
      <w:jc w:val="center"/>
      <w:textAlignment w:val="baseline"/>
    </w:pPr>
    <w:rPr>
      <w:rFonts w:ascii="Calibri" w:hAnsi="Calibri" w:eastAsia="宋体" w:cs="Times New Roman"/>
      <w:color w:val="000000"/>
      <w:kern w:val="0"/>
      <w:szCs w:val="21"/>
      <w14:ligatures w14:val="none"/>
    </w:rPr>
  </w:style>
  <w:style w:type="table" w:customStyle="1" w:styleId="399">
    <w:name w:val="表格1"/>
    <w:basedOn w:val="72"/>
    <w:qFormat/>
    <w:uiPriority w:val="0"/>
    <w:pPr>
      <w:adjustRightInd w:val="0"/>
      <w:snapToGrid w:val="0"/>
      <w:spacing w:line="360" w:lineRule="exact"/>
      <w:jc w:val="center"/>
    </w:pPr>
    <w:rPr>
      <w:rFonts w:ascii="Times New Roman" w:hAnsi="Times New Roman" w:eastAsia="Times New Roman" w:cs="Times New Roman"/>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left w:w="28" w:type="dxa"/>
        <w:right w:w="28" w:type="dxa"/>
      </w:tblCellMar>
    </w:tblPr>
    <w:tcPr>
      <w:vAlign w:val="center"/>
    </w:tcPr>
  </w:style>
  <w:style w:type="paragraph" w:customStyle="1" w:styleId="400">
    <w:name w:val="正文2"/>
    <w:qFormat/>
    <w:uiPriority w:val="0"/>
    <w:pPr>
      <w:jc w:val="both"/>
    </w:pPr>
    <w:rPr>
      <w:rFonts w:ascii="Times New Roman" w:hAnsi="Times New Roman" w:eastAsia="宋体" w:cs="Times New Roman"/>
      <w:kern w:val="2"/>
      <w:sz w:val="21"/>
      <w:szCs w:val="21"/>
      <w:lang w:val="en-US" w:eastAsia="zh-CN" w:bidi="ar-SA"/>
    </w:rPr>
  </w:style>
  <w:style w:type="paragraph" w:customStyle="1" w:styleId="401">
    <w:name w:val="列表段落2"/>
    <w:basedOn w:val="1"/>
    <w:qFormat/>
    <w:uiPriority w:val="0"/>
    <w:pPr>
      <w:widowControl/>
      <w:spacing w:line="480" w:lineRule="exact"/>
      <w:ind w:firstLine="420" w:firstLineChars="200"/>
    </w:pPr>
    <w:rPr>
      <w:rFonts w:ascii="宋体" w:hAnsi="宋体" w:eastAsia="宋体" w:cs="宋体"/>
      <w:kern w:val="0"/>
      <w:sz w:val="24"/>
      <w:szCs w:val="24"/>
      <w14:ligatures w14:val="none"/>
    </w:rPr>
  </w:style>
  <w:style w:type="paragraph" w:customStyle="1" w:styleId="402">
    <w:name w:val="正文4"/>
    <w:qFormat/>
    <w:uiPriority w:val="0"/>
    <w:pPr>
      <w:jc w:val="both"/>
    </w:pPr>
    <w:rPr>
      <w:rFonts w:ascii="宋体" w:hAnsi="宋体" w:eastAsia="宋体" w:cs="宋体"/>
      <w:kern w:val="2"/>
      <w:sz w:val="21"/>
      <w:szCs w:val="21"/>
      <w:lang w:val="en-US" w:eastAsia="zh-CN" w:bidi="ar-SA"/>
    </w:rPr>
  </w:style>
  <w:style w:type="paragraph" w:customStyle="1" w:styleId="403">
    <w:name w:val="表内"/>
    <w:basedOn w:val="1"/>
    <w:qFormat/>
    <w:uiPriority w:val="0"/>
    <w:pPr>
      <w:widowControl/>
      <w:kinsoku w:val="0"/>
      <w:autoSpaceDE w:val="0"/>
      <w:autoSpaceDN w:val="0"/>
      <w:adjustRightInd w:val="0"/>
      <w:snapToGrid w:val="0"/>
      <w:spacing w:before="100" w:beforeAutospacing="1" w:after="100" w:afterAutospacing="1"/>
      <w:ind w:left="15" w:leftChars="-43" w:hanging="105" w:hangingChars="50"/>
      <w:jc w:val="center"/>
      <w:textAlignment w:val="baseline"/>
    </w:pPr>
    <w:rPr>
      <w:rFonts w:ascii="Times New Roman" w:hAnsi="Times New Roman" w:eastAsia="Arial" w:cs="Arial"/>
      <w:bCs/>
      <w:color w:val="000000"/>
      <w:kern w:val="0"/>
      <w:szCs w:val="21"/>
      <w14:ligatures w14:val="none"/>
    </w:rPr>
  </w:style>
  <w:style w:type="character" w:customStyle="1" w:styleId="404">
    <w:name w:val="书籍标题1"/>
    <w:basedOn w:val="76"/>
    <w:qFormat/>
    <w:uiPriority w:val="33"/>
    <w:rPr>
      <w:rFonts w:eastAsia="黑体"/>
      <w:b/>
      <w:bCs/>
      <w:iCs/>
      <w:spacing w:val="5"/>
      <w:sz w:val="30"/>
    </w:rPr>
  </w:style>
  <w:style w:type="table" w:customStyle="1" w:styleId="405">
    <w:name w:val="网格型3"/>
    <w:basedOn w:val="72"/>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06">
    <w:name w:val="正文5"/>
    <w:uiPriority w:val="0"/>
    <w:pPr>
      <w:jc w:val="both"/>
    </w:pPr>
    <w:rPr>
      <w:rFonts w:ascii="等线" w:hAnsi="等线" w:eastAsia="宋体" w:cs="宋体"/>
      <w:kern w:val="2"/>
      <w:sz w:val="21"/>
      <w:szCs w:val="21"/>
      <w:lang w:val="en-US" w:eastAsia="zh-CN" w:bidi="ar-SA"/>
    </w:rPr>
  </w:style>
  <w:style w:type="paragraph" w:customStyle="1" w:styleId="407">
    <w:name w:val="正文6"/>
    <w:uiPriority w:val="0"/>
    <w:pPr>
      <w:jc w:val="both"/>
    </w:pPr>
    <w:rPr>
      <w:rFonts w:ascii="Times New Roman" w:hAnsi="Times New Roman" w:eastAsia="宋体" w:cs="Times New Roman"/>
      <w:kern w:val="2"/>
      <w:sz w:val="21"/>
      <w:szCs w:val="21"/>
      <w:lang w:val="en-US" w:eastAsia="zh-CN" w:bidi="ar-SA"/>
    </w:rPr>
  </w:style>
  <w:style w:type="paragraph" w:customStyle="1" w:styleId="408">
    <w:name w:val="列表段落3"/>
    <w:basedOn w:val="1"/>
    <w:uiPriority w:val="0"/>
    <w:pPr>
      <w:ind w:firstLine="420" w:firstLineChars="200"/>
    </w:pPr>
    <w:rPr>
      <w:rFonts w:ascii="等线" w:hAnsi="等线" w:eastAsia="等线" w:cs="Times New Roman"/>
      <w:szCs w:val="21"/>
      <w14:ligatures w14: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5" Type="http://schemas.openxmlformats.org/officeDocument/2006/relationships/fontTable" Target="fontTable.xml"/><Relationship Id="rId84" Type="http://schemas.openxmlformats.org/officeDocument/2006/relationships/customXml" Target="../customXml/item1.xml"/><Relationship Id="rId83" Type="http://schemas.openxmlformats.org/officeDocument/2006/relationships/numbering" Target="numbering.xml"/><Relationship Id="rId82" Type="http://schemas.openxmlformats.org/officeDocument/2006/relationships/image" Target="media/image72.jpeg"/><Relationship Id="rId81" Type="http://schemas.openxmlformats.org/officeDocument/2006/relationships/image" Target="media/image71.jpeg"/><Relationship Id="rId80" Type="http://schemas.openxmlformats.org/officeDocument/2006/relationships/image" Target="media/image70.jpeg"/><Relationship Id="rId8" Type="http://schemas.openxmlformats.org/officeDocument/2006/relationships/footer" Target="footer3.xml"/><Relationship Id="rId79" Type="http://schemas.openxmlformats.org/officeDocument/2006/relationships/image" Target="media/image69.png"/><Relationship Id="rId78" Type="http://schemas.openxmlformats.org/officeDocument/2006/relationships/image" Target="media/image68.jpeg"/><Relationship Id="rId77" Type="http://schemas.openxmlformats.org/officeDocument/2006/relationships/image" Target="media/image67.jpeg"/><Relationship Id="rId76" Type="http://schemas.openxmlformats.org/officeDocument/2006/relationships/image" Target="media/image66.jpeg"/><Relationship Id="rId75" Type="http://schemas.openxmlformats.org/officeDocument/2006/relationships/image" Target="media/image65.jpeg"/><Relationship Id="rId74" Type="http://schemas.openxmlformats.org/officeDocument/2006/relationships/image" Target="media/image64.jpeg"/><Relationship Id="rId73" Type="http://schemas.openxmlformats.org/officeDocument/2006/relationships/image" Target="media/image63.jpeg"/><Relationship Id="rId72" Type="http://schemas.openxmlformats.org/officeDocument/2006/relationships/image" Target="media/image62.jpeg"/><Relationship Id="rId71" Type="http://schemas.openxmlformats.org/officeDocument/2006/relationships/image" Target="media/image61.jpeg"/><Relationship Id="rId70" Type="http://schemas.openxmlformats.org/officeDocument/2006/relationships/image" Target="media/image60.jpeg"/><Relationship Id="rId7" Type="http://schemas.openxmlformats.org/officeDocument/2006/relationships/footer" Target="footer2.xml"/><Relationship Id="rId69" Type="http://schemas.openxmlformats.org/officeDocument/2006/relationships/image" Target="media/image59.jpeg"/><Relationship Id="rId68" Type="http://schemas.openxmlformats.org/officeDocument/2006/relationships/image" Target="media/image58.jpeg"/><Relationship Id="rId67" Type="http://schemas.openxmlformats.org/officeDocument/2006/relationships/image" Target="media/image57.jpeg"/><Relationship Id="rId66" Type="http://schemas.openxmlformats.org/officeDocument/2006/relationships/image" Target="media/image56.jpeg"/><Relationship Id="rId65" Type="http://schemas.openxmlformats.org/officeDocument/2006/relationships/image" Target="media/image55.jpeg"/><Relationship Id="rId64" Type="http://schemas.openxmlformats.org/officeDocument/2006/relationships/image" Target="media/image54.jpeg"/><Relationship Id="rId63" Type="http://schemas.openxmlformats.org/officeDocument/2006/relationships/image" Target="media/image53.jpeg"/><Relationship Id="rId62" Type="http://schemas.openxmlformats.org/officeDocument/2006/relationships/image" Target="media/image52.jpeg"/><Relationship Id="rId61" Type="http://schemas.openxmlformats.org/officeDocument/2006/relationships/image" Target="media/image51.jpeg"/><Relationship Id="rId60" Type="http://schemas.openxmlformats.org/officeDocument/2006/relationships/image" Target="media/image50.jpeg"/><Relationship Id="rId6" Type="http://schemas.openxmlformats.org/officeDocument/2006/relationships/footer" Target="footer1.xml"/><Relationship Id="rId59" Type="http://schemas.openxmlformats.org/officeDocument/2006/relationships/image" Target="media/image49.jpeg"/><Relationship Id="rId58" Type="http://schemas.openxmlformats.org/officeDocument/2006/relationships/image" Target="media/image48.jpeg"/><Relationship Id="rId57" Type="http://schemas.openxmlformats.org/officeDocument/2006/relationships/image" Target="media/image47.jpeg"/><Relationship Id="rId56" Type="http://schemas.openxmlformats.org/officeDocument/2006/relationships/image" Target="media/image46.jpeg"/><Relationship Id="rId55" Type="http://schemas.openxmlformats.org/officeDocument/2006/relationships/image" Target="media/image45.jpeg"/><Relationship Id="rId54" Type="http://schemas.openxmlformats.org/officeDocument/2006/relationships/image" Target="media/image44.jpeg"/><Relationship Id="rId53" Type="http://schemas.openxmlformats.org/officeDocument/2006/relationships/image" Target="media/image43.jpeg"/><Relationship Id="rId52" Type="http://schemas.openxmlformats.org/officeDocument/2006/relationships/image" Target="media/image42.jpeg"/><Relationship Id="rId51" Type="http://schemas.openxmlformats.org/officeDocument/2006/relationships/image" Target="media/image41.jpeg"/><Relationship Id="rId50" Type="http://schemas.openxmlformats.org/officeDocument/2006/relationships/image" Target="media/image40.jpeg"/><Relationship Id="rId5" Type="http://schemas.openxmlformats.org/officeDocument/2006/relationships/header" Target="header3.xml"/><Relationship Id="rId49" Type="http://schemas.openxmlformats.org/officeDocument/2006/relationships/image" Target="media/image39.jpeg"/><Relationship Id="rId48" Type="http://schemas.openxmlformats.org/officeDocument/2006/relationships/image" Target="media/image38.jpeg"/><Relationship Id="rId47" Type="http://schemas.openxmlformats.org/officeDocument/2006/relationships/image" Target="media/image37.jpeg"/><Relationship Id="rId46" Type="http://schemas.openxmlformats.org/officeDocument/2006/relationships/image" Target="media/image36.jpeg"/><Relationship Id="rId45" Type="http://schemas.openxmlformats.org/officeDocument/2006/relationships/image" Target="media/image35.jpeg"/><Relationship Id="rId44" Type="http://schemas.openxmlformats.org/officeDocument/2006/relationships/image" Target="media/image34.jpeg"/><Relationship Id="rId43" Type="http://schemas.openxmlformats.org/officeDocument/2006/relationships/image" Target="media/image33.jpeg"/><Relationship Id="rId42" Type="http://schemas.openxmlformats.org/officeDocument/2006/relationships/image" Target="media/image32.jpeg"/><Relationship Id="rId41" Type="http://schemas.openxmlformats.org/officeDocument/2006/relationships/image" Target="media/image31.jpeg"/><Relationship Id="rId40" Type="http://schemas.openxmlformats.org/officeDocument/2006/relationships/image" Target="media/image30.jpeg"/><Relationship Id="rId4" Type="http://schemas.openxmlformats.org/officeDocument/2006/relationships/header" Target="header2.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png"/><Relationship Id="rId3" Type="http://schemas.openxmlformats.org/officeDocument/2006/relationships/header" Target="head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jpe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jpe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4EAC04-46DE-4E3A-809B-4C118A277FF6}">
  <ds:schemaRefs/>
</ds:datastoreItem>
</file>

<file path=docProps/app.xml><?xml version="1.0" encoding="utf-8"?>
<Properties xmlns="http://schemas.openxmlformats.org/officeDocument/2006/extended-properties" xmlns:vt="http://schemas.openxmlformats.org/officeDocument/2006/docPropsVTypes">
  <Template>Normal.dotm</Template>
  <Pages>193</Pages>
  <Words>92392</Words>
  <Characters>106586</Characters>
  <Lines>862</Lines>
  <Paragraphs>242</Paragraphs>
  <TotalTime>8518</TotalTime>
  <ScaleCrop>false</ScaleCrop>
  <LinksUpToDate>false</LinksUpToDate>
  <CharactersWithSpaces>107842</CharactersWithSpaces>
  <Application>WPS Office_12.1.0.18240_F1E327BC-269C-435d-A152-05C5408002CA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2024-04-22T02:15:00Z</dcterms:created>
  <dc:creator>zhangtp</dc:creator>
  <cp:lastModifiedBy>向阳花</cp:lastModifiedBy>
  <cp:lastPrinted>2024-07-11T00:43:00Z</cp:lastPrinted>
  <dcterms:modified xsi:type="dcterms:W3CDTF">2024-09-13T09:01:25Z</dcterms:modified>
  <cp:revision>350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2052-12.1.0.18240</vt:lpwstr>
  </property>
  <property fmtid="{D5CDD505-2E9C-101B-9397-08002B2CF9AE}" pid="3" name="ICV">
    <vt:lpwstr>970978787EAE498D84300B3E93D32958_12</vt:lpwstr>
  </property>
</Properties>
</file>